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  <w:spacing w:after="240"/>
        <w:jc w:val="center"/>
      </w:pPr>
      <w:r>
        <w:rPr>
          <w:rFonts w:ascii="Times New Roman" w:hAnsi="Times New Roman" w:eastAsia="Times New Roman"/>
          <w:color w:val="000000"/>
          <w:sz w:val="24"/>
        </w:rPr>
        <w:t>Additional file 1</w:t>
      </w:r>
    </w:p>
    <w:p>
      <w:pPr>
        <w:keepNext w:val="0"/>
        <w:pageBreakBefore w:val="0"/>
      </w:pPr>
      <w:r>
        <w:rPr>
          <w:rFonts w:ascii="Times New Roman" w:hAnsi="Times New Roman" w:eastAsia="Times New Roman"/>
          <w:color w:val="000000"/>
          <w:sz w:val="24"/>
        </w:rPr>
        <w:t>Manuscript: Household Indoor E-Cigarette Use and Frequent or Severe Headache in U.S. Children: A Cross-Sectional NSCH Study</w:t>
      </w:r>
    </w:p>
    <w:p>
      <w:pPr>
        <w:pageBreakBefore w:val="0"/>
        <w:sectPr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Heading1"/>
        <w:pageBreakBefore w:val="0"/>
      </w:pPr>
      <w:r>
        <w:rPr>
          <w:rFonts w:ascii="Times New Roman" w:hAnsi="Times New Roman" w:eastAsia="Times New Roman"/>
          <w:color w:val="000000"/>
          <w:sz w:val="24"/>
        </w:rPr>
        <w:t>Supplementary Table S1 Unweighted Event Counts</w:t>
      </w:r>
    </w:p>
    <w:tbl>
      <w:tblPr>
        <w:tblW w:type="auto" w:w="0"/>
        <w:tblLayout w:type="autofit"/>
        <w:tblLook w:firstColumn="1" w:firstRow="1" w:lastColumn="0" w:lastRow="0" w:noHBand="0" w:noVBand="1" w:val="04A0"/>
        <w:jc w:val="center"/>
        <w:tblBorders>
          <w:top w:val="single" w:sz="6" w:color="A6A6A6"/>
          <w:insideH w:val="single" w:sz="6" w:color="A6A6A6"/>
          <w:bottom w:val="single" w:sz="6" w:color="A6A6A6"/>
          <w:left w:val="nil"/>
          <w:insideV w:val="nil"/>
          <w:right w:val="nil"/>
        </w:tblBorders>
      </w:tblPr>
      <w:tblGrid>
        <w:gridCol w:w="2037"/>
        <w:gridCol w:w="2037"/>
        <w:gridCol w:w="2037"/>
        <w:gridCol w:w="2037"/>
        <w:gridCol w:w="2037"/>
        <w:gridCol w:w="2037"/>
        <w:gridCol w:w="2037"/>
      </w:tblGrid>
      <w:tr>
        <w:trPr>
          <w:tblHeader w:val="true"/>
          <w:tblHeader w:val="true"/>
          <w:cantSplit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Analysis</w:t>
            </w:r>
          </w:p>
        </w:tc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N</w:t>
            </w:r>
          </w:p>
        </w:tc>
        <w:tc>
          <w:tcPr>
            <w:tcW w:type="dxa" w:w="14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Outcome events</w:t>
            </w:r>
          </w:p>
        </w:tc>
        <w:tc>
          <w:tcPr>
            <w:tcW w:type="dxa" w:w="12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Exposed N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Exposed outcome events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Dual-exposure N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Dual-exposure events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Pooled 2022-2024</w:t>
            </w:r>
          </w:p>
        </w:tc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130077</w:t>
            </w:r>
          </w:p>
        </w:tc>
        <w:tc>
          <w:tcPr>
            <w:tcW w:type="dxa" w:w="14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3960</w:t>
            </w:r>
          </w:p>
        </w:tc>
        <w:tc>
          <w:tcPr>
            <w:tcW w:type="dxa" w:w="12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6383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341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543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41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2022</w:t>
            </w:r>
          </w:p>
        </w:tc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43382</w:t>
            </w:r>
          </w:p>
        </w:tc>
        <w:tc>
          <w:tcPr>
            <w:tcW w:type="dxa" w:w="14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1244</w:t>
            </w:r>
          </w:p>
        </w:tc>
        <w:tc>
          <w:tcPr>
            <w:tcW w:type="dxa" w:w="12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1933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103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184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13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2023</w:t>
            </w:r>
          </w:p>
        </w:tc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43701</w:t>
            </w:r>
          </w:p>
        </w:tc>
        <w:tc>
          <w:tcPr>
            <w:tcW w:type="dxa" w:w="14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1285</w:t>
            </w:r>
          </w:p>
        </w:tc>
        <w:tc>
          <w:tcPr>
            <w:tcW w:type="dxa" w:w="12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2126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105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186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13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2024</w:t>
            </w:r>
          </w:p>
        </w:tc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42994</w:t>
            </w:r>
          </w:p>
        </w:tc>
        <w:tc>
          <w:tcPr>
            <w:tcW w:type="dxa" w:w="14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1431</w:t>
            </w:r>
          </w:p>
        </w:tc>
        <w:tc>
          <w:tcPr>
            <w:tcW w:type="dxa" w:w="12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2324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133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173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15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Ages 3-11 years</w:t>
            </w:r>
          </w:p>
        </w:tc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73317</w:t>
            </w:r>
          </w:p>
        </w:tc>
        <w:tc>
          <w:tcPr>
            <w:tcW w:type="dxa" w:w="14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1003</w:t>
            </w:r>
          </w:p>
        </w:tc>
        <w:tc>
          <w:tcPr>
            <w:tcW w:type="dxa" w:w="12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3335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76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219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8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Ages 12-17 years</w:t>
            </w:r>
          </w:p>
        </w:tc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56760</w:t>
            </w:r>
          </w:p>
        </w:tc>
        <w:tc>
          <w:tcPr>
            <w:tcW w:type="dxa" w:w="14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2957</w:t>
            </w:r>
          </w:p>
        </w:tc>
        <w:tc>
          <w:tcPr>
            <w:tcW w:type="dxa" w:w="12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3048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265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324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33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Excluding dual exposure</w:t>
            </w:r>
          </w:p>
        </w:tc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129534</w:t>
            </w:r>
          </w:p>
        </w:tc>
        <w:tc>
          <w:tcPr>
            <w:tcW w:type="dxa" w:w="14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3919</w:t>
            </w:r>
          </w:p>
        </w:tc>
        <w:tc>
          <w:tcPr>
            <w:tcW w:type="dxa" w:w="12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5840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300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0</w:t>
            </w:r>
          </w:p>
        </w:tc>
        <w:tc>
          <w:tcPr>
            <w:tcW w:type="dxa" w:w="15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0</w:t>
            </w:r>
          </w:p>
        </w:tc>
      </w:tr>
    </w:tbl>
    <w:p>
      <w:pPr>
        <w:pageBreakBefore w:val="0"/>
      </w:pPr>
      <w:r>
        <w:rPr>
          <w:rFonts w:ascii="Times New Roman" w:hAnsi="Times New Roman" w:eastAsia="Times New Roman"/>
          <w:color w:val="000000"/>
          <w:sz w:val="24"/>
        </w:rPr>
        <w:t>Note: N and event counts are unweighted. Dual exposure indicates reported indoor e-cigarette use and indoor combustible-tobacco smoking.</w:t>
      </w:r>
    </w:p>
    <w:p>
      <w:pPr>
        <w:pageBreakBefore w:val="0"/>
        <w:sectPr>
          <w:pgSz w:w="12240" w:h="15840" w:orient="landscape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Heading1"/>
        <w:pageBreakBefore w:val="0"/>
      </w:pPr>
      <w:r>
        <w:rPr>
          <w:rFonts w:ascii="Times New Roman" w:hAnsi="Times New Roman" w:eastAsia="Times New Roman"/>
          <w:color w:val="000000"/>
          <w:sz w:val="24"/>
        </w:rPr>
        <w:t>Supplementary Table S2 Sensitivity Analyses for Unmeasured Confounding and Exposure Misclassification</w:t>
      </w:r>
    </w:p>
    <w:tbl>
      <w:tblPr>
        <w:tblW w:type="auto" w:w="0"/>
        <w:tblLayout w:type="autofit"/>
        <w:tblLook w:firstColumn="1" w:firstRow="1" w:lastColumn="0" w:lastRow="0" w:noHBand="0" w:noVBand="1" w:val="04A0"/>
        <w:jc w:val="center"/>
        <w:tblBorders>
          <w:top w:val="single" w:sz="6" w:color="A6A6A6"/>
          <w:insideH w:val="single" w:sz="6" w:color="A6A6A6"/>
          <w:bottom w:val="single" w:sz="6" w:color="A6A6A6"/>
          <w:left w:val="nil"/>
          <w:insideV w:val="nil"/>
          <w:right w:val="nil"/>
        </w:tblBorders>
      </w:tblPr>
      <w:tblGrid>
        <w:gridCol w:w="3408"/>
        <w:gridCol w:w="3408"/>
        <w:gridCol w:w="3408"/>
      </w:tblGrid>
      <w:tr>
        <w:trPr>
          <w:tblHeader w:val="true"/>
          <w:tblHeader w:val="true"/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Metric</w:t>
            </w:r>
          </w:p>
        </w:tc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Result</w:t>
            </w:r>
          </w:p>
        </w:tc>
        <w:tc>
          <w:tcPr>
            <w:tcW w:type="dxa" w:w="5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Interpretation boundary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Primary aPR E-value</w:t>
            </w:r>
          </w:p>
        </w:tc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2.90</w:t>
            </w:r>
          </w:p>
        </w:tc>
        <w:tc>
          <w:tcPr>
            <w:tcW w:type="dxa" w:w="5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Minimum joint exposure/outcome association, above measured covariates, for an idealized unmeasured confounder to move the point estimate to the null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CI-limit E-value</w:t>
            </w:r>
          </w:p>
        </w:tc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2.19</w:t>
            </w:r>
          </w:p>
        </w:tc>
        <w:tc>
          <w:tcPr>
            <w:tcW w:type="dxa" w:w="5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Corresponding value for the CI limit closest to the null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Observed weighted crude RR (N=132088)</w:t>
            </w:r>
          </w:p>
        </w:tc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2.23</w:t>
            </w:r>
          </w:p>
        </w:tc>
        <w:tc>
          <w:tcPr>
            <w:tcW w:type="dxa" w:w="5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Unadjusted; not the primary estimand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Corrected crude RR range across 30 valid nondifferential scenarios</w:t>
            </w:r>
          </w:p>
        </w:tc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2.26-4.52</w:t>
            </w:r>
          </w:p>
        </w:tc>
        <w:tc>
          <w:tcPr>
            <w:tcW w:type="dxa" w:w="5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Assumed, not validated; does not correct the adjusted aPR or address outcome error, dependent error, active use, or selection. The scenario sample required valid exposure, outcome, and combustible-smoking responses but not complete nonpoverty covariates.</w:t>
            </w:r>
          </w:p>
        </w:tc>
      </w:tr>
    </w:tbl>
    <w:p>
      <w:pPr>
        <w:pageBreakBefore w:val="0"/>
      </w:pPr>
      <w:r>
        <w:rPr>
          <w:rFonts w:ascii="Times New Roman" w:hAnsi="Times New Roman" w:eastAsia="Times New Roman"/>
          <w:color w:val="000000"/>
          <w:sz w:val="24"/>
        </w:rPr>
        <w:t>Note: Classification parameters were assumed rather than validated. The scenario analysis did not correct the adjusted aPR and did not address outcome error, dependent error, active use, or selection.</w:t>
      </w:r>
    </w:p>
    <w:p>
      <w:pPr>
        <w:pStyle w:val="Heading1"/>
        <w:pageBreakBefore w:val="0"/>
      </w:pPr>
      <w:r>
        <w:rPr>
          <w:rFonts w:ascii="Times New Roman" w:hAnsi="Times New Roman" w:eastAsia="Times New Roman"/>
          <w:color w:val="000000"/>
          <w:sz w:val="24"/>
        </w:rPr>
        <w:t>Supplementary Table S3 Missingness Among Age-Eligible Children With Valid Outcome and Tobacco-Exposure Responses</w:t>
      </w:r>
    </w:p>
    <w:tbl>
      <w:tblPr>
        <w:tblW w:type="auto" w:w="0"/>
        <w:tblLayout w:type="autofit"/>
        <w:tblLook w:firstColumn="1" w:firstRow="1" w:lastColumn="0" w:lastRow="0" w:noHBand="0" w:noVBand="1" w:val="04A0"/>
        <w:jc w:val="center"/>
        <w:tblBorders>
          <w:top w:val="single" w:sz="6" w:color="A6A6A6"/>
          <w:insideH w:val="single" w:sz="6" w:color="A6A6A6"/>
          <w:bottom w:val="single" w:sz="6" w:color="A6A6A6"/>
          <w:left w:val="nil"/>
          <w:insideV w:val="nil"/>
          <w:right w:val="nil"/>
        </w:tblBorders>
      </w:tblPr>
      <w:tblGrid>
        <w:gridCol w:w="2556"/>
        <w:gridCol w:w="2556"/>
        <w:gridCol w:w="2556"/>
        <w:gridCol w:w="2556"/>
      </w:tblGrid>
      <w:tr>
        <w:trPr>
          <w:tblHeader w:val="true"/>
          <w:tblHeader w:val="true"/>
          <w:cantSplit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Variable</w:t>
            </w:r>
          </w:p>
        </w:tc>
        <w:tc>
          <w:tcPr>
            <w:tcW w:type="dxa" w:w="11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Missing n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Percent of 132088</w:t>
            </w:r>
          </w:p>
        </w:tc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Handling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Sex</w:t>
            </w:r>
          </w:p>
        </w:tc>
        <w:tc>
          <w:tcPr>
            <w:tcW w:type="dxa" w:w="11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0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0.00</w:t>
            </w:r>
          </w:p>
        </w:tc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Complete in the eligible analysis pool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Race and ethnicity</w:t>
            </w:r>
          </w:p>
        </w:tc>
        <w:tc>
          <w:tcPr>
            <w:tcW w:type="dxa" w:w="11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0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0.00</w:t>
            </w:r>
          </w:p>
        </w:tc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Complete in the eligible analysis pool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Highest adult education</w:t>
            </w:r>
          </w:p>
        </w:tc>
        <w:tc>
          <w:tcPr>
            <w:tcW w:type="dxa" w:w="11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0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0.00</w:t>
            </w:r>
          </w:p>
        </w:tc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Complete in the eligible analysis pool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Family structure</w:t>
            </w:r>
          </w:p>
        </w:tc>
        <w:tc>
          <w:tcPr>
            <w:tcW w:type="dxa" w:w="11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2011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1.52</w:t>
            </w:r>
          </w:p>
        </w:tc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Excluded from covariate-adjusted analyses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HHS region</w:t>
            </w:r>
          </w:p>
        </w:tc>
        <w:tc>
          <w:tcPr>
            <w:tcW w:type="dxa" w:w="11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0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0.00</w:t>
            </w:r>
          </w:p>
        </w:tc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Complete in the eligible analysis pool</w:t>
            </w:r>
          </w:p>
        </w:tc>
      </w:tr>
      <w:tr>
        <w:trPr>
          <w:cantSplit/>
        </w:trPr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FPL_I1-FPL_I6</w:t>
            </w:r>
          </w:p>
        </w:tc>
        <w:tc>
          <w:tcPr>
            <w:tcW w:type="dxa" w:w="11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0 in each implicate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0.00</w:t>
            </w:r>
          </w:p>
        </w:tc>
        <w:tc>
          <w:tcPr>
            <w:tcW w:type="dxa" w:w="43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All six supplied implicates were analyzed</w:t>
            </w:r>
          </w:p>
        </w:tc>
      </w:tr>
    </w:tbl>
    <w:p>
      <w:pPr>
        <w:pageBreakBefore w:val="0"/>
      </w:pPr>
      <w:r>
        <w:rPr>
          <w:rFonts w:ascii="Times New Roman" w:hAnsi="Times New Roman" w:eastAsia="Times New Roman"/>
          <w:color w:val="000000"/>
          <w:sz w:val="24"/>
        </w:rPr>
        <w:t>Note: The 132088 records had valid frequent/severe headache, household indoor e-cigarette-use, and combustible-smoking responses. FPL indicates family income-to-poverty ratio; HHS, U.S. Department of Health and Human Services.</w:t>
      </w:r>
    </w:p>
    <w:p>
      <w:pPr>
        <w:pageBreakBefore w:val="0"/>
        <w:sectPr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Heading1"/>
        <w:pageBreakBefore w:val="0"/>
      </w:pPr>
      <w:r>
        <w:rPr>
          <w:rFonts w:ascii="Times New Roman" w:hAnsi="Times New Roman" w:eastAsia="Times New Roman"/>
          <w:color w:val="000000"/>
          <w:sz w:val="24"/>
        </w:rPr>
        <w:t>Supplementary Table S4 Adjusted Prevalences and Prevalence Differences in Supporting Analyses</w:t>
      </w:r>
    </w:p>
    <w:tbl>
      <w:tblPr>
        <w:tblW w:type="auto" w:w="0"/>
        <w:tblLayout w:type="autofit"/>
        <w:tblLook w:firstColumn="1" w:firstRow="1" w:lastColumn="0" w:lastRow="0" w:noHBand="0" w:noVBand="1" w:val="04A0"/>
        <w:jc w:val="center"/>
        <w:tblBorders>
          <w:top w:val="single" w:sz="6" w:color="A6A6A6"/>
          <w:insideH w:val="single" w:sz="6" w:color="A6A6A6"/>
          <w:bottom w:val="single" w:sz="6" w:color="A6A6A6"/>
          <w:left w:val="nil"/>
          <w:insideV w:val="nil"/>
          <w:right w:val="nil"/>
        </w:tblBorders>
      </w:tblPr>
      <w:tblGrid>
        <w:gridCol w:w="3564"/>
        <w:gridCol w:w="3564"/>
        <w:gridCol w:w="3564"/>
        <w:gridCol w:w="3564"/>
      </w:tblGrid>
      <w:tr>
        <w:trPr>
          <w:tblHeader w:val="true"/>
          <w:tblHeader w:val="true"/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Analysis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Adjusted prevalence with exposure, %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Adjusted prevalence without exposure, %</w:t>
            </w:r>
          </w:p>
        </w:tc>
        <w:tc>
          <w:tcPr>
            <w:tcW w:type="dxa" w:w="40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Difference, percentage points (95% CI)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2022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5.28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2.51</w:t>
            </w:r>
          </w:p>
        </w:tc>
        <w:tc>
          <w:tcPr>
            <w:tcW w:type="dxa" w:w="40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2.77 (0.86 to 4.67)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2023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3.35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2.61</w:t>
            </w:r>
          </w:p>
        </w:tc>
        <w:tc>
          <w:tcPr>
            <w:tcW w:type="dxa" w:w="40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0.74 (-0.51 to 2.00)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2024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5.22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2.65</w:t>
            </w:r>
          </w:p>
        </w:tc>
        <w:tc>
          <w:tcPr>
            <w:tcW w:type="dxa" w:w="40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2.58 (0.89 to 4.26)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Ages 3-11 years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1.79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1.23</w:t>
            </w:r>
          </w:p>
        </w:tc>
        <w:tc>
          <w:tcPr>
            <w:tcW w:type="dxa" w:w="40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0.56 (-0.14 to 1.25)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Ages 12-17 years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8.40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4.45</w:t>
            </w:r>
          </w:p>
        </w:tc>
        <w:tc>
          <w:tcPr>
            <w:tcW w:type="dxa" w:w="40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3.95 (1.98 to 5.91)</w:t>
            </w:r>
          </w:p>
        </w:tc>
      </w:tr>
      <w:tr>
        <w:trPr>
          <w:cantSplit/>
        </w:trPr>
        <w:tc>
          <w:tcPr>
            <w:tcW w:type="dxa" w:w="24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Excluding dual exposure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4.71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2.58</w:t>
            </w:r>
          </w:p>
        </w:tc>
        <w:tc>
          <w:tcPr>
            <w:tcW w:type="dxa" w:w="40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2.13 (1.14 to 3.12)</w:t>
            </w:r>
          </w:p>
        </w:tc>
      </w:tr>
    </w:tbl>
    <w:p>
      <w:pPr>
        <w:pageBreakBefore w:val="0"/>
      </w:pPr>
      <w:r>
        <w:rPr>
          <w:rFonts w:ascii="Times New Roman" w:hAnsi="Times New Roman" w:eastAsia="Times New Roman"/>
          <w:color w:val="000000"/>
          <w:sz w:val="24"/>
        </w:rPr>
        <w:t>Note: Predictive-margin models used the same covariate set as the corresponding prevalence-ratio model. CI indicates confidence interval.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000000"/>
        <w:sz w:val="20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after="0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4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i w:val="0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</dc:title>
  <dc:subject/>
  <dc:creator>Chenglei Qin et al.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