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Supplementary Information</w:t>
      </w:r>
    </w:p>
    <w:p>
      <w:pPr>
        <w:jc w:val="center"/>
      </w:pPr>
      <w:r>
        <w:rPr>
          <w:rFonts w:ascii="Arial" w:hAnsi="Arial"/>
          <w:b/>
          <w:sz w:val="22"/>
        </w:rPr>
        <w:t>Development and external validation of an interpretable machine learning model for in-hospital major adverse cardiovascular events after PCI in acute coronary syndrome</w:t>
      </w:r>
    </w:p>
    <w:p>
      <w:pPr>
        <w:jc w:val="center"/>
      </w:pPr>
      <w:r>
        <w:rPr>
          <w:i/>
        </w:rPr>
        <w:t>Dongdong Yan et al.</w:t>
      </w:r>
    </w:p>
    <w:p>
      <w:r>
        <w:rPr>
          <w:b/>
        </w:rPr>
        <w:t xml:space="preserve">Purpose. </w:t>
      </w:r>
      <w:r>
        <w:t>This supplement provides additional methodological and reporting detail that can be supported by the submitted manuscript. It does not reconstruct unreported hyperparameter values or analyses that were not available in the source files.</w:t>
      </w:r>
    </w:p>
    <w:p>
      <w:pPr>
        <w:pStyle w:val="Heading1"/>
      </w:pPr>
      <w:r>
        <w:t>Supplementary Methods S1. Study design and data sources</w:t>
      </w:r>
    </w:p>
    <w:p>
      <w:r>
        <w:t>This was a two-center retrospective prognostic prediction-model study using routinely collected electronic medical record (EMR) data. The derivation cohort included 1,218 adults with acute coronary syndrome (ACS) who underwent emergency percutaneous coronary intervention (PCI) at the First Hospital of Lanzhou University from January through December 2024. The independent external-validation cohort included 508 patients with ACS treated at Gansu Gem Flower Hospital from January 2024 through December 2025. The derivation cohort was randomly partitioned into a training set (n=852; 70%) and an internal-validation set (n=366; 30%).</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c>
          <w:tcPr>
            <w:tcW w:type="dxa" w:w="1800"/>
            <w:vAlign w:val="center"/>
            <w:shd w:fill="D9EAF7"/>
          </w:tcPr>
          <w:p>
            <w:r/>
            <w:r>
              <w:rPr>
                <w:rFonts w:ascii="Arial" w:hAnsi="Arial"/>
                <w:b/>
                <w:sz w:val="17"/>
              </w:rPr>
              <w:t>Dataset</w:t>
            </w:r>
          </w:p>
        </w:tc>
        <w:tc>
          <w:tcPr>
            <w:tcW w:type="dxa" w:w="2448"/>
            <w:vAlign w:val="center"/>
            <w:shd w:fill="D9EAF7"/>
          </w:tcPr>
          <w:p>
            <w:r/>
            <w:r>
              <w:rPr>
                <w:rFonts w:ascii="Arial" w:hAnsi="Arial"/>
                <w:b/>
                <w:sz w:val="17"/>
              </w:rPr>
              <w:t>Center</w:t>
            </w:r>
          </w:p>
        </w:tc>
        <w:tc>
          <w:tcPr>
            <w:tcW w:type="dxa" w:w="1728"/>
            <w:vAlign w:val="center"/>
            <w:shd w:fill="D9EAF7"/>
          </w:tcPr>
          <w:p>
            <w:r/>
            <w:r>
              <w:rPr>
                <w:rFonts w:ascii="Arial" w:hAnsi="Arial"/>
                <w:b/>
                <w:sz w:val="17"/>
              </w:rPr>
              <w:t>Accrual period</w:t>
            </w:r>
          </w:p>
        </w:tc>
        <w:tc>
          <w:tcPr>
            <w:tcW w:type="dxa" w:w="936"/>
            <w:vAlign w:val="center"/>
            <w:shd w:fill="D9EAF7"/>
          </w:tcPr>
          <w:p>
            <w:r/>
            <w:r>
              <w:rPr>
                <w:rFonts w:ascii="Arial" w:hAnsi="Arial"/>
                <w:b/>
                <w:sz w:val="17"/>
              </w:rPr>
              <w:t>N</w:t>
            </w:r>
          </w:p>
        </w:tc>
        <w:tc>
          <w:tcPr>
            <w:tcW w:type="dxa" w:w="1440"/>
            <w:vAlign w:val="center"/>
            <w:shd w:fill="D9EAF7"/>
          </w:tcPr>
          <w:p>
            <w:r/>
            <w:r>
              <w:rPr>
                <w:rFonts w:ascii="Arial" w:hAnsi="Arial"/>
                <w:b/>
                <w:sz w:val="17"/>
              </w:rPr>
              <w:t>In-hospital MACE</w:t>
            </w:r>
          </w:p>
        </w:tc>
        <w:tc>
          <w:tcPr>
            <w:tcW w:type="dxa" w:w="3024"/>
            <w:vAlign w:val="center"/>
            <w:shd w:fill="D9EAF7"/>
          </w:tcPr>
          <w:p>
            <w:r/>
            <w:r>
              <w:rPr>
                <w:rFonts w:ascii="Arial" w:hAnsi="Arial"/>
                <w:b/>
                <w:sz w:val="17"/>
              </w:rPr>
              <w:t>Role</w:t>
            </w:r>
          </w:p>
        </w:tc>
      </w:tr>
      <w:tr>
        <w:tc>
          <w:tcPr>
            <w:tcW w:type="dxa" w:w="1800"/>
            <w:vAlign w:val="center"/>
          </w:tcPr>
          <w:p>
            <w:r/>
            <w:r>
              <w:rPr>
                <w:rFonts w:ascii="Arial" w:hAnsi="Arial"/>
                <w:b w:val="0"/>
                <w:sz w:val="17"/>
              </w:rPr>
              <w:t>Derivation</w:t>
            </w:r>
          </w:p>
        </w:tc>
        <w:tc>
          <w:tcPr>
            <w:tcW w:type="dxa" w:w="2448"/>
            <w:vAlign w:val="center"/>
          </w:tcPr>
          <w:p>
            <w:r/>
            <w:r>
              <w:rPr>
                <w:rFonts w:ascii="Arial" w:hAnsi="Arial"/>
                <w:b w:val="0"/>
                <w:sz w:val="17"/>
              </w:rPr>
              <w:t>First Hospital of Lanzhou University</w:t>
            </w:r>
          </w:p>
        </w:tc>
        <w:tc>
          <w:tcPr>
            <w:tcW w:type="dxa" w:w="1728"/>
            <w:vAlign w:val="center"/>
          </w:tcPr>
          <w:p>
            <w:r/>
            <w:r>
              <w:rPr>
                <w:rFonts w:ascii="Arial" w:hAnsi="Arial"/>
                <w:b w:val="0"/>
                <w:sz w:val="17"/>
              </w:rPr>
              <w:t>Jan-Dec 2024</w:t>
            </w:r>
          </w:p>
        </w:tc>
        <w:tc>
          <w:tcPr>
            <w:tcW w:type="dxa" w:w="936"/>
            <w:vAlign w:val="center"/>
          </w:tcPr>
          <w:p>
            <w:r/>
            <w:r>
              <w:rPr>
                <w:rFonts w:ascii="Arial" w:hAnsi="Arial"/>
                <w:b w:val="0"/>
                <w:sz w:val="17"/>
              </w:rPr>
              <w:t>1,218</w:t>
            </w:r>
          </w:p>
        </w:tc>
        <w:tc>
          <w:tcPr>
            <w:tcW w:type="dxa" w:w="1440"/>
            <w:vAlign w:val="center"/>
          </w:tcPr>
          <w:p>
            <w:r/>
            <w:r>
              <w:rPr>
                <w:rFonts w:ascii="Arial" w:hAnsi="Arial"/>
                <w:b w:val="0"/>
                <w:sz w:val="17"/>
              </w:rPr>
              <w:t>138 (11.3%)</w:t>
            </w:r>
          </w:p>
        </w:tc>
        <w:tc>
          <w:tcPr>
            <w:tcW w:type="dxa" w:w="3024"/>
            <w:vAlign w:val="center"/>
          </w:tcPr>
          <w:p>
            <w:r/>
            <w:r>
              <w:rPr>
                <w:rFonts w:ascii="Arial" w:hAnsi="Arial"/>
                <w:b w:val="0"/>
                <w:sz w:val="17"/>
              </w:rPr>
              <w:t>Model development; 70/30 training/internal validation split</w:t>
            </w:r>
          </w:p>
        </w:tc>
      </w:tr>
      <w:tr>
        <w:tc>
          <w:tcPr>
            <w:tcW w:type="dxa" w:w="1800"/>
            <w:vAlign w:val="center"/>
          </w:tcPr>
          <w:p>
            <w:r/>
            <w:r>
              <w:rPr>
                <w:rFonts w:ascii="Arial" w:hAnsi="Arial"/>
                <w:b w:val="0"/>
                <w:sz w:val="17"/>
              </w:rPr>
              <w:t>External validation</w:t>
            </w:r>
          </w:p>
        </w:tc>
        <w:tc>
          <w:tcPr>
            <w:tcW w:type="dxa" w:w="2448"/>
            <w:vAlign w:val="center"/>
          </w:tcPr>
          <w:p>
            <w:r/>
            <w:r>
              <w:rPr>
                <w:rFonts w:ascii="Arial" w:hAnsi="Arial"/>
                <w:b w:val="0"/>
                <w:sz w:val="17"/>
              </w:rPr>
              <w:t>Gansu Gem Flower Hospital</w:t>
            </w:r>
          </w:p>
        </w:tc>
        <w:tc>
          <w:tcPr>
            <w:tcW w:type="dxa" w:w="1728"/>
            <w:vAlign w:val="center"/>
          </w:tcPr>
          <w:p>
            <w:r/>
            <w:r>
              <w:rPr>
                <w:rFonts w:ascii="Arial" w:hAnsi="Arial"/>
                <w:b w:val="0"/>
                <w:sz w:val="17"/>
              </w:rPr>
              <w:t>Jan 2024-Dec 2025</w:t>
            </w:r>
          </w:p>
        </w:tc>
        <w:tc>
          <w:tcPr>
            <w:tcW w:type="dxa" w:w="936"/>
            <w:vAlign w:val="center"/>
          </w:tcPr>
          <w:p>
            <w:r/>
            <w:r>
              <w:rPr>
                <w:rFonts w:ascii="Arial" w:hAnsi="Arial"/>
                <w:b w:val="0"/>
                <w:sz w:val="17"/>
              </w:rPr>
              <w:t>508</w:t>
            </w:r>
          </w:p>
        </w:tc>
        <w:tc>
          <w:tcPr>
            <w:tcW w:type="dxa" w:w="1440"/>
            <w:vAlign w:val="center"/>
          </w:tcPr>
          <w:p>
            <w:r/>
            <w:r>
              <w:rPr>
                <w:rFonts w:ascii="Arial" w:hAnsi="Arial"/>
                <w:b w:val="0"/>
                <w:sz w:val="17"/>
              </w:rPr>
              <w:t>15 (3.0%)</w:t>
            </w:r>
          </w:p>
        </w:tc>
        <w:tc>
          <w:tcPr>
            <w:tcW w:type="dxa" w:w="3024"/>
            <w:vAlign w:val="center"/>
          </w:tcPr>
          <w:p>
            <w:r/>
            <w:r>
              <w:rPr>
                <w:rFonts w:ascii="Arial" w:hAnsi="Arial"/>
                <w:b w:val="0"/>
                <w:sz w:val="17"/>
              </w:rPr>
              <w:t>Independent hospital evaluation</w:t>
            </w:r>
          </w:p>
        </w:tc>
      </w:tr>
    </w:tbl>
    <w:p/>
    <w:p>
      <w:pPr>
        <w:pStyle w:val="Heading1"/>
      </w:pPr>
      <w:r>
        <w:t>Supplementary Methods S2. Outcome definition</w:t>
      </w:r>
    </w:p>
    <w:p>
      <w:r>
        <w:t>The primary endpoint was in-hospital major adverse cardiovascular events (MACE). The manuscript defines MACE as a composite of death, cerebral hemorrhage, cerebral infarction, cardiogenic shock, cardiac rupture, recurrent myocardial infarction, stent thrombosis, and Bleeding Academic Research Consortium (BARC) bleeding events. A total of 138 derivation-cohort patients and 15 external-validation patients experienced at least one in-hospital MACE. Accordingly, all outcome-group labels should be interpreted as “in-hospital MACE” versus “no in-hospital MACE,” not “deceased” versus “survived.”</w:t>
      </w:r>
    </w:p>
    <w:p>
      <w:pPr>
        <w:pStyle w:val="Heading1"/>
      </w:pPr>
      <w:r>
        <w:t>Supplementary Methods S3. Candidate predictor domains and timing</w:t>
      </w:r>
    </w:p>
    <w:tbl>
      <w:tblPr>
        <w:tblStyle w:val="TableGrid"/>
        <w:tblW w:type="auto" w:w="0"/>
        <w:jc w:val="center"/>
        <w:tblLook w:firstColumn="1" w:firstRow="1" w:lastColumn="0" w:lastRow="0" w:noHBand="0" w:noVBand="1" w:val="04A0"/>
      </w:tblPr>
      <w:tblGrid>
        <w:gridCol w:w="3360"/>
        <w:gridCol w:w="3360"/>
        <w:gridCol w:w="3360"/>
      </w:tblGrid>
      <w:tr>
        <w:tc>
          <w:tcPr>
            <w:tcW w:type="dxa" w:w="1800"/>
            <w:vAlign w:val="center"/>
            <w:shd w:fill="D9EAF7"/>
          </w:tcPr>
          <w:p>
            <w:r/>
            <w:r>
              <w:rPr>
                <w:rFonts w:ascii="Arial" w:hAnsi="Arial"/>
                <w:b/>
                <w:sz w:val="16"/>
              </w:rPr>
              <w:t>Domain</w:t>
            </w:r>
          </w:p>
        </w:tc>
        <w:tc>
          <w:tcPr>
            <w:tcW w:type="dxa" w:w="5760"/>
            <w:vAlign w:val="center"/>
            <w:shd w:fill="D9EAF7"/>
          </w:tcPr>
          <w:p>
            <w:r/>
            <w:r>
              <w:rPr>
                <w:rFonts w:ascii="Arial" w:hAnsi="Arial"/>
                <w:b/>
                <w:sz w:val="16"/>
              </w:rPr>
              <w:t>Examples reported in manuscript</w:t>
            </w:r>
          </w:p>
        </w:tc>
        <w:tc>
          <w:tcPr>
            <w:tcW w:type="dxa" w:w="3168"/>
            <w:vAlign w:val="center"/>
            <w:shd w:fill="D9EAF7"/>
          </w:tcPr>
          <w:p>
            <w:r/>
            <w:r>
              <w:rPr>
                <w:rFonts w:ascii="Arial" w:hAnsi="Arial"/>
                <w:b/>
                <w:sz w:val="16"/>
              </w:rPr>
              <w:t>Timing / interpretation</w:t>
            </w:r>
          </w:p>
        </w:tc>
      </w:tr>
      <w:tr>
        <w:tc>
          <w:tcPr>
            <w:tcW w:type="dxa" w:w="1800"/>
            <w:vAlign w:val="center"/>
          </w:tcPr>
          <w:p>
            <w:r/>
            <w:r>
              <w:rPr>
                <w:rFonts w:ascii="Arial" w:hAnsi="Arial"/>
                <w:b w:val="0"/>
                <w:sz w:val="16"/>
              </w:rPr>
              <w:t>Demographics/clinical</w:t>
            </w:r>
          </w:p>
        </w:tc>
        <w:tc>
          <w:tcPr>
            <w:tcW w:type="dxa" w:w="5760"/>
            <w:vAlign w:val="center"/>
          </w:tcPr>
          <w:p>
            <w:r/>
            <w:r>
              <w:rPr>
                <w:rFonts w:ascii="Arial" w:hAnsi="Arial"/>
                <w:b w:val="0"/>
                <w:sz w:val="16"/>
              </w:rPr>
              <w:t>Sex, age, height, weight, BMI, SBP, DBP, HR, ischemia time; medical history including hypertension, CAD, T2DM, stroke, AF, COPD, smoking, drinking and family history</w:t>
            </w:r>
          </w:p>
        </w:tc>
        <w:tc>
          <w:tcPr>
            <w:tcW w:type="dxa" w:w="3168"/>
            <w:vAlign w:val="center"/>
          </w:tcPr>
          <w:p>
            <w:r/>
            <w:r>
              <w:rPr>
                <w:rFonts w:ascii="Arial" w:hAnsi="Arial"/>
                <w:b w:val="0"/>
                <w:sz w:val="16"/>
              </w:rPr>
              <w:t>Routinely recorded during hospitalization/admission</w:t>
            </w:r>
          </w:p>
        </w:tc>
      </w:tr>
      <w:tr>
        <w:tc>
          <w:tcPr>
            <w:tcW w:type="dxa" w:w="1800"/>
            <w:vAlign w:val="center"/>
          </w:tcPr>
          <w:p>
            <w:r/>
            <w:r>
              <w:rPr>
                <w:rFonts w:ascii="Arial" w:hAnsi="Arial"/>
                <w:b w:val="0"/>
                <w:sz w:val="16"/>
              </w:rPr>
              <w:t>Procedural/support</w:t>
            </w:r>
          </w:p>
        </w:tc>
        <w:tc>
          <w:tcPr>
            <w:tcW w:type="dxa" w:w="5760"/>
            <w:vAlign w:val="center"/>
          </w:tcPr>
          <w:p>
            <w:r/>
            <w:r>
              <w:rPr>
                <w:rFonts w:ascii="Arial" w:hAnsi="Arial"/>
                <w:b w:val="0"/>
                <w:sz w:val="16"/>
              </w:rPr>
              <w:t>IABP duration, ECMO, pacemaker, coronary lesion locations, stent number</w:t>
            </w:r>
          </w:p>
        </w:tc>
        <w:tc>
          <w:tcPr>
            <w:tcW w:type="dxa" w:w="3168"/>
            <w:vAlign w:val="center"/>
          </w:tcPr>
          <w:p>
            <w:r/>
            <w:r>
              <w:rPr>
                <w:rFonts w:ascii="Arial" w:hAnsi="Arial"/>
                <w:b w:val="0"/>
                <w:sz w:val="16"/>
              </w:rPr>
              <w:t>During early hospitalization/procedure; ECMO and IABP are treatment/severity markers</w:t>
            </w:r>
          </w:p>
        </w:tc>
      </w:tr>
      <w:tr>
        <w:tc>
          <w:tcPr>
            <w:tcW w:type="dxa" w:w="1800"/>
            <w:vAlign w:val="center"/>
          </w:tcPr>
          <w:p>
            <w:r/>
            <w:r>
              <w:rPr>
                <w:rFonts w:ascii="Arial" w:hAnsi="Arial"/>
                <w:b w:val="0"/>
                <w:sz w:val="16"/>
              </w:rPr>
              <w:t>Hematology</w:t>
            </w:r>
          </w:p>
        </w:tc>
        <w:tc>
          <w:tcPr>
            <w:tcW w:type="dxa" w:w="5760"/>
            <w:vAlign w:val="center"/>
          </w:tcPr>
          <w:p>
            <w:r/>
            <w:r>
              <w:rPr>
                <w:rFonts w:ascii="Arial" w:hAnsi="Arial"/>
                <w:b w:val="0"/>
                <w:sz w:val="16"/>
              </w:rPr>
              <w:t>WBC, RBC, Hb, HCT, PLT and indices; differential leukocyte counts; reticulocyte and immature granulocyte measures</w:t>
            </w:r>
          </w:p>
        </w:tc>
        <w:tc>
          <w:tcPr>
            <w:tcW w:type="dxa" w:w="3168"/>
            <w:vAlign w:val="center"/>
          </w:tcPr>
          <w:p>
            <w:r/>
            <w:r>
              <w:rPr>
                <w:rFonts w:ascii="Arial" w:hAnsi="Arial"/>
                <w:b w:val="0"/>
                <w:sz w:val="16"/>
              </w:rPr>
              <w:t>First blood sample after admission and before primary PCI, as specified in the manuscript</w:t>
            </w:r>
          </w:p>
        </w:tc>
      </w:tr>
      <w:tr>
        <w:tc>
          <w:tcPr>
            <w:tcW w:type="dxa" w:w="1800"/>
            <w:vAlign w:val="center"/>
          </w:tcPr>
          <w:p>
            <w:r/>
            <w:r>
              <w:rPr>
                <w:rFonts w:ascii="Arial" w:hAnsi="Arial"/>
                <w:b w:val="0"/>
                <w:sz w:val="16"/>
              </w:rPr>
              <w:t>Biochemistry</w:t>
            </w:r>
          </w:p>
        </w:tc>
        <w:tc>
          <w:tcPr>
            <w:tcW w:type="dxa" w:w="5760"/>
            <w:vAlign w:val="center"/>
          </w:tcPr>
          <w:p>
            <w:r/>
            <w:r>
              <w:rPr>
                <w:rFonts w:ascii="Arial" w:hAnsi="Arial"/>
                <w:b w:val="0"/>
                <w:sz w:val="16"/>
              </w:rPr>
              <w:t>Liver/kidney function, proteins, bilirubin, lipids, glucose, electrolytes, iron metabolism and other chemistry variables</w:t>
            </w:r>
          </w:p>
        </w:tc>
        <w:tc>
          <w:tcPr>
            <w:tcW w:type="dxa" w:w="3168"/>
            <w:vAlign w:val="center"/>
          </w:tcPr>
          <w:p>
            <w:r/>
            <w:r>
              <w:rPr>
                <w:rFonts w:ascii="Arial" w:hAnsi="Arial"/>
                <w:b w:val="0"/>
                <w:sz w:val="16"/>
              </w:rPr>
              <w:t>First blood sample after admission and before primary PCI</w:t>
            </w:r>
          </w:p>
        </w:tc>
      </w:tr>
      <w:tr>
        <w:tc>
          <w:tcPr>
            <w:tcW w:type="dxa" w:w="1800"/>
            <w:vAlign w:val="center"/>
          </w:tcPr>
          <w:p>
            <w:r/>
            <w:r>
              <w:rPr>
                <w:rFonts w:ascii="Arial" w:hAnsi="Arial"/>
                <w:b w:val="0"/>
                <w:sz w:val="16"/>
              </w:rPr>
              <w:t>Cardiac/inflammatory biomarkers</w:t>
            </w:r>
          </w:p>
        </w:tc>
        <w:tc>
          <w:tcPr>
            <w:tcW w:type="dxa" w:w="5760"/>
            <w:vAlign w:val="center"/>
          </w:tcPr>
          <w:p>
            <w:r/>
            <w:r>
              <w:rPr>
                <w:rFonts w:ascii="Arial" w:hAnsi="Arial"/>
                <w:b w:val="0"/>
                <w:sz w:val="16"/>
              </w:rPr>
              <w:t>NT-proBNP, hsCRP, cTnI, MYO, CK, CK-MB, LDH, αHBDH, HCY and related biomarkers</w:t>
            </w:r>
          </w:p>
        </w:tc>
        <w:tc>
          <w:tcPr>
            <w:tcW w:type="dxa" w:w="3168"/>
            <w:vAlign w:val="center"/>
          </w:tcPr>
          <w:p>
            <w:r/>
            <w:r>
              <w:rPr>
                <w:rFonts w:ascii="Arial" w:hAnsi="Arial"/>
                <w:b w:val="0"/>
                <w:sz w:val="16"/>
              </w:rPr>
              <w:t>First blood sample after admission and before primary PCI</w:t>
            </w:r>
          </w:p>
        </w:tc>
      </w:tr>
      <w:tr>
        <w:tc>
          <w:tcPr>
            <w:tcW w:type="dxa" w:w="1800"/>
            <w:vAlign w:val="center"/>
          </w:tcPr>
          <w:p>
            <w:r/>
            <w:r>
              <w:rPr>
                <w:rFonts w:ascii="Arial" w:hAnsi="Arial"/>
                <w:b w:val="0"/>
                <w:sz w:val="16"/>
              </w:rPr>
              <w:t>Echocardiography</w:t>
            </w:r>
          </w:p>
        </w:tc>
        <w:tc>
          <w:tcPr>
            <w:tcW w:type="dxa" w:w="5760"/>
            <w:vAlign w:val="center"/>
          </w:tcPr>
          <w:p>
            <w:r/>
            <w:r>
              <w:rPr>
                <w:rFonts w:ascii="Arial" w:hAnsi="Arial"/>
                <w:b w:val="0"/>
                <w:sz w:val="16"/>
              </w:rPr>
              <w:t>LAD, MV_E, MV_A, LVEF, LVEDV, LVESV</w:t>
            </w:r>
          </w:p>
        </w:tc>
        <w:tc>
          <w:tcPr>
            <w:tcW w:type="dxa" w:w="3168"/>
            <w:vAlign w:val="center"/>
          </w:tcPr>
          <w:p>
            <w:r/>
            <w:r>
              <w:rPr>
                <w:rFonts w:ascii="Arial" w:hAnsi="Arial"/>
                <w:b w:val="0"/>
                <w:sz w:val="16"/>
              </w:rPr>
              <w:t>First echocardiographic report within 24 h of admission</w:t>
            </w:r>
          </w:p>
        </w:tc>
      </w:tr>
      <w:tr>
        <w:tc>
          <w:tcPr>
            <w:tcW w:type="dxa" w:w="1800"/>
            <w:vAlign w:val="center"/>
          </w:tcPr>
          <w:p>
            <w:r/>
            <w:r>
              <w:rPr>
                <w:rFonts w:ascii="Arial" w:hAnsi="Arial"/>
                <w:b w:val="0"/>
                <w:sz w:val="16"/>
              </w:rPr>
              <w:t>Medication</w:t>
            </w:r>
          </w:p>
        </w:tc>
        <w:tc>
          <w:tcPr>
            <w:tcW w:type="dxa" w:w="5760"/>
            <w:vAlign w:val="center"/>
          </w:tcPr>
          <w:p>
            <w:r/>
            <w:r>
              <w:rPr>
                <w:rFonts w:ascii="Arial" w:hAnsi="Arial"/>
                <w:b w:val="0"/>
                <w:sz w:val="16"/>
              </w:rPr>
              <w:t>Ticagrelor, statins, fibrates, ezetimibe, ACEI, ARB, ARNI, beta-blocker, CCB, diuretics, SGLT2i</w:t>
            </w:r>
          </w:p>
        </w:tc>
        <w:tc>
          <w:tcPr>
            <w:tcW w:type="dxa" w:w="3168"/>
            <w:vAlign w:val="center"/>
          </w:tcPr>
          <w:p>
            <w:r/>
            <w:r>
              <w:rPr>
                <w:rFonts w:ascii="Arial" w:hAnsi="Arial"/>
                <w:b w:val="0"/>
                <w:sz w:val="16"/>
              </w:rPr>
              <w:t>Medication history at admission</w:t>
            </w:r>
          </w:p>
        </w:tc>
      </w:tr>
    </w:tbl>
    <w:p/>
    <w:p>
      <w:r>
        <w:rPr>
          <w:b/>
        </w:rPr>
        <w:t xml:space="preserve">Important implementation note. </w:t>
      </w:r>
      <w:r>
        <w:t>Because LVEF was obtained within 24 h and ECMO may be initiated after admission in response to clinical deterioration, the current model is best interpreted as an early in-hospital dynamic risk model rather than a strictly pre-PCI or admission-only triage model.</w:t>
      </w:r>
    </w:p>
    <w:p>
      <w:pPr>
        <w:pStyle w:val="Heading1"/>
      </w:pPr>
      <w:r>
        <w:t>Supplementary Methods S4. Missing data and data quality</w:t>
      </w:r>
    </w:p>
    <w:p>
      <w:r>
        <w:t>Multiple imputation by chained equations (MICE) was used to address missing values. The manuscript reports the following variable-specific missingness in the derivation cohort; most remaining variables had &lt;0.5% missingness.</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D9EAF7"/>
          </w:tcPr>
          <w:p>
            <w:r/>
            <w:r>
              <w:rPr>
                <w:rFonts w:ascii="Arial" w:hAnsi="Arial"/>
                <w:b/>
                <w:sz w:val="17"/>
              </w:rPr>
              <w:t>Variable</w:t>
            </w:r>
          </w:p>
        </w:tc>
        <w:tc>
          <w:tcPr>
            <w:tcW w:type="dxa" w:w="2880"/>
            <w:vAlign w:val="center"/>
            <w:shd w:fill="D9EAF7"/>
          </w:tcPr>
          <w:p>
            <w:r/>
            <w:r>
              <w:rPr>
                <w:rFonts w:ascii="Arial" w:hAnsi="Arial"/>
                <w:b/>
                <w:sz w:val="17"/>
              </w:rPr>
              <w:t>Missing, n (%)</w:t>
            </w:r>
          </w:p>
        </w:tc>
      </w:tr>
      <w:tr>
        <w:tc>
          <w:tcPr>
            <w:tcW w:type="dxa" w:w="5040"/>
            <w:vAlign w:val="center"/>
          </w:tcPr>
          <w:p>
            <w:r/>
            <w:r>
              <w:rPr>
                <w:rFonts w:ascii="Arial" w:hAnsi="Arial"/>
                <w:b w:val="0"/>
                <w:sz w:val="17"/>
              </w:rPr>
              <w:t>NT-proBNP</w:t>
            </w:r>
          </w:p>
        </w:tc>
        <w:tc>
          <w:tcPr>
            <w:tcW w:type="dxa" w:w="2880"/>
            <w:vAlign w:val="center"/>
          </w:tcPr>
          <w:p>
            <w:r/>
            <w:r>
              <w:rPr>
                <w:rFonts w:ascii="Arial" w:hAnsi="Arial"/>
                <w:b w:val="0"/>
                <w:sz w:val="17"/>
              </w:rPr>
              <w:t>14 (1.1%)</w:t>
            </w:r>
          </w:p>
        </w:tc>
      </w:tr>
      <w:tr>
        <w:tc>
          <w:tcPr>
            <w:tcW w:type="dxa" w:w="5040"/>
            <w:vAlign w:val="center"/>
          </w:tcPr>
          <w:p>
            <w:r/>
            <w:r>
              <w:rPr>
                <w:rFonts w:ascii="Arial" w:hAnsi="Arial"/>
                <w:b w:val="0"/>
                <w:sz w:val="17"/>
              </w:rPr>
              <w:t>D-dimer</w:t>
            </w:r>
          </w:p>
        </w:tc>
        <w:tc>
          <w:tcPr>
            <w:tcW w:type="dxa" w:w="2880"/>
            <w:vAlign w:val="center"/>
          </w:tcPr>
          <w:p>
            <w:r/>
            <w:r>
              <w:rPr>
                <w:rFonts w:ascii="Arial" w:hAnsi="Arial"/>
                <w:b w:val="0"/>
                <w:sz w:val="17"/>
              </w:rPr>
              <w:t>99 (8.1%)</w:t>
            </w:r>
          </w:p>
        </w:tc>
      </w:tr>
      <w:tr>
        <w:tc>
          <w:tcPr>
            <w:tcW w:type="dxa" w:w="5040"/>
            <w:vAlign w:val="center"/>
          </w:tcPr>
          <w:p>
            <w:r/>
            <w:r>
              <w:rPr>
                <w:rFonts w:ascii="Arial" w:hAnsi="Arial"/>
                <w:b w:val="0"/>
                <w:sz w:val="17"/>
              </w:rPr>
              <w:t>AFU</w:t>
            </w:r>
          </w:p>
        </w:tc>
        <w:tc>
          <w:tcPr>
            <w:tcW w:type="dxa" w:w="2880"/>
            <w:vAlign w:val="center"/>
          </w:tcPr>
          <w:p>
            <w:r/>
            <w:r>
              <w:rPr>
                <w:rFonts w:ascii="Arial" w:hAnsi="Arial"/>
                <w:b w:val="0"/>
                <w:sz w:val="17"/>
              </w:rPr>
              <w:t>113 (9.3%)</w:t>
            </w:r>
          </w:p>
        </w:tc>
      </w:tr>
      <w:tr>
        <w:tc>
          <w:tcPr>
            <w:tcW w:type="dxa" w:w="5040"/>
            <w:vAlign w:val="center"/>
          </w:tcPr>
          <w:p>
            <w:r/>
            <w:r>
              <w:rPr>
                <w:rFonts w:ascii="Arial" w:hAnsi="Arial"/>
                <w:b w:val="0"/>
                <w:sz w:val="17"/>
              </w:rPr>
              <w:t>αHBDH</w:t>
            </w:r>
          </w:p>
        </w:tc>
        <w:tc>
          <w:tcPr>
            <w:tcW w:type="dxa" w:w="2880"/>
            <w:vAlign w:val="center"/>
          </w:tcPr>
          <w:p>
            <w:r/>
            <w:r>
              <w:rPr>
                <w:rFonts w:ascii="Arial" w:hAnsi="Arial"/>
                <w:b w:val="0"/>
                <w:sz w:val="17"/>
              </w:rPr>
              <w:t>112 (9.2%)</w:t>
            </w:r>
          </w:p>
        </w:tc>
      </w:tr>
      <w:tr>
        <w:tc>
          <w:tcPr>
            <w:tcW w:type="dxa" w:w="5040"/>
            <w:vAlign w:val="center"/>
          </w:tcPr>
          <w:p>
            <w:r/>
            <w:r>
              <w:rPr>
                <w:rFonts w:ascii="Arial" w:hAnsi="Arial"/>
                <w:b w:val="0"/>
                <w:sz w:val="17"/>
              </w:rPr>
              <w:t>HCY</w:t>
            </w:r>
          </w:p>
        </w:tc>
        <w:tc>
          <w:tcPr>
            <w:tcW w:type="dxa" w:w="2880"/>
            <w:vAlign w:val="center"/>
          </w:tcPr>
          <w:p>
            <w:r/>
            <w:r>
              <w:rPr>
                <w:rFonts w:ascii="Arial" w:hAnsi="Arial"/>
                <w:b w:val="0"/>
                <w:sz w:val="17"/>
              </w:rPr>
              <w:t>113 (9.3%)</w:t>
            </w:r>
          </w:p>
        </w:tc>
      </w:tr>
      <w:tr>
        <w:tc>
          <w:tcPr>
            <w:tcW w:type="dxa" w:w="5040"/>
            <w:vAlign w:val="center"/>
          </w:tcPr>
          <w:p>
            <w:r/>
            <w:r>
              <w:rPr>
                <w:rFonts w:ascii="Arial" w:hAnsi="Arial"/>
                <w:b w:val="0"/>
                <w:sz w:val="17"/>
              </w:rPr>
              <w:t>TBA</w:t>
            </w:r>
          </w:p>
        </w:tc>
        <w:tc>
          <w:tcPr>
            <w:tcW w:type="dxa" w:w="2880"/>
            <w:vAlign w:val="center"/>
          </w:tcPr>
          <w:p>
            <w:r/>
            <w:r>
              <w:rPr>
                <w:rFonts w:ascii="Arial" w:hAnsi="Arial"/>
                <w:b w:val="0"/>
                <w:sz w:val="17"/>
              </w:rPr>
              <w:t>113 (9.3%)</w:t>
            </w:r>
          </w:p>
        </w:tc>
      </w:tr>
      <w:tr>
        <w:tc>
          <w:tcPr>
            <w:tcW w:type="dxa" w:w="5040"/>
            <w:vAlign w:val="center"/>
          </w:tcPr>
          <w:p>
            <w:r/>
            <w:r>
              <w:rPr>
                <w:rFonts w:ascii="Arial" w:hAnsi="Arial"/>
                <w:b w:val="0"/>
                <w:sz w:val="17"/>
              </w:rPr>
              <w:t>AMY</w:t>
            </w:r>
          </w:p>
        </w:tc>
        <w:tc>
          <w:tcPr>
            <w:tcW w:type="dxa" w:w="2880"/>
            <w:vAlign w:val="center"/>
          </w:tcPr>
          <w:p>
            <w:r/>
            <w:r>
              <w:rPr>
                <w:rFonts w:ascii="Arial" w:hAnsi="Arial"/>
                <w:b w:val="0"/>
                <w:sz w:val="17"/>
              </w:rPr>
              <w:t>113 (9.3%)</w:t>
            </w:r>
          </w:p>
        </w:tc>
      </w:tr>
      <w:tr>
        <w:tc>
          <w:tcPr>
            <w:tcW w:type="dxa" w:w="5040"/>
            <w:vAlign w:val="center"/>
          </w:tcPr>
          <w:p>
            <w:r/>
            <w:r>
              <w:rPr>
                <w:rFonts w:ascii="Arial" w:hAnsi="Arial"/>
                <w:b w:val="0"/>
                <w:sz w:val="17"/>
              </w:rPr>
              <w:t>CK-MB</w:t>
            </w:r>
          </w:p>
        </w:tc>
        <w:tc>
          <w:tcPr>
            <w:tcW w:type="dxa" w:w="2880"/>
            <w:vAlign w:val="center"/>
          </w:tcPr>
          <w:p>
            <w:r/>
            <w:r>
              <w:rPr>
                <w:rFonts w:ascii="Arial" w:hAnsi="Arial"/>
                <w:b w:val="0"/>
                <w:sz w:val="17"/>
              </w:rPr>
              <w:t>113 (9.3%)</w:t>
            </w:r>
          </w:p>
        </w:tc>
      </w:tr>
      <w:tr>
        <w:tc>
          <w:tcPr>
            <w:tcW w:type="dxa" w:w="5040"/>
            <w:vAlign w:val="center"/>
          </w:tcPr>
          <w:p>
            <w:r/>
            <w:r>
              <w:rPr>
                <w:rFonts w:ascii="Arial" w:hAnsi="Arial"/>
                <w:b w:val="0"/>
                <w:sz w:val="17"/>
              </w:rPr>
              <w:t>CHE</w:t>
            </w:r>
          </w:p>
        </w:tc>
        <w:tc>
          <w:tcPr>
            <w:tcW w:type="dxa" w:w="2880"/>
            <w:vAlign w:val="center"/>
          </w:tcPr>
          <w:p>
            <w:r/>
            <w:r>
              <w:rPr>
                <w:rFonts w:ascii="Arial" w:hAnsi="Arial"/>
                <w:b w:val="0"/>
                <w:sz w:val="17"/>
              </w:rPr>
              <w:t>113 (9.3%)</w:t>
            </w:r>
          </w:p>
        </w:tc>
      </w:tr>
      <w:tr>
        <w:tc>
          <w:tcPr>
            <w:tcW w:type="dxa" w:w="5040"/>
            <w:vAlign w:val="center"/>
          </w:tcPr>
          <w:p>
            <w:r/>
            <w:r>
              <w:rPr>
                <w:rFonts w:ascii="Arial" w:hAnsi="Arial"/>
                <w:b w:val="0"/>
                <w:sz w:val="17"/>
              </w:rPr>
              <w:t>Lp(a)</w:t>
            </w:r>
          </w:p>
        </w:tc>
        <w:tc>
          <w:tcPr>
            <w:tcW w:type="dxa" w:w="2880"/>
            <w:vAlign w:val="center"/>
          </w:tcPr>
          <w:p>
            <w:r/>
            <w:r>
              <w:rPr>
                <w:rFonts w:ascii="Arial" w:hAnsi="Arial"/>
                <w:b w:val="0"/>
                <w:sz w:val="17"/>
              </w:rPr>
              <w:t>111 (9.1%)</w:t>
            </w:r>
          </w:p>
        </w:tc>
      </w:tr>
      <w:tr>
        <w:tc>
          <w:tcPr>
            <w:tcW w:type="dxa" w:w="5040"/>
            <w:vAlign w:val="center"/>
          </w:tcPr>
          <w:p>
            <w:r/>
            <w:r>
              <w:rPr>
                <w:rFonts w:ascii="Arial" w:hAnsi="Arial"/>
                <w:b w:val="0"/>
                <w:sz w:val="17"/>
              </w:rPr>
              <w:t>ApoA1</w:t>
            </w:r>
          </w:p>
        </w:tc>
        <w:tc>
          <w:tcPr>
            <w:tcW w:type="dxa" w:w="2880"/>
            <w:vAlign w:val="center"/>
          </w:tcPr>
          <w:p>
            <w:r/>
            <w:r>
              <w:rPr>
                <w:rFonts w:ascii="Arial" w:hAnsi="Arial"/>
                <w:b w:val="0"/>
                <w:sz w:val="17"/>
              </w:rPr>
              <w:t>111 (9.1%)</w:t>
            </w:r>
          </w:p>
        </w:tc>
      </w:tr>
      <w:tr>
        <w:tc>
          <w:tcPr>
            <w:tcW w:type="dxa" w:w="5040"/>
            <w:vAlign w:val="center"/>
          </w:tcPr>
          <w:p>
            <w:r/>
            <w:r>
              <w:rPr>
                <w:rFonts w:ascii="Arial" w:hAnsi="Arial"/>
                <w:b w:val="0"/>
                <w:sz w:val="17"/>
              </w:rPr>
              <w:t>ApoB/A1 ratio</w:t>
            </w:r>
          </w:p>
        </w:tc>
        <w:tc>
          <w:tcPr>
            <w:tcW w:type="dxa" w:w="2880"/>
            <w:vAlign w:val="center"/>
          </w:tcPr>
          <w:p>
            <w:r/>
            <w:r>
              <w:rPr>
                <w:rFonts w:ascii="Arial" w:hAnsi="Arial"/>
                <w:b w:val="0"/>
                <w:sz w:val="17"/>
              </w:rPr>
              <w:t>111 (9.1%)</w:t>
            </w:r>
          </w:p>
        </w:tc>
      </w:tr>
      <w:tr>
        <w:tc>
          <w:tcPr>
            <w:tcW w:type="dxa" w:w="5040"/>
            <w:vAlign w:val="center"/>
          </w:tcPr>
          <w:p>
            <w:r/>
            <w:r>
              <w:rPr>
                <w:rFonts w:ascii="Arial" w:hAnsi="Arial"/>
                <w:b w:val="0"/>
                <w:sz w:val="17"/>
              </w:rPr>
              <w:t>ApoB</w:t>
            </w:r>
          </w:p>
        </w:tc>
        <w:tc>
          <w:tcPr>
            <w:tcW w:type="dxa" w:w="2880"/>
            <w:vAlign w:val="center"/>
          </w:tcPr>
          <w:p>
            <w:r/>
            <w:r>
              <w:rPr>
                <w:rFonts w:ascii="Arial" w:hAnsi="Arial"/>
                <w:b w:val="0"/>
                <w:sz w:val="17"/>
              </w:rPr>
              <w:t>111 (9.1%)</w:t>
            </w:r>
          </w:p>
        </w:tc>
      </w:tr>
      <w:tr>
        <w:tc>
          <w:tcPr>
            <w:tcW w:type="dxa" w:w="5040"/>
            <w:vAlign w:val="center"/>
          </w:tcPr>
          <w:p>
            <w:r/>
            <w:r>
              <w:rPr>
                <w:rFonts w:ascii="Arial" w:hAnsi="Arial"/>
                <w:b w:val="0"/>
                <w:sz w:val="17"/>
              </w:rPr>
              <w:t>CRP</w:t>
            </w:r>
          </w:p>
        </w:tc>
        <w:tc>
          <w:tcPr>
            <w:tcW w:type="dxa" w:w="2880"/>
            <w:vAlign w:val="center"/>
          </w:tcPr>
          <w:p>
            <w:r/>
            <w:r>
              <w:rPr>
                <w:rFonts w:ascii="Arial" w:hAnsi="Arial"/>
                <w:b w:val="0"/>
                <w:sz w:val="17"/>
              </w:rPr>
              <w:t>31 (2.5%)</w:t>
            </w:r>
          </w:p>
        </w:tc>
      </w:tr>
      <w:tr>
        <w:tc>
          <w:tcPr>
            <w:tcW w:type="dxa" w:w="5040"/>
            <w:vAlign w:val="center"/>
          </w:tcPr>
          <w:p>
            <w:r/>
            <w:r>
              <w:rPr>
                <w:rFonts w:ascii="Arial" w:hAnsi="Arial"/>
                <w:b w:val="0"/>
                <w:sz w:val="17"/>
              </w:rPr>
              <w:t>HR</w:t>
            </w:r>
          </w:p>
        </w:tc>
        <w:tc>
          <w:tcPr>
            <w:tcW w:type="dxa" w:w="2880"/>
            <w:vAlign w:val="center"/>
          </w:tcPr>
          <w:p>
            <w:r/>
            <w:r>
              <w:rPr>
                <w:rFonts w:ascii="Arial" w:hAnsi="Arial"/>
                <w:b w:val="0"/>
                <w:sz w:val="17"/>
              </w:rPr>
              <w:t>8 (0.7%)</w:t>
            </w:r>
          </w:p>
        </w:tc>
      </w:tr>
      <w:tr>
        <w:tc>
          <w:tcPr>
            <w:tcW w:type="dxa" w:w="5040"/>
            <w:vAlign w:val="center"/>
          </w:tcPr>
          <w:p>
            <w:r/>
            <w:r>
              <w:rPr>
                <w:rFonts w:ascii="Arial" w:hAnsi="Arial"/>
                <w:b w:val="0"/>
                <w:sz w:val="17"/>
              </w:rPr>
              <w:t>Pacemaker</w:t>
            </w:r>
          </w:p>
        </w:tc>
        <w:tc>
          <w:tcPr>
            <w:tcW w:type="dxa" w:w="2880"/>
            <w:vAlign w:val="center"/>
          </w:tcPr>
          <w:p>
            <w:r/>
            <w:r>
              <w:rPr>
                <w:rFonts w:ascii="Arial" w:hAnsi="Arial"/>
                <w:b w:val="0"/>
                <w:sz w:val="17"/>
              </w:rPr>
              <w:t>7 (0.6%)</w:t>
            </w:r>
          </w:p>
        </w:tc>
      </w:tr>
      <w:tr>
        <w:tc>
          <w:tcPr>
            <w:tcW w:type="dxa" w:w="5040"/>
            <w:vAlign w:val="center"/>
          </w:tcPr>
          <w:p>
            <w:r/>
            <w:r>
              <w:rPr>
                <w:rFonts w:ascii="Arial" w:hAnsi="Arial"/>
                <w:b w:val="0"/>
                <w:sz w:val="17"/>
              </w:rPr>
              <w:t>OSM</w:t>
            </w:r>
          </w:p>
        </w:tc>
        <w:tc>
          <w:tcPr>
            <w:tcW w:type="dxa" w:w="2880"/>
            <w:vAlign w:val="center"/>
          </w:tcPr>
          <w:p>
            <w:r/>
            <w:r>
              <w:rPr>
                <w:rFonts w:ascii="Arial" w:hAnsi="Arial"/>
                <w:b w:val="0"/>
                <w:sz w:val="17"/>
              </w:rPr>
              <w:t>7 (0.6%)</w:t>
            </w:r>
          </w:p>
        </w:tc>
      </w:tr>
      <w:tr>
        <w:tc>
          <w:tcPr>
            <w:tcW w:type="dxa" w:w="5040"/>
            <w:vAlign w:val="center"/>
          </w:tcPr>
          <w:p>
            <w:r/>
            <w:r>
              <w:rPr>
                <w:rFonts w:ascii="Arial" w:hAnsi="Arial"/>
                <w:b w:val="0"/>
                <w:sz w:val="17"/>
              </w:rPr>
              <w:t>GLB</w:t>
            </w:r>
          </w:p>
        </w:tc>
        <w:tc>
          <w:tcPr>
            <w:tcW w:type="dxa" w:w="2880"/>
            <w:vAlign w:val="center"/>
          </w:tcPr>
          <w:p>
            <w:r/>
            <w:r>
              <w:rPr>
                <w:rFonts w:ascii="Arial" w:hAnsi="Arial"/>
                <w:b w:val="0"/>
                <w:sz w:val="17"/>
              </w:rPr>
              <w:t>7 (0.6%)</w:t>
            </w:r>
          </w:p>
        </w:tc>
      </w:tr>
      <w:tr>
        <w:tc>
          <w:tcPr>
            <w:tcW w:type="dxa" w:w="5040"/>
            <w:vAlign w:val="center"/>
          </w:tcPr>
          <w:p>
            <w:r/>
            <w:r>
              <w:rPr>
                <w:rFonts w:ascii="Arial" w:hAnsi="Arial"/>
                <w:b w:val="0"/>
                <w:sz w:val="17"/>
              </w:rPr>
              <w:t>Mg</w:t>
            </w:r>
          </w:p>
        </w:tc>
        <w:tc>
          <w:tcPr>
            <w:tcW w:type="dxa" w:w="2880"/>
            <w:vAlign w:val="center"/>
          </w:tcPr>
          <w:p>
            <w:r/>
            <w:r>
              <w:rPr>
                <w:rFonts w:ascii="Arial" w:hAnsi="Arial"/>
                <w:b w:val="0"/>
                <w:sz w:val="17"/>
              </w:rPr>
              <w:t>7 (0.6%)</w:t>
            </w:r>
          </w:p>
        </w:tc>
      </w:tr>
      <w:tr>
        <w:tc>
          <w:tcPr>
            <w:tcW w:type="dxa" w:w="5040"/>
            <w:vAlign w:val="center"/>
          </w:tcPr>
          <w:p>
            <w:r/>
            <w:r>
              <w:rPr>
                <w:rFonts w:ascii="Arial" w:hAnsi="Arial"/>
                <w:b w:val="0"/>
                <w:sz w:val="17"/>
              </w:rPr>
              <w:t>HDL-C</w:t>
            </w:r>
          </w:p>
        </w:tc>
        <w:tc>
          <w:tcPr>
            <w:tcW w:type="dxa" w:w="2880"/>
            <w:vAlign w:val="center"/>
          </w:tcPr>
          <w:p>
            <w:r/>
            <w:r>
              <w:rPr>
                <w:rFonts w:ascii="Arial" w:hAnsi="Arial"/>
                <w:b w:val="0"/>
                <w:sz w:val="17"/>
              </w:rPr>
              <w:t>7 (0.6%)</w:t>
            </w:r>
          </w:p>
        </w:tc>
      </w:tr>
      <w:tr>
        <w:tc>
          <w:tcPr>
            <w:tcW w:type="dxa" w:w="5040"/>
            <w:vAlign w:val="center"/>
          </w:tcPr>
          <w:p>
            <w:r/>
            <w:r>
              <w:rPr>
                <w:rFonts w:ascii="Arial" w:hAnsi="Arial"/>
                <w:b w:val="0"/>
                <w:sz w:val="17"/>
              </w:rPr>
              <w:t>LDL-C</w:t>
            </w:r>
          </w:p>
        </w:tc>
        <w:tc>
          <w:tcPr>
            <w:tcW w:type="dxa" w:w="2880"/>
            <w:vAlign w:val="center"/>
          </w:tcPr>
          <w:p>
            <w:r/>
            <w:r>
              <w:rPr>
                <w:rFonts w:ascii="Arial" w:hAnsi="Arial"/>
                <w:b w:val="0"/>
                <w:sz w:val="17"/>
              </w:rPr>
              <w:t>6 (0.5%)</w:t>
            </w:r>
          </w:p>
        </w:tc>
      </w:tr>
    </w:tbl>
    <w:p/>
    <w:p>
      <w:r>
        <w:rPr>
          <w:b/>
        </w:rPr>
        <w:t xml:space="preserve">Reproducibility limitation. </w:t>
      </w:r>
      <w:r>
        <w:t>The source manuscript does not specify the number of imputations, iteration count, predictor matrix, or whether imputation was fitted separately within training/evaluation partitions. These details should be added from the original analysis code before final submission if available; they are not inferred here.</w:t>
      </w:r>
    </w:p>
    <w:p>
      <w:pPr>
        <w:pStyle w:val="Heading1"/>
      </w:pPr>
      <w:r>
        <w:t>Supplementary Methods S5. Preprocessing, feature selection, and model development</w:t>
      </w:r>
    </w:p>
    <w:tbl>
      <w:tblPr>
        <w:tblStyle w:val="TableGrid"/>
        <w:tblW w:type="auto" w:w="0"/>
        <w:jc w:val="center"/>
        <w:tblLook w:firstColumn="1" w:firstRow="1" w:lastColumn="0" w:lastRow="0" w:noHBand="0" w:noVBand="1" w:val="04A0"/>
      </w:tblPr>
      <w:tblGrid>
        <w:gridCol w:w="3360"/>
        <w:gridCol w:w="3360"/>
        <w:gridCol w:w="3360"/>
      </w:tblGrid>
      <w:tr>
        <w:tc>
          <w:tcPr>
            <w:tcW w:type="dxa" w:w="720"/>
            <w:vAlign w:val="center"/>
            <w:shd w:fill="D9EAF7"/>
          </w:tcPr>
          <w:p>
            <w:r/>
            <w:r>
              <w:rPr>
                <w:rFonts w:ascii="Arial" w:hAnsi="Arial"/>
                <w:b/>
                <w:sz w:val="17"/>
              </w:rPr>
              <w:t>Step</w:t>
            </w:r>
          </w:p>
        </w:tc>
        <w:tc>
          <w:tcPr>
            <w:tcW w:type="dxa" w:w="2304"/>
            <w:vAlign w:val="center"/>
            <w:shd w:fill="D9EAF7"/>
          </w:tcPr>
          <w:p>
            <w:r/>
            <w:r>
              <w:rPr>
                <w:rFonts w:ascii="Arial" w:hAnsi="Arial"/>
                <w:b/>
                <w:sz w:val="17"/>
              </w:rPr>
              <w:t>Component</w:t>
            </w:r>
          </w:p>
        </w:tc>
        <w:tc>
          <w:tcPr>
            <w:tcW w:type="dxa" w:w="8352"/>
            <w:vAlign w:val="center"/>
            <w:shd w:fill="D9EAF7"/>
          </w:tcPr>
          <w:p>
            <w:r/>
            <w:r>
              <w:rPr>
                <w:rFonts w:ascii="Arial" w:hAnsi="Arial"/>
                <w:b/>
                <w:sz w:val="17"/>
              </w:rPr>
              <w:t>Reported approach</w:t>
            </w:r>
          </w:p>
        </w:tc>
      </w:tr>
      <w:tr>
        <w:tc>
          <w:tcPr>
            <w:tcW w:type="dxa" w:w="720"/>
            <w:vAlign w:val="center"/>
          </w:tcPr>
          <w:p>
            <w:r/>
            <w:r>
              <w:rPr>
                <w:rFonts w:ascii="Arial" w:hAnsi="Arial"/>
                <w:b w:val="0"/>
                <w:sz w:val="17"/>
              </w:rPr>
              <w:t>1</w:t>
            </w:r>
          </w:p>
        </w:tc>
        <w:tc>
          <w:tcPr>
            <w:tcW w:type="dxa" w:w="2304"/>
            <w:vAlign w:val="center"/>
          </w:tcPr>
          <w:p>
            <w:r/>
            <w:r>
              <w:rPr>
                <w:rFonts w:ascii="Arial" w:hAnsi="Arial"/>
                <w:b w:val="0"/>
                <w:sz w:val="17"/>
              </w:rPr>
              <w:t>Partitioning</w:t>
            </w:r>
          </w:p>
        </w:tc>
        <w:tc>
          <w:tcPr>
            <w:tcW w:type="dxa" w:w="8352"/>
            <w:vAlign w:val="center"/>
          </w:tcPr>
          <w:p>
            <w:r/>
            <w:r>
              <w:rPr>
                <w:rFonts w:ascii="Arial" w:hAnsi="Arial"/>
                <w:b w:val="0"/>
                <w:sz w:val="17"/>
              </w:rPr>
              <w:t>Derivation cohort randomly split 70% training / 30% internal validation.</w:t>
            </w:r>
          </w:p>
        </w:tc>
      </w:tr>
      <w:tr>
        <w:tc>
          <w:tcPr>
            <w:tcW w:type="dxa" w:w="720"/>
            <w:vAlign w:val="center"/>
          </w:tcPr>
          <w:p>
            <w:r/>
            <w:r>
              <w:rPr>
                <w:rFonts w:ascii="Arial" w:hAnsi="Arial"/>
                <w:b w:val="0"/>
                <w:sz w:val="17"/>
              </w:rPr>
              <w:t>2</w:t>
            </w:r>
          </w:p>
        </w:tc>
        <w:tc>
          <w:tcPr>
            <w:tcW w:type="dxa" w:w="2304"/>
            <w:vAlign w:val="center"/>
          </w:tcPr>
          <w:p>
            <w:r/>
            <w:r>
              <w:rPr>
                <w:rFonts w:ascii="Arial" w:hAnsi="Arial"/>
                <w:b w:val="0"/>
                <w:sz w:val="17"/>
              </w:rPr>
              <w:t>Missing data</w:t>
            </w:r>
          </w:p>
        </w:tc>
        <w:tc>
          <w:tcPr>
            <w:tcW w:type="dxa" w:w="8352"/>
            <w:vAlign w:val="center"/>
          </w:tcPr>
          <w:p>
            <w:r/>
            <w:r>
              <w:rPr>
                <w:rFonts w:ascii="Arial" w:hAnsi="Arial"/>
                <w:b w:val="0"/>
                <w:sz w:val="17"/>
              </w:rPr>
              <w:t>MICE used for missing values.</w:t>
            </w:r>
          </w:p>
        </w:tc>
      </w:tr>
      <w:tr>
        <w:tc>
          <w:tcPr>
            <w:tcW w:type="dxa" w:w="720"/>
            <w:vAlign w:val="center"/>
          </w:tcPr>
          <w:p>
            <w:r/>
            <w:r>
              <w:rPr>
                <w:rFonts w:ascii="Arial" w:hAnsi="Arial"/>
                <w:b w:val="0"/>
                <w:sz w:val="17"/>
              </w:rPr>
              <w:t>3</w:t>
            </w:r>
          </w:p>
        </w:tc>
        <w:tc>
          <w:tcPr>
            <w:tcW w:type="dxa" w:w="2304"/>
            <w:vAlign w:val="center"/>
          </w:tcPr>
          <w:p>
            <w:r/>
            <w:r>
              <w:rPr>
                <w:rFonts w:ascii="Arial" w:hAnsi="Arial"/>
                <w:b w:val="0"/>
                <w:sz w:val="17"/>
              </w:rPr>
              <w:t>Class imbalance comparison</w:t>
            </w:r>
          </w:p>
        </w:tc>
        <w:tc>
          <w:tcPr>
            <w:tcW w:type="dxa" w:w="8352"/>
            <w:vAlign w:val="center"/>
          </w:tcPr>
          <w:p>
            <w:r/>
            <w:r>
              <w:rPr>
                <w:rFonts w:ascii="Arial" w:hAnsi="Arial"/>
                <w:b w:val="0"/>
                <w:sz w:val="17"/>
              </w:rPr>
              <w:t>ADASYN-containing and non-ADASYN preprocessing pipelines were compared; synthetic oversampling was evaluated rather than assumed to be mandatory.</w:t>
            </w:r>
          </w:p>
        </w:tc>
      </w:tr>
      <w:tr>
        <w:tc>
          <w:tcPr>
            <w:tcW w:type="dxa" w:w="720"/>
            <w:vAlign w:val="center"/>
          </w:tcPr>
          <w:p>
            <w:r/>
            <w:r>
              <w:rPr>
                <w:rFonts w:ascii="Arial" w:hAnsi="Arial"/>
                <w:b w:val="0"/>
                <w:sz w:val="17"/>
              </w:rPr>
              <w:t>4</w:t>
            </w:r>
          </w:p>
        </w:tc>
        <w:tc>
          <w:tcPr>
            <w:tcW w:type="dxa" w:w="2304"/>
            <w:vAlign w:val="center"/>
          </w:tcPr>
          <w:p>
            <w:r/>
            <w:r>
              <w:rPr>
                <w:rFonts w:ascii="Arial" w:hAnsi="Arial"/>
                <w:b w:val="0"/>
                <w:sz w:val="17"/>
              </w:rPr>
              <w:t>Feature selection</w:t>
            </w:r>
          </w:p>
        </w:tc>
        <w:tc>
          <w:tcPr>
            <w:tcW w:type="dxa" w:w="8352"/>
            <w:vAlign w:val="center"/>
          </w:tcPr>
          <w:p>
            <w:r/>
            <w:r>
              <w:rPr>
                <w:rFonts w:ascii="Arial" w:hAnsi="Arial"/>
                <w:b w:val="0"/>
                <w:sz w:val="17"/>
              </w:rPr>
              <w:t>LASSO with L1 regularization and fivefold cross-validation followed by BorutaShap secondary screening.</w:t>
            </w:r>
          </w:p>
        </w:tc>
      </w:tr>
      <w:tr>
        <w:tc>
          <w:tcPr>
            <w:tcW w:type="dxa" w:w="720"/>
            <w:vAlign w:val="center"/>
          </w:tcPr>
          <w:p>
            <w:r/>
            <w:r>
              <w:rPr>
                <w:rFonts w:ascii="Arial" w:hAnsi="Arial"/>
                <w:b w:val="0"/>
                <w:sz w:val="17"/>
              </w:rPr>
              <w:t>5</w:t>
            </w:r>
          </w:p>
        </w:tc>
        <w:tc>
          <w:tcPr>
            <w:tcW w:type="dxa" w:w="2304"/>
            <w:vAlign w:val="center"/>
          </w:tcPr>
          <w:p>
            <w:r/>
            <w:r>
              <w:rPr>
                <w:rFonts w:ascii="Arial" w:hAnsi="Arial"/>
                <w:b w:val="0"/>
                <w:sz w:val="17"/>
              </w:rPr>
              <w:t>Algorithms</w:t>
            </w:r>
          </w:p>
        </w:tc>
        <w:tc>
          <w:tcPr>
            <w:tcW w:type="dxa" w:w="8352"/>
            <w:vAlign w:val="center"/>
          </w:tcPr>
          <w:p>
            <w:r/>
            <w:r>
              <w:rPr>
                <w:rFonts w:ascii="Arial" w:hAnsi="Arial"/>
                <w:b w:val="0"/>
                <w:sz w:val="17"/>
              </w:rPr>
              <w:t>RF, LightGBM, SVM, XGBoost, logistic regression, KNN, and DNN.</w:t>
            </w:r>
          </w:p>
        </w:tc>
      </w:tr>
      <w:tr>
        <w:tc>
          <w:tcPr>
            <w:tcW w:type="dxa" w:w="720"/>
            <w:vAlign w:val="center"/>
          </w:tcPr>
          <w:p>
            <w:r/>
            <w:r>
              <w:rPr>
                <w:rFonts w:ascii="Arial" w:hAnsi="Arial"/>
                <w:b w:val="0"/>
                <w:sz w:val="17"/>
              </w:rPr>
              <w:t>6</w:t>
            </w:r>
          </w:p>
        </w:tc>
        <w:tc>
          <w:tcPr>
            <w:tcW w:type="dxa" w:w="2304"/>
            <w:vAlign w:val="center"/>
          </w:tcPr>
          <w:p>
            <w:r/>
            <w:r>
              <w:rPr>
                <w:rFonts w:ascii="Arial" w:hAnsi="Arial"/>
                <w:b w:val="0"/>
                <w:sz w:val="17"/>
              </w:rPr>
              <w:t>Hyperparameter tuning</w:t>
            </w:r>
          </w:p>
        </w:tc>
        <w:tc>
          <w:tcPr>
            <w:tcW w:type="dxa" w:w="8352"/>
            <w:vAlign w:val="center"/>
          </w:tcPr>
          <w:p>
            <w:r/>
            <w:r>
              <w:rPr>
                <w:rFonts w:ascii="Arial" w:hAnsi="Arial"/>
                <w:b w:val="0"/>
                <w:sz w:val="17"/>
              </w:rPr>
              <w:t>Grid search with cross-validation (GSCV).</w:t>
            </w:r>
          </w:p>
        </w:tc>
      </w:tr>
      <w:tr>
        <w:tc>
          <w:tcPr>
            <w:tcW w:type="dxa" w:w="720"/>
            <w:vAlign w:val="center"/>
          </w:tcPr>
          <w:p>
            <w:r/>
            <w:r>
              <w:rPr>
                <w:rFonts w:ascii="Arial" w:hAnsi="Arial"/>
                <w:b w:val="0"/>
                <w:sz w:val="17"/>
              </w:rPr>
              <w:t>7</w:t>
            </w:r>
          </w:p>
        </w:tc>
        <w:tc>
          <w:tcPr>
            <w:tcW w:type="dxa" w:w="2304"/>
            <w:vAlign w:val="center"/>
          </w:tcPr>
          <w:p>
            <w:r/>
            <w:r>
              <w:rPr>
                <w:rFonts w:ascii="Arial" w:hAnsi="Arial"/>
                <w:b w:val="0"/>
                <w:sz w:val="17"/>
              </w:rPr>
              <w:t>Performance assessment</w:t>
            </w:r>
          </w:p>
        </w:tc>
        <w:tc>
          <w:tcPr>
            <w:tcW w:type="dxa" w:w="8352"/>
            <w:vAlign w:val="center"/>
          </w:tcPr>
          <w:p>
            <w:r/>
            <w:r>
              <w:rPr>
                <w:rFonts w:ascii="Arial" w:hAnsi="Arial"/>
                <w:b w:val="0"/>
                <w:sz w:val="17"/>
              </w:rPr>
              <w:t>AUROC and AUPRC; threshold-dependent accuracy, precision, sensitivity, specificity and F1 score; calibration and decision-curve analysis for the final model.</w:t>
            </w:r>
          </w:p>
        </w:tc>
      </w:tr>
      <w:tr>
        <w:tc>
          <w:tcPr>
            <w:tcW w:type="dxa" w:w="720"/>
            <w:vAlign w:val="center"/>
          </w:tcPr>
          <w:p>
            <w:r/>
            <w:r>
              <w:rPr>
                <w:rFonts w:ascii="Arial" w:hAnsi="Arial"/>
                <w:b w:val="0"/>
                <w:sz w:val="17"/>
              </w:rPr>
              <w:t>8</w:t>
            </w:r>
          </w:p>
        </w:tc>
        <w:tc>
          <w:tcPr>
            <w:tcW w:type="dxa" w:w="2304"/>
            <w:vAlign w:val="center"/>
          </w:tcPr>
          <w:p>
            <w:r/>
            <w:r>
              <w:rPr>
                <w:rFonts w:ascii="Arial" w:hAnsi="Arial"/>
                <w:b w:val="0"/>
                <w:sz w:val="17"/>
              </w:rPr>
              <w:t>Interpretability</w:t>
            </w:r>
          </w:p>
        </w:tc>
        <w:tc>
          <w:tcPr>
            <w:tcW w:type="dxa" w:w="8352"/>
            <w:vAlign w:val="center"/>
          </w:tcPr>
          <w:p>
            <w:r/>
            <w:r>
              <w:rPr>
                <w:rFonts w:ascii="Arial" w:hAnsi="Arial"/>
                <w:b w:val="0"/>
                <w:sz w:val="17"/>
              </w:rPr>
              <w:t>Feature importance, LIME and SHAP.</w:t>
            </w:r>
          </w:p>
        </w:tc>
      </w:tr>
      <w:tr>
        <w:tc>
          <w:tcPr>
            <w:tcW w:type="dxa" w:w="720"/>
            <w:vAlign w:val="center"/>
          </w:tcPr>
          <w:p>
            <w:r/>
            <w:r>
              <w:rPr>
                <w:rFonts w:ascii="Arial" w:hAnsi="Arial"/>
                <w:b w:val="0"/>
                <w:sz w:val="17"/>
              </w:rPr>
              <w:t>9</w:t>
            </w:r>
          </w:p>
        </w:tc>
        <w:tc>
          <w:tcPr>
            <w:tcW w:type="dxa" w:w="2304"/>
            <w:vAlign w:val="center"/>
          </w:tcPr>
          <w:p>
            <w:r/>
            <w:r>
              <w:rPr>
                <w:rFonts w:ascii="Arial" w:hAnsi="Arial"/>
                <w:b w:val="0"/>
                <w:sz w:val="17"/>
              </w:rPr>
              <w:t>External evaluation</w:t>
            </w:r>
          </w:p>
        </w:tc>
        <w:tc>
          <w:tcPr>
            <w:tcW w:type="dxa" w:w="8352"/>
            <w:vAlign w:val="center"/>
          </w:tcPr>
          <w:p>
            <w:r/>
            <w:r>
              <w:rPr>
                <w:rFonts w:ascii="Arial" w:hAnsi="Arial"/>
                <w:b w:val="0"/>
                <w:sz w:val="17"/>
              </w:rPr>
              <w:t>Final RF model evaluated in an independent hospital cohort (n=508).</w:t>
            </w:r>
          </w:p>
        </w:tc>
      </w:tr>
    </w:tbl>
    <w:p/>
    <w:p>
      <w:r>
        <w:rPr>
          <w:b/>
        </w:rPr>
        <w:t xml:space="preserve">Hyperparameter transparency. </w:t>
      </w:r>
      <w:r>
        <w:t>The exact search grids and selected hyperparameter values for the seven algorithms are not contained in the manuscript source used to prepare this supplement. They should be copied from the original Python analysis/output if available. No values have been reconstructed or guessed.</w:t>
      </w:r>
    </w:p>
    <w:p>
      <w:pPr>
        <w:pStyle w:val="Heading1"/>
      </w:pPr>
      <w:r>
        <w:t>Supplementary Results S1. Comparison of preprocessing strategies</w:t>
      </w:r>
    </w:p>
    <w:tbl>
      <w:tblPr>
        <w:tblStyle w:val="TableGrid"/>
        <w:tblW w:type="auto" w:w="0"/>
        <w:jc w:val="center"/>
        <w:tblLook w:firstColumn="1" w:firstRow="1" w:lastColumn="0" w:lastRow="0" w:noHBand="0" w:noVBand="1" w:val="04A0"/>
      </w:tblPr>
      <w:tblGrid>
        <w:gridCol w:w="1260"/>
        <w:gridCol w:w="1260"/>
        <w:gridCol w:w="1260"/>
        <w:gridCol w:w="1260"/>
        <w:gridCol w:w="1260"/>
        <w:gridCol w:w="1260"/>
        <w:gridCol w:w="1260"/>
        <w:gridCol w:w="1260"/>
      </w:tblGrid>
      <w:tr>
        <w:tc>
          <w:tcPr>
            <w:tcW w:type="dxa" w:w="2880"/>
            <w:vAlign w:val="center"/>
            <w:shd w:fill="D9EAF7"/>
          </w:tcPr>
          <w:p>
            <w:r/>
            <w:r>
              <w:rPr>
                <w:rFonts w:ascii="Arial" w:hAnsi="Arial"/>
                <w:b/>
                <w:sz w:val="15"/>
              </w:rPr>
              <w:t>Preprocessing strategy</w:t>
            </w:r>
          </w:p>
        </w:tc>
        <w:tc>
          <w:tcPr>
            <w:tcW w:type="dxa" w:w="1080"/>
            <w:vAlign w:val="center"/>
            <w:shd w:fill="D9EAF7"/>
          </w:tcPr>
          <w:p>
            <w:r/>
            <w:r>
              <w:rPr>
                <w:rFonts w:ascii="Arial" w:hAnsi="Arial"/>
                <w:b/>
                <w:sz w:val="15"/>
              </w:rPr>
              <w:t>Accuracy</w:t>
            </w:r>
          </w:p>
        </w:tc>
        <w:tc>
          <w:tcPr>
            <w:tcW w:type="dxa" w:w="1080"/>
            <w:vAlign w:val="center"/>
            <w:shd w:fill="D9EAF7"/>
          </w:tcPr>
          <w:p>
            <w:r/>
            <w:r>
              <w:rPr>
                <w:rFonts w:ascii="Arial" w:hAnsi="Arial"/>
                <w:b/>
                <w:sz w:val="15"/>
              </w:rPr>
              <w:t>Precision</w:t>
            </w:r>
          </w:p>
        </w:tc>
        <w:tc>
          <w:tcPr>
            <w:tcW w:type="dxa" w:w="1080"/>
            <w:vAlign w:val="center"/>
            <w:shd w:fill="D9EAF7"/>
          </w:tcPr>
          <w:p>
            <w:r/>
            <w:r>
              <w:rPr>
                <w:rFonts w:ascii="Arial" w:hAnsi="Arial"/>
                <w:b/>
                <w:sz w:val="15"/>
              </w:rPr>
              <w:t>Sensitivity</w:t>
            </w:r>
          </w:p>
        </w:tc>
        <w:tc>
          <w:tcPr>
            <w:tcW w:type="dxa" w:w="1080"/>
            <w:vAlign w:val="center"/>
            <w:shd w:fill="D9EAF7"/>
          </w:tcPr>
          <w:p>
            <w:r/>
            <w:r>
              <w:rPr>
                <w:rFonts w:ascii="Arial" w:hAnsi="Arial"/>
                <w:b/>
                <w:sz w:val="15"/>
              </w:rPr>
              <w:t>Specificity</w:t>
            </w:r>
          </w:p>
        </w:tc>
        <w:tc>
          <w:tcPr>
            <w:tcW w:type="dxa" w:w="864"/>
            <w:vAlign w:val="center"/>
            <w:shd w:fill="D9EAF7"/>
          </w:tcPr>
          <w:p>
            <w:r/>
            <w:r>
              <w:rPr>
                <w:rFonts w:ascii="Arial" w:hAnsi="Arial"/>
                <w:b/>
                <w:sz w:val="15"/>
              </w:rPr>
              <w:t>F1</w:t>
            </w:r>
          </w:p>
        </w:tc>
        <w:tc>
          <w:tcPr>
            <w:tcW w:type="dxa" w:w="1008"/>
            <w:vAlign w:val="center"/>
            <w:shd w:fill="D9EAF7"/>
          </w:tcPr>
          <w:p>
            <w:r/>
            <w:r>
              <w:rPr>
                <w:rFonts w:ascii="Arial" w:hAnsi="Arial"/>
                <w:b/>
                <w:sz w:val="15"/>
              </w:rPr>
              <w:t>AUROC</w:t>
            </w:r>
          </w:p>
        </w:tc>
        <w:tc>
          <w:tcPr>
            <w:tcW w:type="dxa" w:w="1008"/>
            <w:vAlign w:val="center"/>
            <w:shd w:fill="D9EAF7"/>
          </w:tcPr>
          <w:p>
            <w:r/>
            <w:r>
              <w:rPr>
                <w:rFonts w:ascii="Arial" w:hAnsi="Arial"/>
                <w:b/>
                <w:sz w:val="15"/>
              </w:rPr>
              <w:t>AUPRC</w:t>
            </w:r>
          </w:p>
        </w:tc>
      </w:tr>
      <w:tr>
        <w:tc>
          <w:tcPr>
            <w:tcW w:type="dxa" w:w="2880"/>
            <w:vAlign w:val="center"/>
          </w:tcPr>
          <w:p>
            <w:r/>
            <w:r>
              <w:rPr>
                <w:rFonts w:ascii="Arial" w:hAnsi="Arial"/>
                <w:b w:val="0"/>
                <w:sz w:val="15"/>
              </w:rPr>
              <w:t>Boruta + GSCV</w:t>
            </w:r>
          </w:p>
        </w:tc>
        <w:tc>
          <w:tcPr>
            <w:tcW w:type="dxa" w:w="1080"/>
            <w:vAlign w:val="center"/>
          </w:tcPr>
          <w:p>
            <w:r/>
            <w:r>
              <w:rPr>
                <w:rFonts w:ascii="Arial" w:hAnsi="Arial"/>
                <w:b w:val="0"/>
                <w:sz w:val="15"/>
              </w:rPr>
              <w:t>0.932</w:t>
            </w:r>
          </w:p>
        </w:tc>
        <w:tc>
          <w:tcPr>
            <w:tcW w:type="dxa" w:w="1080"/>
            <w:vAlign w:val="center"/>
          </w:tcPr>
          <w:p>
            <w:r/>
            <w:r>
              <w:rPr>
                <w:rFonts w:ascii="Arial" w:hAnsi="Arial"/>
                <w:b w:val="0"/>
                <w:sz w:val="15"/>
              </w:rPr>
              <w:t>0.846</w:t>
            </w:r>
          </w:p>
        </w:tc>
        <w:tc>
          <w:tcPr>
            <w:tcW w:type="dxa" w:w="1080"/>
            <w:vAlign w:val="center"/>
          </w:tcPr>
          <w:p>
            <w:r/>
            <w:r>
              <w:rPr>
                <w:rFonts w:ascii="Arial" w:hAnsi="Arial"/>
                <w:b w:val="0"/>
                <w:sz w:val="15"/>
              </w:rPr>
              <w:t>0.512</w:t>
            </w:r>
          </w:p>
        </w:tc>
        <w:tc>
          <w:tcPr>
            <w:tcW w:type="dxa" w:w="1080"/>
            <w:vAlign w:val="center"/>
          </w:tcPr>
          <w:p>
            <w:r/>
            <w:r>
              <w:rPr>
                <w:rFonts w:ascii="Arial" w:hAnsi="Arial"/>
                <w:b w:val="0"/>
                <w:sz w:val="15"/>
              </w:rPr>
              <w:t>0.988</w:t>
            </w:r>
          </w:p>
        </w:tc>
        <w:tc>
          <w:tcPr>
            <w:tcW w:type="dxa" w:w="864"/>
            <w:vAlign w:val="center"/>
          </w:tcPr>
          <w:p>
            <w:r/>
            <w:r>
              <w:rPr>
                <w:rFonts w:ascii="Arial" w:hAnsi="Arial"/>
                <w:b w:val="0"/>
                <w:sz w:val="15"/>
              </w:rPr>
              <w:t>0.638</w:t>
            </w:r>
          </w:p>
        </w:tc>
        <w:tc>
          <w:tcPr>
            <w:tcW w:type="dxa" w:w="1008"/>
            <w:vAlign w:val="center"/>
          </w:tcPr>
          <w:p>
            <w:r/>
            <w:r>
              <w:rPr>
                <w:rFonts w:ascii="Arial" w:hAnsi="Arial"/>
                <w:b w:val="0"/>
                <w:sz w:val="15"/>
              </w:rPr>
              <w:t>0.827</w:t>
            </w:r>
          </w:p>
        </w:tc>
        <w:tc>
          <w:tcPr>
            <w:tcW w:type="dxa" w:w="1008"/>
            <w:vAlign w:val="center"/>
          </w:tcPr>
          <w:p>
            <w:r/>
            <w:r>
              <w:rPr>
                <w:rFonts w:ascii="Arial" w:hAnsi="Arial"/>
                <w:b w:val="0"/>
                <w:sz w:val="15"/>
              </w:rPr>
              <w:t>0.674</w:t>
            </w:r>
          </w:p>
        </w:tc>
      </w:tr>
      <w:tr>
        <w:tc>
          <w:tcPr>
            <w:tcW w:type="dxa" w:w="2880"/>
            <w:vAlign w:val="center"/>
          </w:tcPr>
          <w:p>
            <w:r/>
            <w:r>
              <w:rPr>
                <w:rFonts w:ascii="Arial" w:hAnsi="Arial"/>
                <w:b w:val="0"/>
                <w:sz w:val="15"/>
              </w:rPr>
              <w:t>LASSO + GSCV</w:t>
            </w:r>
          </w:p>
        </w:tc>
        <w:tc>
          <w:tcPr>
            <w:tcW w:type="dxa" w:w="1080"/>
            <w:vAlign w:val="center"/>
          </w:tcPr>
          <w:p>
            <w:r/>
            <w:r>
              <w:rPr>
                <w:rFonts w:ascii="Arial" w:hAnsi="Arial"/>
                <w:b w:val="0"/>
                <w:sz w:val="15"/>
              </w:rPr>
              <w:t>0.923</w:t>
            </w:r>
          </w:p>
        </w:tc>
        <w:tc>
          <w:tcPr>
            <w:tcW w:type="dxa" w:w="1080"/>
            <w:vAlign w:val="center"/>
          </w:tcPr>
          <w:p>
            <w:r/>
            <w:r>
              <w:rPr>
                <w:rFonts w:ascii="Arial" w:hAnsi="Arial"/>
                <w:b w:val="0"/>
                <w:sz w:val="15"/>
              </w:rPr>
              <w:t>0.778</w:t>
            </w:r>
          </w:p>
        </w:tc>
        <w:tc>
          <w:tcPr>
            <w:tcW w:type="dxa" w:w="1080"/>
            <w:vAlign w:val="center"/>
          </w:tcPr>
          <w:p>
            <w:r/>
            <w:r>
              <w:rPr>
                <w:rFonts w:ascii="Arial" w:hAnsi="Arial"/>
                <w:b w:val="0"/>
                <w:sz w:val="15"/>
              </w:rPr>
              <w:t>0.488</w:t>
            </w:r>
          </w:p>
        </w:tc>
        <w:tc>
          <w:tcPr>
            <w:tcW w:type="dxa" w:w="1080"/>
            <w:vAlign w:val="center"/>
          </w:tcPr>
          <w:p>
            <w:r/>
            <w:r>
              <w:rPr>
                <w:rFonts w:ascii="Arial" w:hAnsi="Arial"/>
                <w:b w:val="0"/>
                <w:sz w:val="15"/>
              </w:rPr>
              <w:t>0.981</w:t>
            </w:r>
          </w:p>
        </w:tc>
        <w:tc>
          <w:tcPr>
            <w:tcW w:type="dxa" w:w="864"/>
            <w:vAlign w:val="center"/>
          </w:tcPr>
          <w:p>
            <w:r/>
            <w:r>
              <w:rPr>
                <w:rFonts w:ascii="Arial" w:hAnsi="Arial"/>
                <w:b w:val="0"/>
                <w:sz w:val="15"/>
              </w:rPr>
              <w:t>0.600</w:t>
            </w:r>
          </w:p>
        </w:tc>
        <w:tc>
          <w:tcPr>
            <w:tcW w:type="dxa" w:w="1008"/>
            <w:vAlign w:val="center"/>
          </w:tcPr>
          <w:p>
            <w:r/>
            <w:r>
              <w:rPr>
                <w:rFonts w:ascii="Arial" w:hAnsi="Arial"/>
                <w:b w:val="0"/>
                <w:sz w:val="15"/>
              </w:rPr>
              <w:t>0.821</w:t>
            </w:r>
          </w:p>
        </w:tc>
        <w:tc>
          <w:tcPr>
            <w:tcW w:type="dxa" w:w="1008"/>
            <w:vAlign w:val="center"/>
          </w:tcPr>
          <w:p>
            <w:r/>
            <w:r>
              <w:rPr>
                <w:rFonts w:ascii="Arial" w:hAnsi="Arial"/>
                <w:b w:val="0"/>
                <w:sz w:val="15"/>
              </w:rPr>
              <w:t>0.638</w:t>
            </w:r>
          </w:p>
        </w:tc>
      </w:tr>
      <w:tr>
        <w:tc>
          <w:tcPr>
            <w:tcW w:type="dxa" w:w="2880"/>
            <w:vAlign w:val="center"/>
          </w:tcPr>
          <w:p>
            <w:r/>
            <w:r>
              <w:rPr>
                <w:rFonts w:ascii="Arial" w:hAnsi="Arial"/>
                <w:b w:val="0"/>
                <w:sz w:val="15"/>
              </w:rPr>
              <w:t>ADASYN + GSCV</w:t>
            </w:r>
          </w:p>
        </w:tc>
        <w:tc>
          <w:tcPr>
            <w:tcW w:type="dxa" w:w="1080"/>
            <w:vAlign w:val="center"/>
          </w:tcPr>
          <w:p>
            <w:r/>
            <w:r>
              <w:rPr>
                <w:rFonts w:ascii="Arial" w:hAnsi="Arial"/>
                <w:b w:val="0"/>
                <w:sz w:val="15"/>
              </w:rPr>
              <w:t>0.923</w:t>
            </w:r>
          </w:p>
        </w:tc>
        <w:tc>
          <w:tcPr>
            <w:tcW w:type="dxa" w:w="1080"/>
            <w:vAlign w:val="center"/>
          </w:tcPr>
          <w:p>
            <w:r/>
            <w:r>
              <w:rPr>
                <w:rFonts w:ascii="Arial" w:hAnsi="Arial"/>
                <w:b w:val="0"/>
                <w:sz w:val="15"/>
              </w:rPr>
              <w:t>0.857</w:t>
            </w:r>
          </w:p>
        </w:tc>
        <w:tc>
          <w:tcPr>
            <w:tcW w:type="dxa" w:w="1080"/>
            <w:vAlign w:val="center"/>
          </w:tcPr>
          <w:p>
            <w:r/>
            <w:r>
              <w:rPr>
                <w:rFonts w:ascii="Arial" w:hAnsi="Arial"/>
                <w:b w:val="0"/>
                <w:sz w:val="15"/>
              </w:rPr>
              <w:t>0.419</w:t>
            </w:r>
          </w:p>
        </w:tc>
        <w:tc>
          <w:tcPr>
            <w:tcW w:type="dxa" w:w="1080"/>
            <w:vAlign w:val="center"/>
          </w:tcPr>
          <w:p>
            <w:r/>
            <w:r>
              <w:rPr>
                <w:rFonts w:ascii="Arial" w:hAnsi="Arial"/>
                <w:b w:val="0"/>
                <w:sz w:val="15"/>
              </w:rPr>
              <w:t>0.991</w:t>
            </w:r>
          </w:p>
        </w:tc>
        <w:tc>
          <w:tcPr>
            <w:tcW w:type="dxa" w:w="864"/>
            <w:vAlign w:val="center"/>
          </w:tcPr>
          <w:p>
            <w:r/>
            <w:r>
              <w:rPr>
                <w:rFonts w:ascii="Arial" w:hAnsi="Arial"/>
                <w:b w:val="0"/>
                <w:sz w:val="15"/>
              </w:rPr>
              <w:t>0.563</w:t>
            </w:r>
          </w:p>
        </w:tc>
        <w:tc>
          <w:tcPr>
            <w:tcW w:type="dxa" w:w="1008"/>
            <w:vAlign w:val="center"/>
          </w:tcPr>
          <w:p>
            <w:r/>
            <w:r>
              <w:rPr>
                <w:rFonts w:ascii="Arial" w:hAnsi="Arial"/>
                <w:b w:val="0"/>
                <w:sz w:val="15"/>
              </w:rPr>
              <w:t>0.827</w:t>
            </w:r>
          </w:p>
        </w:tc>
        <w:tc>
          <w:tcPr>
            <w:tcW w:type="dxa" w:w="1008"/>
            <w:vAlign w:val="center"/>
          </w:tcPr>
          <w:p>
            <w:r/>
            <w:r>
              <w:rPr>
                <w:rFonts w:ascii="Arial" w:hAnsi="Arial"/>
                <w:b w:val="0"/>
                <w:sz w:val="15"/>
              </w:rPr>
              <w:t>0.561</w:t>
            </w:r>
          </w:p>
        </w:tc>
      </w:tr>
      <w:tr>
        <w:tc>
          <w:tcPr>
            <w:tcW w:type="dxa" w:w="2880"/>
            <w:vAlign w:val="center"/>
          </w:tcPr>
          <w:p>
            <w:r/>
            <w:r>
              <w:rPr>
                <w:rFonts w:ascii="Arial" w:hAnsi="Arial"/>
                <w:b w:val="0"/>
                <w:sz w:val="15"/>
              </w:rPr>
              <w:t>ADASYN + LASSO + GSCV</w:t>
            </w:r>
          </w:p>
        </w:tc>
        <w:tc>
          <w:tcPr>
            <w:tcW w:type="dxa" w:w="1080"/>
            <w:vAlign w:val="center"/>
          </w:tcPr>
          <w:p>
            <w:r/>
            <w:r>
              <w:rPr>
                <w:rFonts w:ascii="Arial" w:hAnsi="Arial"/>
                <w:b w:val="0"/>
                <w:sz w:val="15"/>
              </w:rPr>
              <w:t>0.910</w:t>
            </w:r>
          </w:p>
        </w:tc>
        <w:tc>
          <w:tcPr>
            <w:tcW w:type="dxa" w:w="1080"/>
            <w:vAlign w:val="center"/>
          </w:tcPr>
          <w:p>
            <w:r/>
            <w:r>
              <w:rPr>
                <w:rFonts w:ascii="Arial" w:hAnsi="Arial"/>
                <w:b w:val="0"/>
                <w:sz w:val="15"/>
              </w:rPr>
              <w:t>0.708</w:t>
            </w:r>
          </w:p>
        </w:tc>
        <w:tc>
          <w:tcPr>
            <w:tcW w:type="dxa" w:w="1080"/>
            <w:vAlign w:val="center"/>
          </w:tcPr>
          <w:p>
            <w:r/>
            <w:r>
              <w:rPr>
                <w:rFonts w:ascii="Arial" w:hAnsi="Arial"/>
                <w:b w:val="0"/>
                <w:sz w:val="15"/>
              </w:rPr>
              <w:t>0.395</w:t>
            </w:r>
          </w:p>
        </w:tc>
        <w:tc>
          <w:tcPr>
            <w:tcW w:type="dxa" w:w="1080"/>
            <w:vAlign w:val="center"/>
          </w:tcPr>
          <w:p>
            <w:r/>
            <w:r>
              <w:rPr>
                <w:rFonts w:ascii="Arial" w:hAnsi="Arial"/>
                <w:b w:val="0"/>
                <w:sz w:val="15"/>
              </w:rPr>
              <w:t>0.978</w:t>
            </w:r>
          </w:p>
        </w:tc>
        <w:tc>
          <w:tcPr>
            <w:tcW w:type="dxa" w:w="864"/>
            <w:vAlign w:val="center"/>
          </w:tcPr>
          <w:p>
            <w:r/>
            <w:r>
              <w:rPr>
                <w:rFonts w:ascii="Arial" w:hAnsi="Arial"/>
                <w:b w:val="0"/>
                <w:sz w:val="15"/>
              </w:rPr>
              <w:t>0.507</w:t>
            </w:r>
          </w:p>
        </w:tc>
        <w:tc>
          <w:tcPr>
            <w:tcW w:type="dxa" w:w="1008"/>
            <w:vAlign w:val="center"/>
          </w:tcPr>
          <w:p>
            <w:r/>
            <w:r>
              <w:rPr>
                <w:rFonts w:ascii="Arial" w:hAnsi="Arial"/>
                <w:b w:val="0"/>
                <w:sz w:val="15"/>
              </w:rPr>
              <w:t>0.829</w:t>
            </w:r>
          </w:p>
        </w:tc>
        <w:tc>
          <w:tcPr>
            <w:tcW w:type="dxa" w:w="1008"/>
            <w:vAlign w:val="center"/>
          </w:tcPr>
          <w:p>
            <w:r/>
            <w:r>
              <w:rPr>
                <w:rFonts w:ascii="Arial" w:hAnsi="Arial"/>
                <w:b w:val="0"/>
                <w:sz w:val="15"/>
              </w:rPr>
              <w:t>0.557</w:t>
            </w:r>
          </w:p>
        </w:tc>
      </w:tr>
      <w:tr>
        <w:tc>
          <w:tcPr>
            <w:tcW w:type="dxa" w:w="2880"/>
            <w:vAlign w:val="center"/>
          </w:tcPr>
          <w:p>
            <w:r/>
            <w:r>
              <w:rPr>
                <w:rFonts w:ascii="Arial" w:hAnsi="Arial"/>
                <w:b w:val="0"/>
                <w:sz w:val="15"/>
              </w:rPr>
              <w:t>ADASYN + Boruta + GSCV</w:t>
            </w:r>
          </w:p>
        </w:tc>
        <w:tc>
          <w:tcPr>
            <w:tcW w:type="dxa" w:w="1080"/>
            <w:vAlign w:val="center"/>
          </w:tcPr>
          <w:p>
            <w:r/>
            <w:r>
              <w:rPr>
                <w:rFonts w:ascii="Arial" w:hAnsi="Arial"/>
                <w:b w:val="0"/>
                <w:sz w:val="15"/>
              </w:rPr>
              <w:t>0.913</w:t>
            </w:r>
          </w:p>
        </w:tc>
        <w:tc>
          <w:tcPr>
            <w:tcW w:type="dxa" w:w="1080"/>
            <w:vAlign w:val="center"/>
          </w:tcPr>
          <w:p>
            <w:r/>
            <w:r>
              <w:rPr>
                <w:rFonts w:ascii="Arial" w:hAnsi="Arial"/>
                <w:b w:val="0"/>
                <w:sz w:val="15"/>
              </w:rPr>
              <w:t>0.789</w:t>
            </w:r>
          </w:p>
        </w:tc>
        <w:tc>
          <w:tcPr>
            <w:tcW w:type="dxa" w:w="1080"/>
            <w:vAlign w:val="center"/>
          </w:tcPr>
          <w:p>
            <w:r/>
            <w:r>
              <w:rPr>
                <w:rFonts w:ascii="Arial" w:hAnsi="Arial"/>
                <w:b w:val="0"/>
                <w:sz w:val="15"/>
              </w:rPr>
              <w:t>0.349</w:t>
            </w:r>
          </w:p>
        </w:tc>
        <w:tc>
          <w:tcPr>
            <w:tcW w:type="dxa" w:w="1080"/>
            <w:vAlign w:val="center"/>
          </w:tcPr>
          <w:p>
            <w:r/>
            <w:r>
              <w:rPr>
                <w:rFonts w:ascii="Arial" w:hAnsi="Arial"/>
                <w:b w:val="0"/>
                <w:sz w:val="15"/>
              </w:rPr>
              <w:t>0.988</w:t>
            </w:r>
          </w:p>
        </w:tc>
        <w:tc>
          <w:tcPr>
            <w:tcW w:type="dxa" w:w="864"/>
            <w:vAlign w:val="center"/>
          </w:tcPr>
          <w:p>
            <w:r/>
            <w:r>
              <w:rPr>
                <w:rFonts w:ascii="Arial" w:hAnsi="Arial"/>
                <w:b w:val="0"/>
                <w:sz w:val="15"/>
              </w:rPr>
              <w:t>0.484</w:t>
            </w:r>
          </w:p>
        </w:tc>
        <w:tc>
          <w:tcPr>
            <w:tcW w:type="dxa" w:w="1008"/>
            <w:vAlign w:val="center"/>
          </w:tcPr>
          <w:p>
            <w:r/>
            <w:r>
              <w:rPr>
                <w:rFonts w:ascii="Arial" w:hAnsi="Arial"/>
                <w:b w:val="0"/>
                <w:sz w:val="15"/>
              </w:rPr>
              <w:t>0.834</w:t>
            </w:r>
          </w:p>
        </w:tc>
        <w:tc>
          <w:tcPr>
            <w:tcW w:type="dxa" w:w="1008"/>
            <w:vAlign w:val="center"/>
          </w:tcPr>
          <w:p>
            <w:r/>
            <w:r>
              <w:rPr>
                <w:rFonts w:ascii="Arial" w:hAnsi="Arial"/>
                <w:b w:val="0"/>
                <w:sz w:val="15"/>
              </w:rPr>
              <w:t>0.560</w:t>
            </w:r>
          </w:p>
        </w:tc>
      </w:tr>
    </w:tbl>
    <w:p/>
    <w:p>
      <w:r>
        <w:t>Although ADASYN-containing pipelines produced similar AUROC values, they did not improve AUPRC relative to Boruta+GSCV. The final reporting therefore avoids claiming that synthetic oversampling was necessary for model performance.</w:t>
      </w:r>
    </w:p>
    <w:p>
      <w:pPr>
        <w:pStyle w:val="Heading1"/>
      </w:pPr>
      <w:r>
        <w:t>Supplementary Results S2. Comparison of machine-learning algorithms</w:t>
      </w:r>
    </w:p>
    <w:tbl>
      <w:tblPr>
        <w:tblStyle w:val="TableGrid"/>
        <w:tblW w:type="auto" w:w="0"/>
        <w:jc w:val="center"/>
        <w:tblLook w:firstColumn="1" w:firstRow="1" w:lastColumn="0" w:lastRow="0" w:noHBand="0" w:noVBand="1" w:val="04A0"/>
      </w:tblPr>
      <w:tblGrid>
        <w:gridCol w:w="1260"/>
        <w:gridCol w:w="1260"/>
        <w:gridCol w:w="1260"/>
        <w:gridCol w:w="1260"/>
        <w:gridCol w:w="1260"/>
        <w:gridCol w:w="1260"/>
        <w:gridCol w:w="1260"/>
        <w:gridCol w:w="1260"/>
      </w:tblGrid>
      <w:tr>
        <w:tc>
          <w:tcPr>
            <w:tcW w:type="dxa" w:w="2448"/>
            <w:vAlign w:val="center"/>
            <w:shd w:fill="D9EAF7"/>
          </w:tcPr>
          <w:p>
            <w:r/>
            <w:r>
              <w:rPr>
                <w:rFonts w:ascii="Arial" w:hAnsi="Arial"/>
                <w:b/>
                <w:sz w:val="15"/>
              </w:rPr>
              <w:t>Algorithm</w:t>
            </w:r>
          </w:p>
        </w:tc>
        <w:tc>
          <w:tcPr>
            <w:tcW w:type="dxa" w:w="1080"/>
            <w:vAlign w:val="center"/>
            <w:shd w:fill="D9EAF7"/>
          </w:tcPr>
          <w:p>
            <w:r/>
            <w:r>
              <w:rPr>
                <w:rFonts w:ascii="Arial" w:hAnsi="Arial"/>
                <w:b/>
                <w:sz w:val="15"/>
              </w:rPr>
              <w:t>Accuracy</w:t>
            </w:r>
          </w:p>
        </w:tc>
        <w:tc>
          <w:tcPr>
            <w:tcW w:type="dxa" w:w="1080"/>
            <w:vAlign w:val="center"/>
            <w:shd w:fill="D9EAF7"/>
          </w:tcPr>
          <w:p>
            <w:r/>
            <w:r>
              <w:rPr>
                <w:rFonts w:ascii="Arial" w:hAnsi="Arial"/>
                <w:b/>
                <w:sz w:val="15"/>
              </w:rPr>
              <w:t>Precision</w:t>
            </w:r>
          </w:p>
        </w:tc>
        <w:tc>
          <w:tcPr>
            <w:tcW w:type="dxa" w:w="1080"/>
            <w:vAlign w:val="center"/>
            <w:shd w:fill="D9EAF7"/>
          </w:tcPr>
          <w:p>
            <w:r/>
            <w:r>
              <w:rPr>
                <w:rFonts w:ascii="Arial" w:hAnsi="Arial"/>
                <w:b/>
                <w:sz w:val="15"/>
              </w:rPr>
              <w:t>Sensitivity</w:t>
            </w:r>
          </w:p>
        </w:tc>
        <w:tc>
          <w:tcPr>
            <w:tcW w:type="dxa" w:w="1080"/>
            <w:vAlign w:val="center"/>
            <w:shd w:fill="D9EAF7"/>
          </w:tcPr>
          <w:p>
            <w:r/>
            <w:r>
              <w:rPr>
                <w:rFonts w:ascii="Arial" w:hAnsi="Arial"/>
                <w:b/>
                <w:sz w:val="15"/>
              </w:rPr>
              <w:t>Specificity</w:t>
            </w:r>
          </w:p>
        </w:tc>
        <w:tc>
          <w:tcPr>
            <w:tcW w:type="dxa" w:w="864"/>
            <w:vAlign w:val="center"/>
            <w:shd w:fill="D9EAF7"/>
          </w:tcPr>
          <w:p>
            <w:r/>
            <w:r>
              <w:rPr>
                <w:rFonts w:ascii="Arial" w:hAnsi="Arial"/>
                <w:b/>
                <w:sz w:val="15"/>
              </w:rPr>
              <w:t>F1</w:t>
            </w:r>
          </w:p>
        </w:tc>
        <w:tc>
          <w:tcPr>
            <w:tcW w:type="dxa" w:w="1008"/>
            <w:vAlign w:val="center"/>
            <w:shd w:fill="D9EAF7"/>
          </w:tcPr>
          <w:p>
            <w:r/>
            <w:r>
              <w:rPr>
                <w:rFonts w:ascii="Arial" w:hAnsi="Arial"/>
                <w:b/>
                <w:sz w:val="15"/>
              </w:rPr>
              <w:t>AUROC</w:t>
            </w:r>
          </w:p>
        </w:tc>
        <w:tc>
          <w:tcPr>
            <w:tcW w:type="dxa" w:w="1008"/>
            <w:vAlign w:val="center"/>
            <w:shd w:fill="D9EAF7"/>
          </w:tcPr>
          <w:p>
            <w:r/>
            <w:r>
              <w:rPr>
                <w:rFonts w:ascii="Arial" w:hAnsi="Arial"/>
                <w:b/>
                <w:sz w:val="15"/>
              </w:rPr>
              <w:t>AUPRC</w:t>
            </w:r>
          </w:p>
        </w:tc>
      </w:tr>
      <w:tr>
        <w:tc>
          <w:tcPr>
            <w:tcW w:type="dxa" w:w="2448"/>
            <w:vAlign w:val="center"/>
          </w:tcPr>
          <w:p>
            <w:r/>
            <w:r>
              <w:rPr>
                <w:rFonts w:ascii="Arial" w:hAnsi="Arial"/>
                <w:b w:val="0"/>
                <w:sz w:val="15"/>
              </w:rPr>
              <w:t>Random forest</w:t>
            </w:r>
          </w:p>
        </w:tc>
        <w:tc>
          <w:tcPr>
            <w:tcW w:type="dxa" w:w="1080"/>
            <w:vAlign w:val="center"/>
          </w:tcPr>
          <w:p>
            <w:r/>
            <w:r>
              <w:rPr>
                <w:rFonts w:ascii="Arial" w:hAnsi="Arial"/>
                <w:b w:val="0"/>
                <w:sz w:val="15"/>
              </w:rPr>
              <w:t>0.932</w:t>
            </w:r>
          </w:p>
        </w:tc>
        <w:tc>
          <w:tcPr>
            <w:tcW w:type="dxa" w:w="1080"/>
            <w:vAlign w:val="center"/>
          </w:tcPr>
          <w:p>
            <w:r/>
            <w:r>
              <w:rPr>
                <w:rFonts w:ascii="Arial" w:hAnsi="Arial"/>
                <w:b w:val="0"/>
                <w:sz w:val="15"/>
              </w:rPr>
              <w:t>0.875</w:t>
            </w:r>
          </w:p>
        </w:tc>
        <w:tc>
          <w:tcPr>
            <w:tcW w:type="dxa" w:w="1080"/>
            <w:vAlign w:val="center"/>
          </w:tcPr>
          <w:p>
            <w:r/>
            <w:r>
              <w:rPr>
                <w:rFonts w:ascii="Arial" w:hAnsi="Arial"/>
                <w:b w:val="0"/>
                <w:sz w:val="15"/>
              </w:rPr>
              <w:t>0.488</w:t>
            </w:r>
          </w:p>
        </w:tc>
        <w:tc>
          <w:tcPr>
            <w:tcW w:type="dxa" w:w="1080"/>
            <w:vAlign w:val="center"/>
          </w:tcPr>
          <w:p>
            <w:r/>
            <w:r>
              <w:rPr>
                <w:rFonts w:ascii="Arial" w:hAnsi="Arial"/>
                <w:b w:val="0"/>
                <w:sz w:val="15"/>
              </w:rPr>
              <w:t>0.991</w:t>
            </w:r>
          </w:p>
        </w:tc>
        <w:tc>
          <w:tcPr>
            <w:tcW w:type="dxa" w:w="864"/>
            <w:vAlign w:val="center"/>
          </w:tcPr>
          <w:p>
            <w:r/>
            <w:r>
              <w:rPr>
                <w:rFonts w:ascii="Arial" w:hAnsi="Arial"/>
                <w:b w:val="0"/>
                <w:sz w:val="15"/>
              </w:rPr>
              <w:t>0.627</w:t>
            </w:r>
          </w:p>
        </w:tc>
        <w:tc>
          <w:tcPr>
            <w:tcW w:type="dxa" w:w="1008"/>
            <w:vAlign w:val="center"/>
          </w:tcPr>
          <w:p>
            <w:r/>
            <w:r>
              <w:rPr>
                <w:rFonts w:ascii="Arial" w:hAnsi="Arial"/>
                <w:b w:val="0"/>
                <w:sz w:val="15"/>
              </w:rPr>
              <w:t>0.809</w:t>
            </w:r>
          </w:p>
        </w:tc>
        <w:tc>
          <w:tcPr>
            <w:tcW w:type="dxa" w:w="1008"/>
            <w:vAlign w:val="center"/>
          </w:tcPr>
          <w:p>
            <w:r/>
            <w:r>
              <w:rPr>
                <w:rFonts w:ascii="Arial" w:hAnsi="Arial"/>
                <w:b w:val="0"/>
                <w:sz w:val="15"/>
              </w:rPr>
              <w:t>0.653</w:t>
            </w:r>
          </w:p>
        </w:tc>
      </w:tr>
      <w:tr>
        <w:tc>
          <w:tcPr>
            <w:tcW w:type="dxa" w:w="2448"/>
            <w:vAlign w:val="center"/>
          </w:tcPr>
          <w:p>
            <w:r/>
            <w:r>
              <w:rPr>
                <w:rFonts w:ascii="Arial" w:hAnsi="Arial"/>
                <w:b w:val="0"/>
                <w:sz w:val="15"/>
              </w:rPr>
              <w:t>LightGBM</w:t>
            </w:r>
          </w:p>
        </w:tc>
        <w:tc>
          <w:tcPr>
            <w:tcW w:type="dxa" w:w="1080"/>
            <w:vAlign w:val="center"/>
          </w:tcPr>
          <w:p>
            <w:r/>
            <w:r>
              <w:rPr>
                <w:rFonts w:ascii="Arial" w:hAnsi="Arial"/>
                <w:b w:val="0"/>
                <w:sz w:val="15"/>
              </w:rPr>
              <w:t>0.891</w:t>
            </w:r>
          </w:p>
        </w:tc>
        <w:tc>
          <w:tcPr>
            <w:tcW w:type="dxa" w:w="1080"/>
            <w:vAlign w:val="center"/>
          </w:tcPr>
          <w:p>
            <w:r/>
            <w:r>
              <w:rPr>
                <w:rFonts w:ascii="Arial" w:hAnsi="Arial"/>
                <w:b w:val="0"/>
                <w:sz w:val="15"/>
              </w:rPr>
              <w:t>0.579</w:t>
            </w:r>
          </w:p>
        </w:tc>
        <w:tc>
          <w:tcPr>
            <w:tcW w:type="dxa" w:w="1080"/>
            <w:vAlign w:val="center"/>
          </w:tcPr>
          <w:p>
            <w:r/>
            <w:r>
              <w:rPr>
                <w:rFonts w:ascii="Arial" w:hAnsi="Arial"/>
                <w:b w:val="0"/>
                <w:sz w:val="15"/>
              </w:rPr>
              <w:t>0.256</w:t>
            </w:r>
          </w:p>
        </w:tc>
        <w:tc>
          <w:tcPr>
            <w:tcW w:type="dxa" w:w="1080"/>
            <w:vAlign w:val="center"/>
          </w:tcPr>
          <w:p>
            <w:r/>
            <w:r>
              <w:rPr>
                <w:rFonts w:ascii="Arial" w:hAnsi="Arial"/>
                <w:b w:val="0"/>
                <w:sz w:val="15"/>
              </w:rPr>
              <w:t>0.975</w:t>
            </w:r>
          </w:p>
        </w:tc>
        <w:tc>
          <w:tcPr>
            <w:tcW w:type="dxa" w:w="864"/>
            <w:vAlign w:val="center"/>
          </w:tcPr>
          <w:p>
            <w:r/>
            <w:r>
              <w:rPr>
                <w:rFonts w:ascii="Arial" w:hAnsi="Arial"/>
                <w:b w:val="0"/>
                <w:sz w:val="15"/>
              </w:rPr>
              <w:t>0.355</w:t>
            </w:r>
          </w:p>
        </w:tc>
        <w:tc>
          <w:tcPr>
            <w:tcW w:type="dxa" w:w="1008"/>
            <w:vAlign w:val="center"/>
          </w:tcPr>
          <w:p>
            <w:r/>
            <w:r>
              <w:rPr>
                <w:rFonts w:ascii="Arial" w:hAnsi="Arial"/>
                <w:b w:val="0"/>
                <w:sz w:val="15"/>
              </w:rPr>
              <w:t>0.680</w:t>
            </w:r>
          </w:p>
        </w:tc>
        <w:tc>
          <w:tcPr>
            <w:tcW w:type="dxa" w:w="1008"/>
            <w:vAlign w:val="center"/>
          </w:tcPr>
          <w:p>
            <w:r/>
            <w:r>
              <w:rPr>
                <w:rFonts w:ascii="Arial" w:hAnsi="Arial"/>
                <w:b w:val="0"/>
                <w:sz w:val="15"/>
              </w:rPr>
              <w:t>0.378</w:t>
            </w:r>
          </w:p>
        </w:tc>
      </w:tr>
      <w:tr>
        <w:tc>
          <w:tcPr>
            <w:tcW w:type="dxa" w:w="2448"/>
            <w:vAlign w:val="center"/>
          </w:tcPr>
          <w:p>
            <w:r/>
            <w:r>
              <w:rPr>
                <w:rFonts w:ascii="Arial" w:hAnsi="Arial"/>
                <w:b w:val="0"/>
                <w:sz w:val="15"/>
              </w:rPr>
              <w:t>SVM</w:t>
            </w:r>
          </w:p>
        </w:tc>
        <w:tc>
          <w:tcPr>
            <w:tcW w:type="dxa" w:w="1080"/>
            <w:vAlign w:val="center"/>
          </w:tcPr>
          <w:p>
            <w:r/>
            <w:r>
              <w:rPr>
                <w:rFonts w:ascii="Arial" w:hAnsi="Arial"/>
                <w:b w:val="0"/>
                <w:sz w:val="15"/>
              </w:rPr>
              <w:t>0.885</w:t>
            </w:r>
          </w:p>
        </w:tc>
        <w:tc>
          <w:tcPr>
            <w:tcW w:type="dxa" w:w="1080"/>
            <w:vAlign w:val="center"/>
          </w:tcPr>
          <w:p>
            <w:r/>
            <w:r>
              <w:rPr>
                <w:rFonts w:ascii="Arial" w:hAnsi="Arial"/>
                <w:b w:val="0"/>
                <w:sz w:val="15"/>
              </w:rPr>
              <w:t>1.000</w:t>
            </w:r>
          </w:p>
        </w:tc>
        <w:tc>
          <w:tcPr>
            <w:tcW w:type="dxa" w:w="1080"/>
            <w:vAlign w:val="center"/>
          </w:tcPr>
          <w:p>
            <w:r/>
            <w:r>
              <w:rPr>
                <w:rFonts w:ascii="Arial" w:hAnsi="Arial"/>
                <w:b w:val="0"/>
                <w:sz w:val="15"/>
              </w:rPr>
              <w:t>0.023</w:t>
            </w:r>
          </w:p>
        </w:tc>
        <w:tc>
          <w:tcPr>
            <w:tcW w:type="dxa" w:w="1080"/>
            <w:vAlign w:val="center"/>
          </w:tcPr>
          <w:p>
            <w:r/>
            <w:r>
              <w:rPr>
                <w:rFonts w:ascii="Arial" w:hAnsi="Arial"/>
                <w:b w:val="0"/>
                <w:sz w:val="15"/>
              </w:rPr>
              <w:t>1.000</w:t>
            </w:r>
          </w:p>
        </w:tc>
        <w:tc>
          <w:tcPr>
            <w:tcW w:type="dxa" w:w="864"/>
            <w:vAlign w:val="center"/>
          </w:tcPr>
          <w:p>
            <w:r/>
            <w:r>
              <w:rPr>
                <w:rFonts w:ascii="Arial" w:hAnsi="Arial"/>
                <w:b w:val="0"/>
                <w:sz w:val="15"/>
              </w:rPr>
              <w:t>0.045</w:t>
            </w:r>
          </w:p>
        </w:tc>
        <w:tc>
          <w:tcPr>
            <w:tcW w:type="dxa" w:w="1008"/>
            <w:vAlign w:val="center"/>
          </w:tcPr>
          <w:p>
            <w:r/>
            <w:r>
              <w:rPr>
                <w:rFonts w:ascii="Arial" w:hAnsi="Arial"/>
                <w:b w:val="0"/>
                <w:sz w:val="15"/>
              </w:rPr>
              <w:t>0.758</w:t>
            </w:r>
          </w:p>
        </w:tc>
        <w:tc>
          <w:tcPr>
            <w:tcW w:type="dxa" w:w="1008"/>
            <w:vAlign w:val="center"/>
          </w:tcPr>
          <w:p>
            <w:r/>
            <w:r>
              <w:rPr>
                <w:rFonts w:ascii="Arial" w:hAnsi="Arial"/>
                <w:b w:val="0"/>
                <w:sz w:val="15"/>
              </w:rPr>
              <w:t>0.591</w:t>
            </w:r>
          </w:p>
        </w:tc>
      </w:tr>
      <w:tr>
        <w:tc>
          <w:tcPr>
            <w:tcW w:type="dxa" w:w="2448"/>
            <w:vAlign w:val="center"/>
          </w:tcPr>
          <w:p>
            <w:r/>
            <w:r>
              <w:rPr>
                <w:rFonts w:ascii="Arial" w:hAnsi="Arial"/>
                <w:b w:val="0"/>
                <w:sz w:val="15"/>
              </w:rPr>
              <w:t>XGBoost</w:t>
            </w:r>
          </w:p>
        </w:tc>
        <w:tc>
          <w:tcPr>
            <w:tcW w:type="dxa" w:w="1080"/>
            <w:vAlign w:val="center"/>
          </w:tcPr>
          <w:p>
            <w:r/>
            <w:r>
              <w:rPr>
                <w:rFonts w:ascii="Arial" w:hAnsi="Arial"/>
                <w:b w:val="0"/>
                <w:sz w:val="15"/>
              </w:rPr>
              <w:t>0.902</w:t>
            </w:r>
          </w:p>
        </w:tc>
        <w:tc>
          <w:tcPr>
            <w:tcW w:type="dxa" w:w="1080"/>
            <w:vAlign w:val="center"/>
          </w:tcPr>
          <w:p>
            <w:r/>
            <w:r>
              <w:rPr>
                <w:rFonts w:ascii="Arial" w:hAnsi="Arial"/>
                <w:b w:val="0"/>
                <w:sz w:val="15"/>
              </w:rPr>
              <w:t>0.889</w:t>
            </w:r>
          </w:p>
        </w:tc>
        <w:tc>
          <w:tcPr>
            <w:tcW w:type="dxa" w:w="1080"/>
            <w:vAlign w:val="center"/>
          </w:tcPr>
          <w:p>
            <w:r/>
            <w:r>
              <w:rPr>
                <w:rFonts w:ascii="Arial" w:hAnsi="Arial"/>
                <w:b w:val="0"/>
                <w:sz w:val="15"/>
              </w:rPr>
              <w:t>0.186</w:t>
            </w:r>
          </w:p>
        </w:tc>
        <w:tc>
          <w:tcPr>
            <w:tcW w:type="dxa" w:w="1080"/>
            <w:vAlign w:val="center"/>
          </w:tcPr>
          <w:p>
            <w:r/>
            <w:r>
              <w:rPr>
                <w:rFonts w:ascii="Arial" w:hAnsi="Arial"/>
                <w:b w:val="0"/>
                <w:sz w:val="15"/>
              </w:rPr>
              <w:t>0.997</w:t>
            </w:r>
          </w:p>
        </w:tc>
        <w:tc>
          <w:tcPr>
            <w:tcW w:type="dxa" w:w="864"/>
            <w:vAlign w:val="center"/>
          </w:tcPr>
          <w:p>
            <w:r/>
            <w:r>
              <w:rPr>
                <w:rFonts w:ascii="Arial" w:hAnsi="Arial"/>
                <w:b w:val="0"/>
                <w:sz w:val="15"/>
              </w:rPr>
              <w:t>0.308</w:t>
            </w:r>
          </w:p>
        </w:tc>
        <w:tc>
          <w:tcPr>
            <w:tcW w:type="dxa" w:w="1008"/>
            <w:vAlign w:val="center"/>
          </w:tcPr>
          <w:p>
            <w:r/>
            <w:r>
              <w:rPr>
                <w:rFonts w:ascii="Arial" w:hAnsi="Arial"/>
                <w:b w:val="0"/>
                <w:sz w:val="15"/>
              </w:rPr>
              <w:t>0.784</w:t>
            </w:r>
          </w:p>
        </w:tc>
        <w:tc>
          <w:tcPr>
            <w:tcW w:type="dxa" w:w="1008"/>
            <w:vAlign w:val="center"/>
          </w:tcPr>
          <w:p>
            <w:r/>
            <w:r>
              <w:rPr>
                <w:rFonts w:ascii="Arial" w:hAnsi="Arial"/>
                <w:b w:val="0"/>
                <w:sz w:val="15"/>
              </w:rPr>
              <w:t>0.650</w:t>
            </w:r>
          </w:p>
        </w:tc>
      </w:tr>
      <w:tr>
        <w:tc>
          <w:tcPr>
            <w:tcW w:type="dxa" w:w="2448"/>
            <w:vAlign w:val="center"/>
          </w:tcPr>
          <w:p>
            <w:r/>
            <w:r>
              <w:rPr>
                <w:rFonts w:ascii="Arial" w:hAnsi="Arial"/>
                <w:b w:val="0"/>
                <w:sz w:val="15"/>
              </w:rPr>
              <w:t>Logistic regression</w:t>
            </w:r>
          </w:p>
        </w:tc>
        <w:tc>
          <w:tcPr>
            <w:tcW w:type="dxa" w:w="1080"/>
            <w:vAlign w:val="center"/>
          </w:tcPr>
          <w:p>
            <w:r/>
            <w:r>
              <w:rPr>
                <w:rFonts w:ascii="Arial" w:hAnsi="Arial"/>
                <w:b w:val="0"/>
                <w:sz w:val="15"/>
              </w:rPr>
              <w:t>0.902</w:t>
            </w:r>
          </w:p>
        </w:tc>
        <w:tc>
          <w:tcPr>
            <w:tcW w:type="dxa" w:w="1080"/>
            <w:vAlign w:val="center"/>
          </w:tcPr>
          <w:p>
            <w:r/>
            <w:r>
              <w:rPr>
                <w:rFonts w:ascii="Arial" w:hAnsi="Arial"/>
                <w:b w:val="0"/>
                <w:sz w:val="15"/>
              </w:rPr>
              <w:t>0.581</w:t>
            </w:r>
          </w:p>
        </w:tc>
        <w:tc>
          <w:tcPr>
            <w:tcW w:type="dxa" w:w="1080"/>
            <w:vAlign w:val="center"/>
          </w:tcPr>
          <w:p>
            <w:r/>
            <w:r>
              <w:rPr>
                <w:rFonts w:ascii="Arial" w:hAnsi="Arial"/>
                <w:b w:val="0"/>
                <w:sz w:val="15"/>
              </w:rPr>
              <w:t>0.581</w:t>
            </w:r>
          </w:p>
        </w:tc>
        <w:tc>
          <w:tcPr>
            <w:tcW w:type="dxa" w:w="1080"/>
            <w:vAlign w:val="center"/>
          </w:tcPr>
          <w:p>
            <w:r/>
            <w:r>
              <w:rPr>
                <w:rFonts w:ascii="Arial" w:hAnsi="Arial"/>
                <w:b w:val="0"/>
                <w:sz w:val="15"/>
              </w:rPr>
              <w:t>0.944</w:t>
            </w:r>
          </w:p>
        </w:tc>
        <w:tc>
          <w:tcPr>
            <w:tcW w:type="dxa" w:w="864"/>
            <w:vAlign w:val="center"/>
          </w:tcPr>
          <w:p>
            <w:r/>
            <w:r>
              <w:rPr>
                <w:rFonts w:ascii="Arial" w:hAnsi="Arial"/>
                <w:b w:val="0"/>
                <w:sz w:val="15"/>
              </w:rPr>
              <w:t>0.581</w:t>
            </w:r>
          </w:p>
        </w:tc>
        <w:tc>
          <w:tcPr>
            <w:tcW w:type="dxa" w:w="1008"/>
            <w:vAlign w:val="center"/>
          </w:tcPr>
          <w:p>
            <w:r/>
            <w:r>
              <w:rPr>
                <w:rFonts w:ascii="Arial" w:hAnsi="Arial"/>
                <w:b w:val="0"/>
                <w:sz w:val="15"/>
              </w:rPr>
              <w:t>0.754</w:t>
            </w:r>
          </w:p>
        </w:tc>
        <w:tc>
          <w:tcPr>
            <w:tcW w:type="dxa" w:w="1008"/>
            <w:vAlign w:val="center"/>
          </w:tcPr>
          <w:p>
            <w:r/>
            <w:r>
              <w:rPr>
                <w:rFonts w:ascii="Arial" w:hAnsi="Arial"/>
                <w:b w:val="0"/>
                <w:sz w:val="15"/>
              </w:rPr>
              <w:t>0.604</w:t>
            </w:r>
          </w:p>
        </w:tc>
      </w:tr>
    </w:tbl>
    <w:p/>
    <w:p>
      <w:r>
        <w:t>The source manuscript table also reports KNN and DNN; their exact values should be retained from the main manuscript table. The random-forest model was selected based on the overall combination of discrimination and clinically interpretable retained features. At the reported operating point, its sensitivity was 0.488 and specificity was 0.991, so it should not be interpreted as a stand-alone rule-out screening test.</w:t>
      </w:r>
    </w:p>
    <w:p>
      <w:pPr>
        <w:pStyle w:val="Heading1"/>
      </w:pPr>
      <w:r>
        <w:t>Supplementary Results S3. Final model predictors and interpretation</w:t>
      </w:r>
    </w:p>
    <w:tbl>
      <w:tblPr>
        <w:tblStyle w:val="TableGrid"/>
        <w:tblW w:type="auto" w:w="0"/>
        <w:jc w:val="center"/>
        <w:tblLook w:firstColumn="1" w:firstRow="1" w:lastColumn="0" w:lastRow="0" w:noHBand="0" w:noVBand="1" w:val="04A0"/>
      </w:tblPr>
      <w:tblGrid>
        <w:gridCol w:w="3360"/>
        <w:gridCol w:w="3360"/>
        <w:gridCol w:w="3360"/>
      </w:tblGrid>
      <w:tr>
        <w:tc>
          <w:tcPr>
            <w:tcW w:type="dxa" w:w="2592"/>
            <w:vAlign w:val="center"/>
            <w:shd w:fill="D9EAF7"/>
          </w:tcPr>
          <w:p>
            <w:r/>
            <w:r>
              <w:rPr>
                <w:rFonts w:ascii="Arial" w:hAnsi="Arial"/>
                <w:b/>
                <w:sz w:val="16"/>
              </w:rPr>
              <w:t>Predictor</w:t>
            </w:r>
          </w:p>
        </w:tc>
        <w:tc>
          <w:tcPr>
            <w:tcW w:type="dxa" w:w="5184"/>
            <w:vAlign w:val="center"/>
            <w:shd w:fill="D9EAF7"/>
          </w:tcPr>
          <w:p>
            <w:r/>
            <w:r>
              <w:rPr>
                <w:rFonts w:ascii="Arial" w:hAnsi="Arial"/>
                <w:b/>
                <w:sz w:val="16"/>
              </w:rPr>
              <w:t>Clinical interpretation in this study</w:t>
            </w:r>
          </w:p>
        </w:tc>
        <w:tc>
          <w:tcPr>
            <w:tcW w:type="dxa" w:w="3312"/>
            <w:vAlign w:val="center"/>
            <w:shd w:fill="D9EAF7"/>
          </w:tcPr>
          <w:p>
            <w:r/>
            <w:r>
              <w:rPr>
                <w:rFonts w:ascii="Arial" w:hAnsi="Arial"/>
                <w:b/>
                <w:sz w:val="16"/>
              </w:rPr>
              <w:t>Timing consideration</w:t>
            </w:r>
          </w:p>
        </w:tc>
      </w:tr>
      <w:tr>
        <w:tc>
          <w:tcPr>
            <w:tcW w:type="dxa" w:w="2592"/>
            <w:vAlign w:val="center"/>
          </w:tcPr>
          <w:p>
            <w:r/>
            <w:r>
              <w:rPr>
                <w:rFonts w:ascii="Arial" w:hAnsi="Arial"/>
                <w:b w:val="0"/>
                <w:sz w:val="16"/>
              </w:rPr>
              <w:t>Killip class</w:t>
            </w:r>
          </w:p>
        </w:tc>
        <w:tc>
          <w:tcPr>
            <w:tcW w:type="dxa" w:w="5184"/>
            <w:vAlign w:val="center"/>
          </w:tcPr>
          <w:p>
            <w:r/>
            <w:r>
              <w:rPr>
                <w:rFonts w:ascii="Arial" w:hAnsi="Arial"/>
                <w:b w:val="0"/>
                <w:sz w:val="16"/>
              </w:rPr>
              <w:t>Established marker of hemodynamic severity in ACS</w:t>
            </w:r>
          </w:p>
        </w:tc>
        <w:tc>
          <w:tcPr>
            <w:tcW w:type="dxa" w:w="3312"/>
            <w:vAlign w:val="center"/>
          </w:tcPr>
          <w:p>
            <w:r/>
            <w:r>
              <w:rPr>
                <w:rFonts w:ascii="Arial" w:hAnsi="Arial"/>
                <w:b w:val="0"/>
                <w:sz w:val="16"/>
              </w:rPr>
              <w:t>Early clinical assessment</w:t>
            </w:r>
          </w:p>
        </w:tc>
      </w:tr>
      <w:tr>
        <w:tc>
          <w:tcPr>
            <w:tcW w:type="dxa" w:w="2592"/>
            <w:vAlign w:val="center"/>
          </w:tcPr>
          <w:p>
            <w:r/>
            <w:r>
              <w:rPr>
                <w:rFonts w:ascii="Arial" w:hAnsi="Arial"/>
                <w:b w:val="0"/>
                <w:sz w:val="16"/>
              </w:rPr>
              <w:t>Inorganic phosphorus (IP)</w:t>
            </w:r>
          </w:p>
        </w:tc>
        <w:tc>
          <w:tcPr>
            <w:tcW w:type="dxa" w:w="5184"/>
            <w:vAlign w:val="center"/>
          </w:tcPr>
          <w:p>
            <w:r/>
            <w:r>
              <w:rPr>
                <w:rFonts w:ascii="Arial" w:hAnsi="Arial"/>
                <w:b w:val="0"/>
                <w:sz w:val="16"/>
              </w:rPr>
              <w:t>Electrolyte/metabolic marker selected by the model</w:t>
            </w:r>
          </w:p>
        </w:tc>
        <w:tc>
          <w:tcPr>
            <w:tcW w:type="dxa" w:w="3312"/>
            <w:vAlign w:val="center"/>
          </w:tcPr>
          <w:p>
            <w:r/>
            <w:r>
              <w:rPr>
                <w:rFonts w:ascii="Arial" w:hAnsi="Arial"/>
                <w:b w:val="0"/>
                <w:sz w:val="16"/>
              </w:rPr>
              <w:t>Admission pre-PCI blood sample</w:t>
            </w:r>
          </w:p>
        </w:tc>
      </w:tr>
      <w:tr>
        <w:tc>
          <w:tcPr>
            <w:tcW w:type="dxa" w:w="2592"/>
            <w:vAlign w:val="center"/>
          </w:tcPr>
          <w:p>
            <w:r/>
            <w:r>
              <w:rPr>
                <w:rFonts w:ascii="Arial" w:hAnsi="Arial"/>
                <w:b w:val="0"/>
                <w:sz w:val="16"/>
              </w:rPr>
              <w:t>ECMO</w:t>
            </w:r>
          </w:p>
        </w:tc>
        <w:tc>
          <w:tcPr>
            <w:tcW w:type="dxa" w:w="5184"/>
            <w:vAlign w:val="center"/>
          </w:tcPr>
          <w:p>
            <w:r/>
            <w:r>
              <w:rPr>
                <w:rFonts w:ascii="Arial" w:hAnsi="Arial"/>
                <w:b w:val="0"/>
                <w:sz w:val="16"/>
              </w:rPr>
              <w:t>Marker of extreme illness severity/support requirement</w:t>
            </w:r>
          </w:p>
        </w:tc>
        <w:tc>
          <w:tcPr>
            <w:tcW w:type="dxa" w:w="3312"/>
            <w:vAlign w:val="center"/>
          </w:tcPr>
          <w:p>
            <w:r/>
            <w:r>
              <w:rPr>
                <w:rFonts w:ascii="Arial" w:hAnsi="Arial"/>
                <w:b w:val="0"/>
                <w:sz w:val="16"/>
              </w:rPr>
              <w:t>May occur after admission; potential temporal/indication bias</w:t>
            </w:r>
          </w:p>
        </w:tc>
      </w:tr>
      <w:tr>
        <w:tc>
          <w:tcPr>
            <w:tcW w:type="dxa" w:w="2592"/>
            <w:vAlign w:val="center"/>
          </w:tcPr>
          <w:p>
            <w:r/>
            <w:r>
              <w:rPr>
                <w:rFonts w:ascii="Arial" w:hAnsi="Arial"/>
                <w:b w:val="0"/>
                <w:sz w:val="16"/>
              </w:rPr>
              <w:t>LVEF</w:t>
            </w:r>
          </w:p>
        </w:tc>
        <w:tc>
          <w:tcPr>
            <w:tcW w:type="dxa" w:w="5184"/>
            <w:vAlign w:val="center"/>
          </w:tcPr>
          <w:p>
            <w:r/>
            <w:r>
              <w:rPr>
                <w:rFonts w:ascii="Arial" w:hAnsi="Arial"/>
                <w:b w:val="0"/>
                <w:sz w:val="16"/>
              </w:rPr>
              <w:t>Marker of ventricular systolic function</w:t>
            </w:r>
          </w:p>
        </w:tc>
        <w:tc>
          <w:tcPr>
            <w:tcW w:type="dxa" w:w="3312"/>
            <w:vAlign w:val="center"/>
          </w:tcPr>
          <w:p>
            <w:r/>
            <w:r>
              <w:rPr>
                <w:rFonts w:ascii="Arial" w:hAnsi="Arial"/>
                <w:b w:val="0"/>
                <w:sz w:val="16"/>
              </w:rPr>
              <w:t>First echocardiogram within 24 h</w:t>
            </w:r>
          </w:p>
        </w:tc>
      </w:tr>
      <w:tr>
        <w:tc>
          <w:tcPr>
            <w:tcW w:type="dxa" w:w="2592"/>
            <w:vAlign w:val="center"/>
          </w:tcPr>
          <w:p>
            <w:r/>
            <w:r>
              <w:rPr>
                <w:rFonts w:ascii="Arial" w:hAnsi="Arial"/>
                <w:b w:val="0"/>
                <w:sz w:val="16"/>
              </w:rPr>
              <w:t>Absolute neutrophil count (NEUT_AC)</w:t>
            </w:r>
          </w:p>
        </w:tc>
        <w:tc>
          <w:tcPr>
            <w:tcW w:type="dxa" w:w="5184"/>
            <w:vAlign w:val="center"/>
          </w:tcPr>
          <w:p>
            <w:r/>
            <w:r>
              <w:rPr>
                <w:rFonts w:ascii="Arial" w:hAnsi="Arial"/>
                <w:b w:val="0"/>
                <w:sz w:val="16"/>
              </w:rPr>
              <w:t>Inflammatory/hematologic marker</w:t>
            </w:r>
          </w:p>
        </w:tc>
        <w:tc>
          <w:tcPr>
            <w:tcW w:type="dxa" w:w="3312"/>
            <w:vAlign w:val="center"/>
          </w:tcPr>
          <w:p>
            <w:r/>
            <w:r>
              <w:rPr>
                <w:rFonts w:ascii="Arial" w:hAnsi="Arial"/>
                <w:b w:val="0"/>
                <w:sz w:val="16"/>
              </w:rPr>
              <w:t>Admission pre-PCI blood sample</w:t>
            </w:r>
          </w:p>
        </w:tc>
      </w:tr>
      <w:tr>
        <w:tc>
          <w:tcPr>
            <w:tcW w:type="dxa" w:w="2592"/>
            <w:vAlign w:val="center"/>
          </w:tcPr>
          <w:p>
            <w:r/>
            <w:r>
              <w:rPr>
                <w:rFonts w:ascii="Arial" w:hAnsi="Arial"/>
                <w:b w:val="0"/>
                <w:sz w:val="16"/>
              </w:rPr>
              <w:t>Total protein (TP)</w:t>
            </w:r>
          </w:p>
        </w:tc>
        <w:tc>
          <w:tcPr>
            <w:tcW w:type="dxa" w:w="5184"/>
            <w:vAlign w:val="center"/>
          </w:tcPr>
          <w:p>
            <w:r/>
            <w:r>
              <w:rPr>
                <w:rFonts w:ascii="Arial" w:hAnsi="Arial"/>
                <w:b w:val="0"/>
                <w:sz w:val="16"/>
              </w:rPr>
              <w:t>Protein/nutritional/systemic status marker</w:t>
            </w:r>
          </w:p>
        </w:tc>
        <w:tc>
          <w:tcPr>
            <w:tcW w:type="dxa" w:w="3312"/>
            <w:vAlign w:val="center"/>
          </w:tcPr>
          <w:p>
            <w:r/>
            <w:r>
              <w:rPr>
                <w:rFonts w:ascii="Arial" w:hAnsi="Arial"/>
                <w:b w:val="0"/>
                <w:sz w:val="16"/>
              </w:rPr>
              <w:t>Admission pre-PCI blood sample</w:t>
            </w:r>
          </w:p>
        </w:tc>
      </w:tr>
      <w:tr>
        <w:tc>
          <w:tcPr>
            <w:tcW w:type="dxa" w:w="2592"/>
            <w:vAlign w:val="center"/>
          </w:tcPr>
          <w:p>
            <w:r/>
            <w:r>
              <w:rPr>
                <w:rFonts w:ascii="Arial" w:hAnsi="Arial"/>
                <w:b w:val="0"/>
                <w:sz w:val="16"/>
              </w:rPr>
              <w:t>ALT</w:t>
            </w:r>
          </w:p>
        </w:tc>
        <w:tc>
          <w:tcPr>
            <w:tcW w:type="dxa" w:w="5184"/>
            <w:vAlign w:val="center"/>
          </w:tcPr>
          <w:p>
            <w:r/>
            <w:r>
              <w:rPr>
                <w:rFonts w:ascii="Arial" w:hAnsi="Arial"/>
                <w:b w:val="0"/>
                <w:sz w:val="16"/>
              </w:rPr>
              <w:t>Hepatic/systemic injury marker</w:t>
            </w:r>
          </w:p>
        </w:tc>
        <w:tc>
          <w:tcPr>
            <w:tcW w:type="dxa" w:w="3312"/>
            <w:vAlign w:val="center"/>
          </w:tcPr>
          <w:p>
            <w:r/>
            <w:r>
              <w:rPr>
                <w:rFonts w:ascii="Arial" w:hAnsi="Arial"/>
                <w:b w:val="0"/>
                <w:sz w:val="16"/>
              </w:rPr>
              <w:t>Admission pre-PCI blood sample</w:t>
            </w:r>
          </w:p>
        </w:tc>
      </w:tr>
      <w:tr>
        <w:tc>
          <w:tcPr>
            <w:tcW w:type="dxa" w:w="2592"/>
            <w:vAlign w:val="center"/>
          </w:tcPr>
          <w:p>
            <w:r/>
            <w:r>
              <w:rPr>
                <w:rFonts w:ascii="Arial" w:hAnsi="Arial"/>
                <w:b w:val="0"/>
                <w:sz w:val="16"/>
              </w:rPr>
              <w:t>Potassium (K)</w:t>
            </w:r>
          </w:p>
        </w:tc>
        <w:tc>
          <w:tcPr>
            <w:tcW w:type="dxa" w:w="5184"/>
            <w:vAlign w:val="center"/>
          </w:tcPr>
          <w:p>
            <w:r/>
            <w:r>
              <w:rPr>
                <w:rFonts w:ascii="Arial" w:hAnsi="Arial"/>
                <w:b w:val="0"/>
                <w:sz w:val="16"/>
              </w:rPr>
              <w:t>Electrolyte marker with known prognostic relevance</w:t>
            </w:r>
          </w:p>
        </w:tc>
        <w:tc>
          <w:tcPr>
            <w:tcW w:type="dxa" w:w="3312"/>
            <w:vAlign w:val="center"/>
          </w:tcPr>
          <w:p>
            <w:r/>
            <w:r>
              <w:rPr>
                <w:rFonts w:ascii="Arial" w:hAnsi="Arial"/>
                <w:b w:val="0"/>
                <w:sz w:val="16"/>
              </w:rPr>
              <w:t>Admission pre-PCI blood sample</w:t>
            </w:r>
          </w:p>
        </w:tc>
      </w:tr>
    </w:tbl>
    <w:p/>
    <w:p>
      <w:r>
        <w:t>Internal validation AUROC was approximately 0.82 (95% CI 0.73-0.90). External-validation AUROC was 0.90 (95% CI 0.85-0.95), but only 15 MACE events occurred among 508 external-validation participants. The external result should therefore be interpreted primarily as evidence of preserved ranking ability in a different case mix, not definitive proof of calibration or broad transportability.</w:t>
      </w:r>
    </w:p>
    <w:p>
      <w:pPr>
        <w:pStyle w:val="Heading1"/>
      </w:pPr>
      <w:r>
        <w:t>Supplementary Methods S6. Prototype clinical decision-support implementation</w:t>
      </w:r>
    </w:p>
    <w:p>
      <w:r>
        <w:t>A Streamlit-based prototype was created to accept the eight final predictors and return an estimated in-hospital MACE probability together with a local explanation. The example shown in the manuscript yields a predicted probability of 25.7%. The application demonstrates technical deployability only; it was not prospectively evaluated for clinical impact, workflow integration, usability, safety, or decision thresholds.</w:t>
      </w:r>
    </w:p>
    <w:p>
      <w:pPr>
        <w:pStyle w:val="Heading1"/>
      </w:pPr>
      <w:r>
        <w:t>Supplementary reporting notes</w:t>
      </w:r>
    </w:p>
    <w:tbl>
      <w:tblPr>
        <w:tblStyle w:val="TableGrid"/>
        <w:tblW w:type="auto" w:w="0"/>
        <w:jc w:val="center"/>
        <w:tblLook w:firstColumn="1" w:firstRow="1" w:lastColumn="0" w:lastRow="0" w:noHBand="0" w:noVBand="1" w:val="04A0"/>
      </w:tblPr>
      <w:tblGrid>
        <w:gridCol w:w="5040"/>
        <w:gridCol w:w="5040"/>
      </w:tblGrid>
      <w:tr>
        <w:tc>
          <w:tcPr>
            <w:tcW w:type="dxa" w:w="2592"/>
            <w:vAlign w:val="center"/>
            <w:shd w:fill="D9EAF7"/>
          </w:tcPr>
          <w:p>
            <w:r/>
            <w:r>
              <w:rPr>
                <w:rFonts w:ascii="Arial" w:hAnsi="Arial"/>
                <w:b/>
                <w:sz w:val="17"/>
              </w:rPr>
              <w:t>Reporting domain</w:t>
            </w:r>
          </w:p>
        </w:tc>
        <w:tc>
          <w:tcPr>
            <w:tcW w:type="dxa" w:w="8352"/>
            <w:vAlign w:val="center"/>
            <w:shd w:fill="D9EAF7"/>
          </w:tcPr>
          <w:p>
            <w:r/>
            <w:r>
              <w:rPr>
                <w:rFonts w:ascii="Arial" w:hAnsi="Arial"/>
                <w:b/>
                <w:sz w:val="17"/>
              </w:rPr>
              <w:t>Status / interpretation</w:t>
            </w:r>
          </w:p>
        </w:tc>
      </w:tr>
      <w:tr>
        <w:tc>
          <w:tcPr>
            <w:tcW w:type="dxa" w:w="2592"/>
            <w:vAlign w:val="center"/>
          </w:tcPr>
          <w:p>
            <w:r/>
            <w:r>
              <w:rPr>
                <w:rFonts w:ascii="Arial" w:hAnsi="Arial"/>
                <w:b w:val="0"/>
                <w:sz w:val="17"/>
              </w:rPr>
              <w:t>Protocol/registration</w:t>
            </w:r>
          </w:p>
        </w:tc>
        <w:tc>
          <w:tcPr>
            <w:tcW w:type="dxa" w:w="8352"/>
            <w:vAlign w:val="center"/>
          </w:tcPr>
          <w:p>
            <w:r/>
            <w:r>
              <w:rPr>
                <w:rFonts w:ascii="Arial" w:hAnsi="Arial"/>
                <w:b w:val="0"/>
                <w:sz w:val="17"/>
              </w:rPr>
              <w:t>The manuscript does not report a prospectively prepared protocol or study registration.</w:t>
            </w:r>
          </w:p>
        </w:tc>
      </w:tr>
      <w:tr>
        <w:tc>
          <w:tcPr>
            <w:tcW w:type="dxa" w:w="2592"/>
            <w:vAlign w:val="center"/>
          </w:tcPr>
          <w:p>
            <w:r/>
            <w:r>
              <w:rPr>
                <w:rFonts w:ascii="Arial" w:hAnsi="Arial"/>
                <w:b w:val="0"/>
                <w:sz w:val="17"/>
              </w:rPr>
              <w:t>Code availability</w:t>
            </w:r>
          </w:p>
        </w:tc>
        <w:tc>
          <w:tcPr>
            <w:tcW w:type="dxa" w:w="8352"/>
            <w:vAlign w:val="center"/>
          </w:tcPr>
          <w:p>
            <w:r/>
            <w:r>
              <w:rPr>
                <w:rFonts w:ascii="Arial" w:hAnsi="Arial"/>
                <w:b w:val="0"/>
                <w:sz w:val="17"/>
              </w:rPr>
              <w:t>The manuscript does not provide a public analytical-code repository. If the authors can share the analysis scripts, adding a repository link would materially improve reproducibility.</w:t>
            </w:r>
          </w:p>
        </w:tc>
      </w:tr>
      <w:tr>
        <w:tc>
          <w:tcPr>
            <w:tcW w:type="dxa" w:w="2592"/>
            <w:vAlign w:val="center"/>
          </w:tcPr>
          <w:p>
            <w:r/>
            <w:r>
              <w:rPr>
                <w:rFonts w:ascii="Arial" w:hAnsi="Arial"/>
                <w:b w:val="0"/>
                <w:sz w:val="17"/>
              </w:rPr>
              <w:t>Fairness</w:t>
            </w:r>
          </w:p>
        </w:tc>
        <w:tc>
          <w:tcPr>
            <w:tcW w:type="dxa" w:w="8352"/>
            <w:vAlign w:val="center"/>
          </w:tcPr>
          <w:p>
            <w:r/>
            <w:r>
              <w:rPr>
                <w:rFonts w:ascii="Arial" w:hAnsi="Arial"/>
                <w:b w:val="0"/>
                <w:sz w:val="17"/>
              </w:rPr>
              <w:t>No formal fairness analysis across sociodemographic groups is reported.</w:t>
            </w:r>
          </w:p>
        </w:tc>
      </w:tr>
      <w:tr>
        <w:tc>
          <w:tcPr>
            <w:tcW w:type="dxa" w:w="2592"/>
            <w:vAlign w:val="center"/>
          </w:tcPr>
          <w:p>
            <w:r/>
            <w:r>
              <w:rPr>
                <w:rFonts w:ascii="Arial" w:hAnsi="Arial"/>
                <w:b w:val="0"/>
                <w:sz w:val="17"/>
              </w:rPr>
              <w:t>Sample-size calculation</w:t>
            </w:r>
          </w:p>
        </w:tc>
        <w:tc>
          <w:tcPr>
            <w:tcW w:type="dxa" w:w="8352"/>
            <w:vAlign w:val="center"/>
          </w:tcPr>
          <w:p>
            <w:r/>
            <w:r>
              <w:rPr>
                <w:rFonts w:ascii="Arial" w:hAnsi="Arial"/>
                <w:b w:val="0"/>
                <w:sz w:val="17"/>
              </w:rPr>
              <w:t>No a priori prediction-model sample-size calculation is reported. The observed derivation cohort included 138 MACE events; the external cohort included only 15 events.</w:t>
            </w:r>
          </w:p>
        </w:tc>
      </w:tr>
      <w:tr>
        <w:tc>
          <w:tcPr>
            <w:tcW w:type="dxa" w:w="2592"/>
            <w:vAlign w:val="center"/>
          </w:tcPr>
          <w:p>
            <w:r/>
            <w:r>
              <w:rPr>
                <w:rFonts w:ascii="Arial" w:hAnsi="Arial"/>
                <w:b w:val="0"/>
                <w:sz w:val="17"/>
              </w:rPr>
              <w:t>Comparator scores</w:t>
            </w:r>
          </w:p>
        </w:tc>
        <w:tc>
          <w:tcPr>
            <w:tcW w:type="dxa" w:w="8352"/>
            <w:vAlign w:val="center"/>
          </w:tcPr>
          <w:p>
            <w:r/>
            <w:r>
              <w:rPr>
                <w:rFonts w:ascii="Arial" w:hAnsi="Arial"/>
                <w:b w:val="0"/>
                <w:sz w:val="17"/>
              </w:rPr>
              <w:t>No direct head-to-head GRACE or PRAISE calculation is reported in the available analysis.</w:t>
            </w:r>
          </w:p>
        </w:tc>
      </w:tr>
      <w:tr>
        <w:tc>
          <w:tcPr>
            <w:tcW w:type="dxa" w:w="2592"/>
            <w:vAlign w:val="center"/>
          </w:tcPr>
          <w:p>
            <w:r/>
            <w:r>
              <w:rPr>
                <w:rFonts w:ascii="Arial" w:hAnsi="Arial"/>
                <w:b w:val="0"/>
                <w:sz w:val="17"/>
              </w:rPr>
              <w:t>Clinical implementation</w:t>
            </w:r>
          </w:p>
        </w:tc>
        <w:tc>
          <w:tcPr>
            <w:tcW w:type="dxa" w:w="8352"/>
            <w:vAlign w:val="center"/>
          </w:tcPr>
          <w:p>
            <w:r/>
            <w:r>
              <w:rPr>
                <w:rFonts w:ascii="Arial" w:hAnsi="Arial"/>
                <w:b w:val="0"/>
                <w:sz w:val="17"/>
              </w:rPr>
              <w:t>Prospective impact analysis and prespecified prediction-time validation remain necessary before clinical deployment.</w:t>
            </w:r>
          </w:p>
        </w:tc>
      </w:tr>
    </w:tbl>
    <w:p/>
    <w:p>
      <w:pPr>
        <w:pStyle w:val="Heading1"/>
      </w:pPr>
      <w:r>
        <w:t>Abbreviations</w:t>
      </w:r>
    </w:p>
    <w:p>
      <w:r>
        <w:t>ACS, acute coronary syndrome; ADASYN, adaptive synthetic sampling; ALT, alanine aminotransferase; AUPRC, area under the precision-recall curve; AUROC, area under the receiver operating characteristic curve; DNN, deep neural network; ECMO, extracorporeal membrane oxygenation; EMR, electronic medical record; GSCV, grid search with cross-validation; KNN, k-nearest neighbors; LASSO, least absolute shrinkage and selection operator; LIME, local interpretable model-agnostic explanations; LVEF, left ventricular ejection fraction; MACE, major adverse cardiovascular events; MICE, multiple imputation by chained equations; PCI, percutaneous coronary intervention; RF, random forest; SHAP, Shapley additive explanations; SVM, support vector machine; XGBoost, extreme gradient boosting.</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