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rPr>
          <w:bCs/>
          <w:iCs/>
          <w:szCs w:val="28"/>
        </w:rPr>
      </w:pPr>
      <w:r w:rsidRPr="0014779E">
        <w:rPr>
          <w:b/>
          <w:i/>
          <w:szCs w:val="28"/>
        </w:rPr>
        <w:t>Supplementary Table1. Prediction of mortality in patients with</w:t>
      </w:r>
      <w:r w:rsidRPr="0014779E">
        <w:rPr>
          <w:b/>
          <w:i/>
          <w:color w:val="000000" w:themeColor="text1"/>
          <w:szCs w:val="28"/>
        </w:rPr>
        <w:t xml:space="preserve"> IPF at diagnosis</w:t>
      </w:r>
      <w:r w:rsidRPr="0014779E">
        <w:rPr>
          <w:b/>
          <w:i/>
          <w:szCs w:val="28"/>
        </w:rPr>
        <w:t xml:space="preserve"> by univariate and multivariate Cox-proportion analyses</w:t>
      </w:r>
    </w:p>
    <w:tbl>
      <w:tblPr>
        <w:tblW w:w="5357" w:type="pct"/>
        <w:jc w:val="center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378"/>
        <w:gridCol w:w="1599"/>
        <w:gridCol w:w="1416"/>
        <w:gridCol w:w="3262"/>
        <w:gridCol w:w="1212"/>
        <w:gridCol w:w="1608"/>
        <w:gridCol w:w="1410"/>
      </w:tblGrid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7B06EF" w:rsidRDefault="00DE581F" w:rsidP="00037CE2">
            <w:pPr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Predictor</w:t>
            </w:r>
          </w:p>
        </w:tc>
        <w:tc>
          <w:tcPr>
            <w:tcW w:w="459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HR</w:t>
            </w:r>
          </w:p>
        </w:tc>
        <w:tc>
          <w:tcPr>
            <w:tcW w:w="533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472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p-value</w:t>
            </w:r>
          </w:p>
        </w:tc>
        <w:tc>
          <w:tcPr>
            <w:tcW w:w="1087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04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HR</w:t>
            </w:r>
          </w:p>
        </w:tc>
        <w:tc>
          <w:tcPr>
            <w:tcW w:w="536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470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7B06EF" w:rsidRDefault="00DE581F" w:rsidP="00037CE2">
            <w:pPr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Univariate analysis</w:t>
            </w:r>
          </w:p>
        </w:tc>
        <w:tc>
          <w:tcPr>
            <w:tcW w:w="459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rFonts w:hint="eastAsia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533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72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87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Multivariate analysis 1</w:t>
            </w:r>
          </w:p>
        </w:tc>
        <w:tc>
          <w:tcPr>
            <w:tcW w:w="404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536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70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Age, year</w:t>
            </w:r>
          </w:p>
        </w:tc>
        <w:tc>
          <w:tcPr>
            <w:tcW w:w="459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1.032</w:t>
            </w:r>
          </w:p>
        </w:tc>
        <w:tc>
          <w:tcPr>
            <w:tcW w:w="533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0.999–1.066</w:t>
            </w:r>
          </w:p>
        </w:tc>
        <w:tc>
          <w:tcPr>
            <w:tcW w:w="472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0.054</w:t>
            </w:r>
          </w:p>
        </w:tc>
        <w:tc>
          <w:tcPr>
            <w:tcW w:w="1087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Age, year</w:t>
            </w:r>
          </w:p>
        </w:tc>
        <w:tc>
          <w:tcPr>
            <w:tcW w:w="404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1.021</w:t>
            </w:r>
          </w:p>
        </w:tc>
        <w:tc>
          <w:tcPr>
            <w:tcW w:w="536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0.983–1.061</w:t>
            </w:r>
          </w:p>
        </w:tc>
        <w:tc>
          <w:tcPr>
            <w:tcW w:w="470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0.283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Gender, male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0.698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0.364–1.340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0.280</w:t>
            </w:r>
          </w:p>
        </w:tc>
        <w:tc>
          <w:tcPr>
            <w:tcW w:w="1087" w:type="pct"/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Gender, male</w:t>
            </w:r>
          </w:p>
        </w:tc>
        <w:tc>
          <w:tcPr>
            <w:tcW w:w="40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0.712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0.364–1.392</w:t>
            </w:r>
          </w:p>
        </w:tc>
        <w:tc>
          <w:tcPr>
            <w:tcW w:w="470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0.321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BMI, kg/m</w:t>
            </w:r>
            <w:r w:rsidRPr="0014779E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1.002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0.924–1.087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0.965</w:t>
            </w:r>
          </w:p>
        </w:tc>
        <w:tc>
          <w:tcPr>
            <w:tcW w:w="1087" w:type="pct"/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PaO</w:t>
            </w:r>
            <w:r w:rsidRPr="0014779E">
              <w:rPr>
                <w:color w:val="000000" w:themeColor="text1"/>
                <w:vertAlign w:val="subscript"/>
              </w:rPr>
              <w:t>2</w:t>
            </w:r>
            <w:r w:rsidRPr="0014779E">
              <w:rPr>
                <w:color w:val="000000" w:themeColor="text1"/>
              </w:rPr>
              <w:t>, Torr</w:t>
            </w:r>
          </w:p>
        </w:tc>
        <w:tc>
          <w:tcPr>
            <w:tcW w:w="40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0.980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0.961–1.000</w:t>
            </w:r>
          </w:p>
        </w:tc>
        <w:tc>
          <w:tcPr>
            <w:tcW w:w="47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0.053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FVC, percent predicted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0.971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0.956–0.985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&lt;0.001</w:t>
            </w:r>
          </w:p>
        </w:tc>
        <w:tc>
          <w:tcPr>
            <w:tcW w:w="1087" w:type="pct"/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KL-6, U/ml</w:t>
            </w:r>
          </w:p>
        </w:tc>
        <w:tc>
          <w:tcPr>
            <w:tcW w:w="40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1.000–1.001</w:t>
            </w:r>
          </w:p>
        </w:tc>
        <w:tc>
          <w:tcPr>
            <w:tcW w:w="470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0.014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t>FEV</w:t>
            </w:r>
            <w:r w:rsidRPr="0014779E">
              <w:rPr>
                <w:vertAlign w:val="subscript"/>
              </w:rPr>
              <w:t>1</w:t>
            </w:r>
            <w:r w:rsidRPr="0014779E">
              <w:t>/FVC</w:t>
            </w:r>
            <w:r w:rsidRPr="0014779E">
              <w:rPr>
                <w:color w:val="000000" w:themeColor="text1"/>
              </w:rPr>
              <w:t>, %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1.044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1.006–1.083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0.023</w:t>
            </w:r>
          </w:p>
        </w:tc>
        <w:tc>
          <w:tcPr>
            <w:tcW w:w="1087" w:type="pct"/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SP-D, ng/ml</w:t>
            </w:r>
          </w:p>
        </w:tc>
        <w:tc>
          <w:tcPr>
            <w:tcW w:w="40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1.001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1.000–1.003</w:t>
            </w:r>
          </w:p>
        </w:tc>
        <w:tc>
          <w:tcPr>
            <w:tcW w:w="47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0.156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DLCO, %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0.969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0.949–0.999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0.003</w:t>
            </w:r>
          </w:p>
        </w:tc>
        <w:tc>
          <w:tcPr>
            <w:tcW w:w="1087" w:type="pct"/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Standardized 3D-CT LV, %</w:t>
            </w:r>
          </w:p>
        </w:tc>
        <w:tc>
          <w:tcPr>
            <w:tcW w:w="40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0.978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0.964–0.991</w:t>
            </w:r>
          </w:p>
        </w:tc>
        <w:tc>
          <w:tcPr>
            <w:tcW w:w="470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0.001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PaO</w:t>
            </w:r>
            <w:r w:rsidRPr="0014779E">
              <w:rPr>
                <w:color w:val="000000" w:themeColor="text1"/>
                <w:vertAlign w:val="subscript"/>
              </w:rPr>
              <w:t>2</w:t>
            </w:r>
            <w:r w:rsidRPr="0014779E">
              <w:rPr>
                <w:color w:val="000000" w:themeColor="text1"/>
              </w:rPr>
              <w:t>, Torr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0.970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0.954–0.986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1087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04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536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0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KL-6, U/ml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1.000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1.000–1.001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1087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404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rFonts w:eastAsia="MS PGothic"/>
                <w:color w:val="000000" w:themeColor="text1"/>
              </w:rPr>
            </w:pPr>
          </w:p>
        </w:tc>
        <w:tc>
          <w:tcPr>
            <w:tcW w:w="536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rFonts w:eastAsia="MS PGothic"/>
                <w:color w:val="000000" w:themeColor="text1"/>
              </w:rPr>
            </w:pPr>
          </w:p>
        </w:tc>
        <w:tc>
          <w:tcPr>
            <w:tcW w:w="470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SP-D, ng/ml</w:t>
            </w:r>
          </w:p>
        </w:tc>
        <w:tc>
          <w:tcPr>
            <w:tcW w:w="459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1.005</w:t>
            </w:r>
          </w:p>
        </w:tc>
        <w:tc>
          <w:tcPr>
            <w:tcW w:w="53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1.002–1.008</w:t>
            </w:r>
          </w:p>
        </w:tc>
        <w:tc>
          <w:tcPr>
            <w:tcW w:w="472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1087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b/>
                <w:color w:val="000000" w:themeColor="text1"/>
              </w:rPr>
              <w:t>Multivariate analysis 2</w:t>
            </w:r>
          </w:p>
        </w:tc>
        <w:tc>
          <w:tcPr>
            <w:tcW w:w="404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536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0" w:type="pc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CRP, mg/dl</w:t>
            </w: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0.918</w:t>
            </w:r>
          </w:p>
        </w:tc>
        <w:tc>
          <w:tcPr>
            <w:tcW w:w="53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0.576–1.464</w:t>
            </w:r>
          </w:p>
        </w:tc>
        <w:tc>
          <w:tcPr>
            <w:tcW w:w="472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0.720</w:t>
            </w:r>
          </w:p>
        </w:tc>
        <w:tc>
          <w:tcPr>
            <w:tcW w:w="1087" w:type="pct"/>
            <w:tcBorders>
              <w:top w:val="single" w:sz="24" w:space="0" w:color="auto"/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Age, year</w:t>
            </w:r>
          </w:p>
        </w:tc>
        <w:tc>
          <w:tcPr>
            <w:tcW w:w="404" w:type="pct"/>
            <w:tcBorders>
              <w:top w:val="single" w:sz="24" w:space="0" w:color="auto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1.010</w:t>
            </w:r>
          </w:p>
        </w:tc>
        <w:tc>
          <w:tcPr>
            <w:tcW w:w="536" w:type="pct"/>
            <w:tcBorders>
              <w:top w:val="single" w:sz="24" w:space="0" w:color="auto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0.973–1.048</w:t>
            </w:r>
          </w:p>
        </w:tc>
        <w:tc>
          <w:tcPr>
            <w:tcW w:w="470" w:type="pct"/>
            <w:tcBorders>
              <w:top w:val="single" w:sz="24" w:space="0" w:color="auto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0.606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Standardized 3D-CT LV, %</w:t>
            </w: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 w:rsidRPr="0014779E">
              <w:rPr>
                <w:rFonts w:eastAsia="MS PGothic"/>
              </w:rPr>
              <w:t>0.976</w:t>
            </w:r>
          </w:p>
        </w:tc>
        <w:tc>
          <w:tcPr>
            <w:tcW w:w="53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0.965–0.988</w:t>
            </w:r>
          </w:p>
        </w:tc>
        <w:tc>
          <w:tcPr>
            <w:tcW w:w="472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 w:rsidRPr="0014779E">
              <w:rPr>
                <w:rFonts w:eastAsia="MS PGothic"/>
              </w:rPr>
              <w:t>&lt;0.001</w:t>
            </w: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Gender, male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0.770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0.392–1.514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0.449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53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2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PaO</w:t>
            </w:r>
            <w:r w:rsidRPr="0014779E">
              <w:rPr>
                <w:color w:val="000000" w:themeColor="text1"/>
                <w:vertAlign w:val="subscript"/>
              </w:rPr>
              <w:t>2</w:t>
            </w:r>
            <w:r w:rsidRPr="0014779E">
              <w:rPr>
                <w:color w:val="000000" w:themeColor="text1"/>
              </w:rPr>
              <w:t>, Torr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0.973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0.955–0.992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0.005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53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2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KL-6, U/ml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1.000–1.001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0.029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53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2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1087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SP-D, ng/ml</w:t>
            </w:r>
          </w:p>
        </w:tc>
        <w:tc>
          <w:tcPr>
            <w:tcW w:w="40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1.001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1.000–1.003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0.100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nil"/>
              <w:bottom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59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0000" w:themeColor="text1"/>
              </w:rPr>
            </w:pPr>
          </w:p>
        </w:tc>
        <w:tc>
          <w:tcPr>
            <w:tcW w:w="533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</w:p>
        </w:tc>
        <w:tc>
          <w:tcPr>
            <w:tcW w:w="472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rFonts w:eastAsia="MS PGothic"/>
                <w:color w:val="00B0F0"/>
              </w:rPr>
            </w:pPr>
          </w:p>
        </w:tc>
        <w:tc>
          <w:tcPr>
            <w:tcW w:w="1087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FVC, percent predicted</w:t>
            </w:r>
          </w:p>
        </w:tc>
        <w:tc>
          <w:tcPr>
            <w:tcW w:w="404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0.976</w:t>
            </w:r>
          </w:p>
        </w:tc>
        <w:tc>
          <w:tcPr>
            <w:tcW w:w="536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0.960–0.992</w:t>
            </w:r>
          </w:p>
        </w:tc>
        <w:tc>
          <w:tcPr>
            <w:tcW w:w="470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0.005</w:t>
            </w:r>
          </w:p>
        </w:tc>
      </w:tr>
    </w:tbl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  <w:r w:rsidRPr="0014779E">
        <w:t>IPF; idiopathic pulmonary fibrosis, BMI; body mass index, FVC; forced vital capacity, FEV</w:t>
      </w:r>
      <w:r w:rsidRPr="0014779E">
        <w:rPr>
          <w:vertAlign w:val="subscript"/>
        </w:rPr>
        <w:t>1.0</w:t>
      </w:r>
      <w:r w:rsidRPr="0014779E">
        <w:t>; forced expiratory volume in 1.0 second, DLCO; diffuse capacity of the lung for carbon monoxide, P/F ratio; PaO</w:t>
      </w:r>
      <w:r w:rsidRPr="0014779E">
        <w:rPr>
          <w:vertAlign w:val="subscript"/>
        </w:rPr>
        <w:t>2</w:t>
      </w:r>
      <w:r w:rsidRPr="0014779E">
        <w:t xml:space="preserve"> / FiO</w:t>
      </w:r>
      <w:r w:rsidRPr="0014779E">
        <w:rPr>
          <w:vertAlign w:val="subscript"/>
        </w:rPr>
        <w:t>2</w:t>
      </w:r>
      <w:r w:rsidRPr="0014779E">
        <w:t xml:space="preserve"> ratio, KL-6; Krebs von den Lunge-6, SP-D; surfactant protein-D, CRP; C-reactive protein, </w:t>
      </w:r>
      <w:r w:rsidRPr="0014779E">
        <w:rPr>
          <w:bCs/>
          <w:iCs/>
          <w:szCs w:val="28"/>
        </w:rPr>
        <w:t xml:space="preserve">3D-CT; </w:t>
      </w:r>
      <w:r w:rsidRPr="0014779E">
        <w:t>3-dimansional computed-tomography</w:t>
      </w:r>
      <w:r w:rsidRPr="0014779E">
        <w:rPr>
          <w:b/>
          <w:i/>
          <w:szCs w:val="28"/>
        </w:rPr>
        <w:t xml:space="preserve"> </w:t>
      </w:r>
    </w:p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ind w:left="120" w:hangingChars="50" w:hanging="120"/>
        <w:rPr>
          <w:b/>
          <w:i/>
          <w:szCs w:val="28"/>
        </w:rPr>
      </w:pPr>
      <w:r w:rsidRPr="00382426">
        <w:rPr>
          <w:b/>
          <w:i/>
          <w:szCs w:val="28"/>
        </w:rPr>
        <w:lastRenderedPageBreak/>
        <w:t>Supplementary Table2. The values of capacity of lung lobes for predicting mortality in patients with</w:t>
      </w:r>
      <w:r w:rsidRPr="00382426">
        <w:rPr>
          <w:b/>
          <w:i/>
          <w:color w:val="000000" w:themeColor="text1"/>
          <w:szCs w:val="28"/>
        </w:rPr>
        <w:t xml:space="preserve"> IPF at diagnosis</w:t>
      </w:r>
      <w:r w:rsidRPr="00382426">
        <w:rPr>
          <w:b/>
          <w:i/>
          <w:szCs w:val="28"/>
        </w:rPr>
        <w:t xml:space="preserve"> and at AE by age-and gender- adjusted multivariate Cox-proportion analyses</w:t>
      </w:r>
    </w:p>
    <w:tbl>
      <w:tblPr>
        <w:tblW w:w="5357" w:type="pct"/>
        <w:jc w:val="center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853"/>
        <w:gridCol w:w="1561"/>
        <w:gridCol w:w="1278"/>
        <w:gridCol w:w="1134"/>
        <w:gridCol w:w="1788"/>
        <w:gridCol w:w="1173"/>
        <w:gridCol w:w="9"/>
        <w:gridCol w:w="1119"/>
        <w:gridCol w:w="1608"/>
        <w:gridCol w:w="1362"/>
      </w:tblGrid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Predictor</w:t>
            </w:r>
          </w:p>
        </w:tc>
        <w:tc>
          <w:tcPr>
            <w:tcW w:w="1230" w:type="pct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IPF at diagnosis (n = 140)</w:t>
            </w:r>
          </w:p>
        </w:tc>
        <w:tc>
          <w:tcPr>
            <w:tcW w:w="1365" w:type="pct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</w:rPr>
              <w:t>AE-IPF</w:t>
            </w:r>
            <w:r w:rsidRPr="007B06EF">
              <w:rPr>
                <w:b/>
                <w:bCs/>
                <w:color w:val="000000" w:themeColor="text1"/>
              </w:rPr>
              <w:t xml:space="preserve"> (n = 61)</w:t>
            </w:r>
          </w:p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rFonts w:hint="eastAsia"/>
                <w:b/>
                <w:bCs/>
                <w:color w:val="000000" w:themeColor="text1"/>
              </w:rPr>
              <w:t>H</w:t>
            </w:r>
            <w:r w:rsidRPr="007B06EF">
              <w:rPr>
                <w:b/>
                <w:bCs/>
                <w:color w:val="000000" w:themeColor="text1"/>
              </w:rPr>
              <w:t>amamatsu cohort</w:t>
            </w:r>
          </w:p>
        </w:tc>
        <w:tc>
          <w:tcPr>
            <w:tcW w:w="1366" w:type="pct"/>
            <w:gridSpan w:val="4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</w:rPr>
              <w:t>AE-IPF</w:t>
            </w:r>
            <w:r w:rsidRPr="007B06EF">
              <w:rPr>
                <w:b/>
                <w:bCs/>
                <w:color w:val="000000" w:themeColor="text1"/>
              </w:rPr>
              <w:t xml:space="preserve"> (n = 50)</w:t>
            </w:r>
          </w:p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rFonts w:hint="eastAsia"/>
                <w:b/>
                <w:bCs/>
                <w:color w:val="000000" w:themeColor="text1"/>
              </w:rPr>
              <w:t>S</w:t>
            </w:r>
            <w:r w:rsidRPr="007B06EF">
              <w:rPr>
                <w:b/>
                <w:bCs/>
                <w:color w:val="000000" w:themeColor="text1"/>
              </w:rPr>
              <w:t>eirei cohort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Age and gender-adjusted</w:t>
            </w:r>
          </w:p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standardised 3D-CT LV (%)</w:t>
            </w:r>
          </w:p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  <w:color w:val="000000" w:themeColor="text1"/>
              </w:rPr>
              <w:t>univariate analysis</w:t>
            </w:r>
          </w:p>
        </w:tc>
        <w:tc>
          <w:tcPr>
            <w:tcW w:w="284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rFonts w:eastAsia="MS PGothic"/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HR</w:t>
            </w:r>
          </w:p>
        </w:tc>
        <w:tc>
          <w:tcPr>
            <w:tcW w:w="520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426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rFonts w:eastAsia="MS PGothic"/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p-value</w:t>
            </w:r>
          </w:p>
        </w:tc>
        <w:tc>
          <w:tcPr>
            <w:tcW w:w="378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  <w:color w:val="000000" w:themeColor="text1"/>
              </w:rPr>
              <w:t>HR</w:t>
            </w:r>
          </w:p>
        </w:tc>
        <w:tc>
          <w:tcPr>
            <w:tcW w:w="596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394" w:type="pct"/>
            <w:gridSpan w:val="2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  <w:color w:val="000000" w:themeColor="text1"/>
              </w:rPr>
              <w:t>p-value</w:t>
            </w:r>
          </w:p>
        </w:tc>
        <w:tc>
          <w:tcPr>
            <w:tcW w:w="373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rFonts w:eastAsia="MS PGothic"/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HR</w:t>
            </w:r>
          </w:p>
        </w:tc>
        <w:tc>
          <w:tcPr>
            <w:tcW w:w="536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95% CI</w:t>
            </w:r>
          </w:p>
        </w:tc>
        <w:tc>
          <w:tcPr>
            <w:tcW w:w="454" w:type="pct"/>
            <w:tcBorders>
              <w:top w:val="single" w:sz="24" w:space="0" w:color="auto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rFonts w:eastAsia="MS PGothic"/>
                <w:b/>
                <w:bCs/>
                <w:color w:val="000000" w:themeColor="text1"/>
              </w:rPr>
            </w:pPr>
            <w:r w:rsidRPr="007B06EF">
              <w:rPr>
                <w:b/>
                <w:bCs/>
                <w:color w:val="000000" w:themeColor="text1"/>
              </w:rPr>
              <w:t>p-value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bCs/>
              </w:rPr>
              <w:t>Total lung</w:t>
            </w:r>
          </w:p>
        </w:tc>
        <w:tc>
          <w:tcPr>
            <w:tcW w:w="284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0.975</w:t>
            </w:r>
          </w:p>
        </w:tc>
        <w:tc>
          <w:tcPr>
            <w:tcW w:w="520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0.963–0.987</w:t>
            </w:r>
          </w:p>
        </w:tc>
        <w:tc>
          <w:tcPr>
            <w:tcW w:w="426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8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0.969</w:t>
            </w:r>
          </w:p>
        </w:tc>
        <w:tc>
          <w:tcPr>
            <w:tcW w:w="596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0.951–0.988</w:t>
            </w:r>
          </w:p>
        </w:tc>
        <w:tc>
          <w:tcPr>
            <w:tcW w:w="394" w:type="pct"/>
            <w:gridSpan w:val="2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0.001</w:t>
            </w:r>
          </w:p>
        </w:tc>
        <w:tc>
          <w:tcPr>
            <w:tcW w:w="373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0.969</w:t>
            </w:r>
          </w:p>
        </w:tc>
        <w:tc>
          <w:tcPr>
            <w:tcW w:w="536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49</w:t>
            </w:r>
            <w:r w:rsidRPr="0014779E">
              <w:rPr>
                <w:color w:val="000000" w:themeColor="text1"/>
              </w:rPr>
              <w:t>–0.988</w:t>
            </w:r>
          </w:p>
        </w:tc>
        <w:tc>
          <w:tcPr>
            <w:tcW w:w="454" w:type="pct"/>
            <w:tcBorders>
              <w:top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</w:t>
            </w:r>
            <w:r>
              <w:rPr>
                <w:rFonts w:eastAsia="MS PGothic"/>
                <w:color w:val="000000" w:themeColor="text1"/>
              </w:rPr>
              <w:t>2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  <w:rPr>
                <w:b/>
                <w:color w:val="000000" w:themeColor="text1"/>
              </w:rPr>
            </w:pPr>
            <w:r w:rsidRPr="0014779E">
              <w:rPr>
                <w:bCs/>
              </w:rPr>
              <w:t>Right lung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0.958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0.938–0.978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8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0.942</w:t>
            </w:r>
          </w:p>
        </w:tc>
        <w:tc>
          <w:tcPr>
            <w:tcW w:w="59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0.914–0.971</w:t>
            </w:r>
          </w:p>
        </w:tc>
        <w:tc>
          <w:tcPr>
            <w:tcW w:w="394" w:type="pct"/>
            <w:gridSpan w:val="2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64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28</w:t>
            </w:r>
            <w:r w:rsidRPr="0014779E">
              <w:rPr>
                <w:color w:val="000000" w:themeColor="text1"/>
              </w:rPr>
              <w:t>–</w:t>
            </w:r>
            <w:r>
              <w:rPr>
                <w:color w:val="000000" w:themeColor="text1"/>
              </w:rPr>
              <w:t>1.001</w:t>
            </w:r>
          </w:p>
        </w:tc>
        <w:tc>
          <w:tcPr>
            <w:tcW w:w="454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0</w:t>
            </w:r>
            <w:r>
              <w:rPr>
                <w:rFonts w:eastAsia="MS PGothic"/>
                <w:color w:val="000000" w:themeColor="text1"/>
              </w:rPr>
              <w:t>.057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color w:val="000000" w:themeColor="text1"/>
              </w:rPr>
            </w:pPr>
            <w:r w:rsidRPr="0014779E">
              <w:rPr>
                <w:bCs/>
              </w:rPr>
              <w:t>Right upper lobe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0.968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0.932–1.004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0.081</w:t>
            </w:r>
          </w:p>
        </w:tc>
        <w:tc>
          <w:tcPr>
            <w:tcW w:w="378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0.914</w:t>
            </w:r>
          </w:p>
        </w:tc>
        <w:tc>
          <w:tcPr>
            <w:tcW w:w="59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0.861–0.971</w:t>
            </w:r>
          </w:p>
        </w:tc>
        <w:tc>
          <w:tcPr>
            <w:tcW w:w="394" w:type="pct"/>
            <w:gridSpan w:val="2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0.004</w:t>
            </w:r>
          </w:p>
        </w:tc>
        <w:tc>
          <w:tcPr>
            <w:tcW w:w="37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27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0.8</w:t>
            </w:r>
            <w:r>
              <w:rPr>
                <w:color w:val="000000" w:themeColor="text1"/>
              </w:rPr>
              <w:t>78</w:t>
            </w:r>
            <w:r w:rsidRPr="0014779E">
              <w:rPr>
                <w:color w:val="000000" w:themeColor="text1"/>
              </w:rPr>
              <w:t>–0.97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45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</w:t>
            </w:r>
            <w:r>
              <w:rPr>
                <w:rFonts w:eastAsia="MS PGothic"/>
                <w:color w:val="000000" w:themeColor="text1"/>
              </w:rPr>
              <w:t>6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color w:val="000000" w:themeColor="text1"/>
              </w:rPr>
            </w:pPr>
            <w:r w:rsidRPr="0014779E">
              <w:rPr>
                <w:bCs/>
              </w:rPr>
              <w:t>Right middle lobe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0.891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0.832–0.955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0.001</w:t>
            </w:r>
          </w:p>
        </w:tc>
        <w:tc>
          <w:tcPr>
            <w:tcW w:w="378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0.902</w:t>
            </w:r>
          </w:p>
        </w:tc>
        <w:tc>
          <w:tcPr>
            <w:tcW w:w="59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0.836–0.972</w:t>
            </w:r>
          </w:p>
        </w:tc>
        <w:tc>
          <w:tcPr>
            <w:tcW w:w="394" w:type="pct"/>
            <w:gridSpan w:val="2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0.007</w:t>
            </w:r>
          </w:p>
        </w:tc>
        <w:tc>
          <w:tcPr>
            <w:tcW w:w="37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</w:t>
            </w:r>
            <w:r>
              <w:rPr>
                <w:rFonts w:eastAsia="MS PGothic"/>
                <w:color w:val="000000" w:themeColor="text1"/>
              </w:rPr>
              <w:t>821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717</w:t>
            </w:r>
            <w:r w:rsidRPr="0014779E">
              <w:rPr>
                <w:color w:val="000000" w:themeColor="text1"/>
              </w:rPr>
              <w:t>–0.9</w:t>
            </w:r>
            <w:r>
              <w:rPr>
                <w:color w:val="000000" w:themeColor="text1"/>
              </w:rPr>
              <w:t>41</w:t>
            </w:r>
          </w:p>
        </w:tc>
        <w:tc>
          <w:tcPr>
            <w:tcW w:w="454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</w:t>
            </w:r>
            <w:r>
              <w:rPr>
                <w:rFonts w:eastAsia="MS PGothic"/>
                <w:color w:val="000000" w:themeColor="text1"/>
              </w:rPr>
              <w:t>5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color w:val="000000" w:themeColor="text1"/>
              </w:rPr>
            </w:pPr>
            <w:r w:rsidRPr="0014779E">
              <w:rPr>
                <w:bCs/>
              </w:rPr>
              <w:t>Right lower lobe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0.960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0.929–0.990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0.011</w:t>
            </w:r>
          </w:p>
        </w:tc>
        <w:tc>
          <w:tcPr>
            <w:tcW w:w="378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0.996</w:t>
            </w:r>
          </w:p>
        </w:tc>
        <w:tc>
          <w:tcPr>
            <w:tcW w:w="59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0.959–1.035</w:t>
            </w:r>
          </w:p>
        </w:tc>
        <w:tc>
          <w:tcPr>
            <w:tcW w:w="394" w:type="pct"/>
            <w:gridSpan w:val="2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0.823</w:t>
            </w:r>
          </w:p>
        </w:tc>
        <w:tc>
          <w:tcPr>
            <w:tcW w:w="37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.020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6</w:t>
            </w:r>
            <w:r w:rsidRPr="0014779E">
              <w:rPr>
                <w:color w:val="000000" w:themeColor="text1"/>
              </w:rPr>
              <w:t>9–1.0</w:t>
            </w:r>
            <w:r>
              <w:rPr>
                <w:color w:val="000000" w:themeColor="text1"/>
              </w:rPr>
              <w:t>74</w:t>
            </w:r>
          </w:p>
        </w:tc>
        <w:tc>
          <w:tcPr>
            <w:tcW w:w="45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</w:t>
            </w:r>
            <w:r>
              <w:rPr>
                <w:rFonts w:eastAsia="MS PGothic"/>
                <w:color w:val="000000" w:themeColor="text1"/>
              </w:rPr>
              <w:t>448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  <w:rPr>
                <w:b/>
                <w:color w:val="000000" w:themeColor="text1"/>
              </w:rPr>
            </w:pPr>
            <w:r w:rsidRPr="0014779E">
              <w:rPr>
                <w:bCs/>
              </w:rPr>
              <w:t>Left lung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0.961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0.941–0.981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8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0.969</w:t>
            </w:r>
          </w:p>
        </w:tc>
        <w:tc>
          <w:tcPr>
            <w:tcW w:w="59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0.935–1.004</w:t>
            </w:r>
          </w:p>
        </w:tc>
        <w:tc>
          <w:tcPr>
            <w:tcW w:w="394" w:type="pct"/>
            <w:gridSpan w:val="2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0.079</w:t>
            </w:r>
          </w:p>
        </w:tc>
        <w:tc>
          <w:tcPr>
            <w:tcW w:w="373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42</w:t>
            </w:r>
          </w:p>
        </w:tc>
        <w:tc>
          <w:tcPr>
            <w:tcW w:w="53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09</w:t>
            </w:r>
            <w:r w:rsidRPr="0014779E">
              <w:rPr>
                <w:color w:val="000000" w:themeColor="text1"/>
              </w:rPr>
              <w:t>–</w:t>
            </w:r>
            <w:r>
              <w:rPr>
                <w:color w:val="000000" w:themeColor="text1"/>
              </w:rPr>
              <w:t>0.976</w:t>
            </w:r>
          </w:p>
        </w:tc>
        <w:tc>
          <w:tcPr>
            <w:tcW w:w="454" w:type="pct"/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&lt;</w:t>
            </w:r>
            <w:r>
              <w:rPr>
                <w:rFonts w:eastAsia="MS PGothic"/>
                <w:color w:val="000000" w:themeColor="text1"/>
              </w:rPr>
              <w:t>0.001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color w:val="000000" w:themeColor="text1"/>
              </w:rPr>
            </w:pPr>
            <w:r w:rsidRPr="0014779E">
              <w:rPr>
                <w:bCs/>
              </w:rPr>
              <w:t>Left upper lobe</w:t>
            </w:r>
          </w:p>
        </w:tc>
        <w:tc>
          <w:tcPr>
            <w:tcW w:w="284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0.945</w:t>
            </w:r>
          </w:p>
        </w:tc>
        <w:tc>
          <w:tcPr>
            <w:tcW w:w="520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0.917–0.973</w:t>
            </w:r>
          </w:p>
        </w:tc>
        <w:tc>
          <w:tcPr>
            <w:tcW w:w="426" w:type="pct"/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8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0.954</w:t>
            </w:r>
          </w:p>
        </w:tc>
        <w:tc>
          <w:tcPr>
            <w:tcW w:w="596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0.904–1.007</w:t>
            </w:r>
          </w:p>
        </w:tc>
        <w:tc>
          <w:tcPr>
            <w:tcW w:w="394" w:type="pct"/>
            <w:gridSpan w:val="2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0.089</w:t>
            </w:r>
          </w:p>
        </w:tc>
        <w:tc>
          <w:tcPr>
            <w:tcW w:w="373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17</w:t>
            </w:r>
          </w:p>
        </w:tc>
        <w:tc>
          <w:tcPr>
            <w:tcW w:w="536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873</w:t>
            </w:r>
            <w:r w:rsidRPr="0014779E">
              <w:rPr>
                <w:color w:val="000000" w:themeColor="text1"/>
              </w:rPr>
              <w:t>–</w:t>
            </w:r>
            <w:r>
              <w:rPr>
                <w:color w:val="000000" w:themeColor="text1"/>
              </w:rPr>
              <w:t>0.962</w:t>
            </w:r>
          </w:p>
        </w:tc>
        <w:tc>
          <w:tcPr>
            <w:tcW w:w="454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&lt;</w:t>
            </w:r>
            <w:r>
              <w:rPr>
                <w:rFonts w:eastAsia="MS PGothic"/>
                <w:color w:val="000000" w:themeColor="text1"/>
              </w:rPr>
              <w:t>0.001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100" w:firstLine="240"/>
              <w:rPr>
                <w:b/>
                <w:color w:val="000000" w:themeColor="text1"/>
              </w:rPr>
            </w:pPr>
            <w:r w:rsidRPr="0014779E">
              <w:rPr>
                <w:bCs/>
              </w:rPr>
              <w:t>Left lower lobe</w:t>
            </w:r>
          </w:p>
        </w:tc>
        <w:tc>
          <w:tcPr>
            <w:tcW w:w="284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0.948</w:t>
            </w:r>
          </w:p>
        </w:tc>
        <w:tc>
          <w:tcPr>
            <w:tcW w:w="520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0.909–0.988</w:t>
            </w:r>
          </w:p>
        </w:tc>
        <w:tc>
          <w:tcPr>
            <w:tcW w:w="426" w:type="pct"/>
            <w:tcBorders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0.012</w:t>
            </w:r>
          </w:p>
        </w:tc>
        <w:tc>
          <w:tcPr>
            <w:tcW w:w="378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0.954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0.880–1.033</w:t>
            </w:r>
          </w:p>
        </w:tc>
        <w:tc>
          <w:tcPr>
            <w:tcW w:w="394" w:type="pct"/>
            <w:gridSpan w:val="2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0.246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31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0.8</w:t>
            </w:r>
            <w:r>
              <w:rPr>
                <w:color w:val="000000" w:themeColor="text1"/>
              </w:rPr>
              <w:t>54</w:t>
            </w:r>
            <w:r w:rsidRPr="0014779E">
              <w:rPr>
                <w:color w:val="000000" w:themeColor="text1"/>
              </w:rPr>
              <w:t>–1.0</w:t>
            </w:r>
            <w:r>
              <w:rPr>
                <w:color w:val="000000" w:themeColor="text1"/>
              </w:rPr>
              <w:t>16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</w:t>
            </w:r>
            <w:r>
              <w:rPr>
                <w:rFonts w:eastAsia="MS PGothic"/>
                <w:color w:val="000000" w:themeColor="text1"/>
              </w:rPr>
              <w:t>107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nil"/>
              <w:bottom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Cs/>
              </w:rPr>
            </w:pPr>
            <w:r w:rsidRPr="0014779E">
              <w:rPr>
                <w:bCs/>
              </w:rPr>
              <w:t>Upper lobe</w:t>
            </w:r>
          </w:p>
        </w:tc>
        <w:tc>
          <w:tcPr>
            <w:tcW w:w="28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0.965</w:t>
            </w:r>
          </w:p>
        </w:tc>
        <w:tc>
          <w:tcPr>
            <w:tcW w:w="520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0.962–0.985</w:t>
            </w:r>
          </w:p>
        </w:tc>
        <w:tc>
          <w:tcPr>
            <w:tcW w:w="42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&lt;0.001</w:t>
            </w:r>
          </w:p>
        </w:tc>
        <w:tc>
          <w:tcPr>
            <w:tcW w:w="378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bCs/>
              </w:rPr>
            </w:pPr>
            <w:r w:rsidRPr="0014779E">
              <w:rPr>
                <w:rFonts w:eastAsia="MS PGothic"/>
                <w:color w:val="000000" w:themeColor="text1"/>
              </w:rPr>
              <w:t>0.958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bCs/>
              </w:rPr>
            </w:pPr>
            <w:r w:rsidRPr="0014779E">
              <w:rPr>
                <w:color w:val="000000" w:themeColor="text1"/>
              </w:rPr>
              <w:t>0.927–0.989</w:t>
            </w:r>
          </w:p>
        </w:tc>
        <w:tc>
          <w:tcPr>
            <w:tcW w:w="394" w:type="pct"/>
            <w:gridSpan w:val="2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bCs/>
              </w:rPr>
            </w:pPr>
            <w:r w:rsidRPr="0014779E">
              <w:rPr>
                <w:rFonts w:eastAsia="MS PGothic"/>
                <w:color w:val="000000" w:themeColor="text1"/>
              </w:rPr>
              <w:t>0.008</w:t>
            </w:r>
          </w:p>
        </w:tc>
        <w:tc>
          <w:tcPr>
            <w:tcW w:w="373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46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16</w:t>
            </w:r>
            <w:r w:rsidRPr="0014779E">
              <w:rPr>
                <w:color w:val="000000" w:themeColor="text1"/>
              </w:rPr>
              <w:t>–0.9</w:t>
            </w:r>
            <w:r>
              <w:rPr>
                <w:color w:val="000000" w:themeColor="text1"/>
              </w:rPr>
              <w:t>76</w:t>
            </w:r>
          </w:p>
        </w:tc>
        <w:tc>
          <w:tcPr>
            <w:tcW w:w="454" w:type="pct"/>
            <w:tcBorders>
              <w:top w:val="nil"/>
              <w:bottom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&lt;</w:t>
            </w:r>
            <w:r>
              <w:rPr>
                <w:rFonts w:eastAsia="MS PGothic"/>
                <w:color w:val="000000" w:themeColor="text1"/>
              </w:rPr>
              <w:t>0.001</w:t>
            </w:r>
          </w:p>
        </w:tc>
      </w:tr>
      <w:tr w:rsidR="00DE581F" w:rsidRPr="0014779E" w:rsidTr="00037CE2">
        <w:trPr>
          <w:trHeight w:val="340"/>
          <w:jc w:val="center"/>
        </w:trPr>
        <w:tc>
          <w:tcPr>
            <w:tcW w:w="1039" w:type="pct"/>
            <w:tcBorders>
              <w:top w:val="nil"/>
              <w:bottom w:val="single" w:sz="24" w:space="0" w:color="auto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color w:val="000000" w:themeColor="text1"/>
              </w:rPr>
            </w:pPr>
            <w:r w:rsidRPr="0014779E">
              <w:rPr>
                <w:bCs/>
              </w:rPr>
              <w:t>Lower lobe</w:t>
            </w:r>
          </w:p>
        </w:tc>
        <w:tc>
          <w:tcPr>
            <w:tcW w:w="284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0.970</w:t>
            </w:r>
          </w:p>
        </w:tc>
        <w:tc>
          <w:tcPr>
            <w:tcW w:w="520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0.950–0.991</w:t>
            </w:r>
          </w:p>
        </w:tc>
        <w:tc>
          <w:tcPr>
            <w:tcW w:w="426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0.005</w:t>
            </w:r>
          </w:p>
        </w:tc>
        <w:tc>
          <w:tcPr>
            <w:tcW w:w="378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0.989</w:t>
            </w:r>
          </w:p>
        </w:tc>
        <w:tc>
          <w:tcPr>
            <w:tcW w:w="596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0.955–1.024</w:t>
            </w:r>
          </w:p>
        </w:tc>
        <w:tc>
          <w:tcPr>
            <w:tcW w:w="394" w:type="pct"/>
            <w:gridSpan w:val="2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0.522</w:t>
            </w:r>
          </w:p>
        </w:tc>
        <w:tc>
          <w:tcPr>
            <w:tcW w:w="373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</w:t>
            </w:r>
            <w:r>
              <w:rPr>
                <w:rFonts w:eastAsia="MS PGothic"/>
                <w:color w:val="000000" w:themeColor="text1"/>
              </w:rPr>
              <w:t>92</w:t>
            </w:r>
          </w:p>
        </w:tc>
        <w:tc>
          <w:tcPr>
            <w:tcW w:w="536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48</w:t>
            </w:r>
            <w:r w:rsidRPr="0014779E">
              <w:rPr>
                <w:color w:val="000000" w:themeColor="text1"/>
              </w:rPr>
              <w:t>–1.0</w:t>
            </w:r>
            <w:r>
              <w:rPr>
                <w:color w:val="000000" w:themeColor="text1"/>
              </w:rPr>
              <w:t>37</w:t>
            </w:r>
          </w:p>
        </w:tc>
        <w:tc>
          <w:tcPr>
            <w:tcW w:w="454" w:type="pct"/>
            <w:tcBorders>
              <w:top w:val="nil"/>
              <w:bottom w:val="single" w:sz="24" w:space="0" w:color="auto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0.5</w:t>
            </w:r>
            <w:r>
              <w:rPr>
                <w:rFonts w:eastAsia="MS PGothic"/>
                <w:color w:val="000000" w:themeColor="text1"/>
              </w:rPr>
              <w:t>14</w:t>
            </w:r>
          </w:p>
        </w:tc>
      </w:tr>
    </w:tbl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  <w:r w:rsidRPr="00336AD1">
        <w:t>3D-CT; 3-dimansional computed-tomography, LV: lung volume, IPF; idiopathic pulmonary fibrosis, AE: Acute enervation</w:t>
      </w: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  <w:r w:rsidRPr="00382426">
        <w:rPr>
          <w:b/>
          <w:i/>
          <w:szCs w:val="28"/>
        </w:rPr>
        <w:lastRenderedPageBreak/>
        <w:t>Supplementary Table 3. Clinical characteristics of patients with AE-IPF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7"/>
        <w:gridCol w:w="4894"/>
        <w:gridCol w:w="4833"/>
      </w:tblGrid>
      <w:tr w:rsidR="00DE581F" w:rsidRPr="0014779E" w:rsidTr="00037CE2">
        <w:trPr>
          <w:trHeight w:val="377"/>
          <w:jc w:val="center"/>
        </w:trPr>
        <w:tc>
          <w:tcPr>
            <w:tcW w:w="4277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rPr>
                <w:b/>
                <w:bCs/>
              </w:rPr>
            </w:pPr>
          </w:p>
        </w:tc>
        <w:tc>
          <w:tcPr>
            <w:tcW w:w="4894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Default="00DE581F" w:rsidP="00037CE2">
            <w:pPr>
              <w:jc w:val="center"/>
              <w:rPr>
                <w:b/>
                <w:bCs/>
              </w:rPr>
            </w:pPr>
            <w:r w:rsidRPr="0014779E">
              <w:rPr>
                <w:b/>
                <w:bCs/>
              </w:rPr>
              <w:t>AE-IPF</w:t>
            </w:r>
          </w:p>
          <w:p w:rsidR="00DE581F" w:rsidRPr="0014779E" w:rsidRDefault="00DE581F" w:rsidP="00037CE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</w:t>
            </w:r>
            <w:r>
              <w:rPr>
                <w:b/>
                <w:bCs/>
              </w:rPr>
              <w:t>amamatsu cohort</w:t>
            </w:r>
            <w:r w:rsidRPr="0014779E">
              <w:rPr>
                <w:b/>
                <w:bCs/>
              </w:rPr>
              <w:t xml:space="preserve"> (n = 61)</w:t>
            </w:r>
          </w:p>
        </w:tc>
        <w:tc>
          <w:tcPr>
            <w:tcW w:w="4833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:rsidR="00DE581F" w:rsidRDefault="00DE581F" w:rsidP="00037CE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AE-IPF</w:t>
            </w:r>
          </w:p>
          <w:p w:rsidR="00DE581F" w:rsidRPr="0014779E" w:rsidRDefault="00DE581F" w:rsidP="00037CE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>eirei cohort (n = 50)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Age, year</w:t>
            </w:r>
          </w:p>
        </w:tc>
        <w:tc>
          <w:tcPr>
            <w:tcW w:w="4894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74 [69–78]</w:t>
            </w:r>
          </w:p>
        </w:tc>
        <w:tc>
          <w:tcPr>
            <w:tcW w:w="4833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77 [71-84]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Sex, male/female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49 (80.3%) / 12 (19.7%)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53 (88.3%) / 7 (</w:t>
            </w:r>
            <w:r>
              <w:rPr>
                <w:rFonts w:hint="eastAsia"/>
              </w:rPr>
              <w:t>11.7</w:t>
            </w:r>
            <w:r>
              <w:t>%)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cIPF / UIP/IPF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48 (78.7%) / 13 (21.3%)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48 (96.0%) / 2 (4.0%)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Time to diagnosis to AE, years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 w:rsidRPr="0014779E">
              <w:rPr>
                <w:rFonts w:eastAsia="MS PGothic"/>
              </w:rPr>
              <w:t>1.9 [0.9</w:t>
            </w:r>
            <w:r w:rsidRPr="0014779E">
              <w:t>–3.4</w:t>
            </w:r>
            <w:r w:rsidRPr="0014779E">
              <w:rPr>
                <w:rFonts w:eastAsia="MS PGothic"/>
              </w:rPr>
              <w:t>]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>
              <w:rPr>
                <w:rFonts w:eastAsia="MS PGothic"/>
              </w:rPr>
              <w:t>0.42 [0.08</w:t>
            </w:r>
            <w:r w:rsidRPr="0014779E">
              <w:t>–</w:t>
            </w:r>
            <w:r>
              <w:t>1.35</w:t>
            </w:r>
            <w:r>
              <w:rPr>
                <w:rFonts w:eastAsia="MS PGothic"/>
              </w:rPr>
              <w:t>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Never smoker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 w:rsidRPr="0014779E">
              <w:rPr>
                <w:rFonts w:eastAsia="MS PGothic"/>
              </w:rPr>
              <w:t>11 (18.0%)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>
              <w:rPr>
                <w:rFonts w:eastAsia="MS PGothic"/>
              </w:rPr>
              <w:t>9 (18.0%)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Former or current smoker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 w:rsidRPr="0014779E">
              <w:rPr>
                <w:rFonts w:eastAsia="MS PGothic"/>
              </w:rPr>
              <w:t>50 (82.0%)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  <w:rPr>
                <w:rFonts w:eastAsia="MS PGothic"/>
              </w:rPr>
            </w:pPr>
            <w:r>
              <w:rPr>
                <w:rFonts w:eastAsia="MS PGothic"/>
              </w:rPr>
              <w:t>41(82.0%)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Height, cm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161.0 [155.0–164.0]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161.5 [155.6</w:t>
            </w:r>
            <w:r w:rsidRPr="0014779E">
              <w:t>–16</w:t>
            </w:r>
            <w:r>
              <w:t>5</w:t>
            </w:r>
            <w:r w:rsidRPr="0014779E">
              <w:t>.0</w:t>
            </w:r>
            <w:r>
              <w:t>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Weight, kg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56.3 [50.4–61.6]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56.5 [48.4</w:t>
            </w:r>
            <w:r w:rsidRPr="0014779E">
              <w:t>–</w:t>
            </w:r>
            <w:r>
              <w:t>61.4]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r w:rsidRPr="0014779E">
              <w:t>BMI, kg/m</w:t>
            </w:r>
            <w:r w:rsidRPr="0014779E">
              <w:rPr>
                <w:vertAlign w:val="superscript"/>
              </w:rPr>
              <w:t>2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21.9 [20.5–23.6]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22.1 [19.3</w:t>
            </w:r>
            <w:r w:rsidRPr="0014779E">
              <w:t>–</w:t>
            </w:r>
            <w:r>
              <w:t>24.2]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83017" w:rsidRDefault="00DE581F" w:rsidP="00037CE2">
            <w:pPr>
              <w:rPr>
                <w:bCs/>
                <w:color w:val="000000" w:themeColor="text1"/>
              </w:rPr>
            </w:pPr>
            <w:r w:rsidRPr="00083017">
              <w:rPr>
                <w:bCs/>
              </w:rPr>
              <w:t>Laboratory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  <w:rPr>
                <w:color w:val="000000" w:themeColor="text1"/>
              </w:rPr>
            </w:pPr>
            <w:r w:rsidRPr="0014779E">
              <w:t>P/F ratio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209.5 [137.5–281.0]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232.2 [158.4-280.0]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KL-6, U/ml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1531 [1038–2232] (n = 59)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1602 [1007</w:t>
            </w:r>
            <w:r w:rsidRPr="0014779E">
              <w:t>–</w:t>
            </w:r>
            <w:r>
              <w:t>2165]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SP-D, ng/ml</w:t>
            </w:r>
          </w:p>
        </w:tc>
        <w:tc>
          <w:tcPr>
            <w:tcW w:w="4894" w:type="dxa"/>
            <w:tcBorders>
              <w:top w:val="nil"/>
              <w:left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333 [227–524] (n = 57)</w:t>
            </w:r>
          </w:p>
        </w:tc>
        <w:tc>
          <w:tcPr>
            <w:tcW w:w="4833" w:type="dxa"/>
            <w:tcBorders>
              <w:top w:val="nil"/>
              <w:left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297 [182</w:t>
            </w:r>
            <w:r w:rsidRPr="0014779E">
              <w:t>–</w:t>
            </w:r>
            <w:r>
              <w:t>537]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  <w:rPr>
                <w:color w:val="000000" w:themeColor="text1"/>
              </w:rPr>
            </w:pPr>
            <w:r w:rsidRPr="0014779E">
              <w:rPr>
                <w:color w:val="000000" w:themeColor="text1"/>
              </w:rPr>
              <w:t>CRP, mg/dL</w:t>
            </w:r>
          </w:p>
        </w:tc>
        <w:tc>
          <w:tcPr>
            <w:tcW w:w="48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5.54 [2.54–9.92] (n = 59)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7.85 [4.25</w:t>
            </w:r>
            <w:r w:rsidRPr="0014779E">
              <w:t>–1</w:t>
            </w:r>
            <w:r>
              <w:t>2.28]</w:t>
            </w: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83017" w:rsidRDefault="00DE581F" w:rsidP="00037CE2">
            <w:pPr>
              <w:rPr>
                <w:bCs/>
                <w:color w:val="000000" w:themeColor="text1"/>
              </w:rPr>
            </w:pPr>
            <w:r w:rsidRPr="00083017">
              <w:rPr>
                <w:bCs/>
              </w:rPr>
              <w:t>Treatment</w:t>
            </w:r>
          </w:p>
        </w:tc>
        <w:tc>
          <w:tcPr>
            <w:tcW w:w="4894" w:type="dxa"/>
            <w:tcBorders>
              <w:top w:val="nil"/>
              <w:left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</w:p>
        </w:tc>
        <w:tc>
          <w:tcPr>
            <w:tcW w:w="4833" w:type="dxa"/>
            <w:tcBorders>
              <w:top w:val="nil"/>
              <w:left w:val="nil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</w:p>
        </w:tc>
      </w:tr>
      <w:tr w:rsidR="00DE581F" w:rsidRPr="0014779E" w:rsidTr="00037CE2">
        <w:trPr>
          <w:trHeight w:val="397"/>
          <w:jc w:val="center"/>
        </w:trPr>
        <w:tc>
          <w:tcPr>
            <w:tcW w:w="4277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14779E" w:rsidRDefault="00DE581F" w:rsidP="00037CE2">
            <w:pPr>
              <w:ind w:firstLineChars="50" w:firstLine="120"/>
              <w:rPr>
                <w:color w:val="000000" w:themeColor="text1"/>
              </w:rPr>
            </w:pPr>
            <w:r>
              <w:rPr>
                <w:rFonts w:hint="eastAsia"/>
              </w:rPr>
              <w:t>P</w:t>
            </w:r>
            <w:r w:rsidRPr="0014779E">
              <w:t xml:space="preserve">irfenidone / </w:t>
            </w:r>
            <w:r>
              <w:rPr>
                <w:rFonts w:hint="eastAsia"/>
              </w:rPr>
              <w:t>Ni</w:t>
            </w:r>
            <w:r>
              <w:t>n</w:t>
            </w:r>
            <w:r w:rsidRPr="0014779E">
              <w:t>tedanib</w:t>
            </w:r>
          </w:p>
        </w:tc>
        <w:tc>
          <w:tcPr>
            <w:tcW w:w="4894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 w:rsidRPr="0014779E">
              <w:t>2</w:t>
            </w:r>
            <w:r>
              <w:t>8</w:t>
            </w:r>
            <w:r w:rsidRPr="0014779E">
              <w:t xml:space="preserve"> (4</w:t>
            </w:r>
            <w:r>
              <w:t>5.9</w:t>
            </w:r>
            <w:r w:rsidRPr="0014779E">
              <w:t xml:space="preserve">%) / </w:t>
            </w:r>
            <w:r>
              <w:t>2</w:t>
            </w:r>
            <w:r w:rsidRPr="0014779E">
              <w:t xml:space="preserve"> (</w:t>
            </w:r>
            <w:r>
              <w:t>3.3</w:t>
            </w:r>
            <w:r w:rsidRPr="0014779E">
              <w:t>%)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14779E" w:rsidRDefault="00DE581F" w:rsidP="00037CE2">
            <w:pPr>
              <w:jc w:val="center"/>
            </w:pPr>
            <w:r>
              <w:t>13(26%) / 8 (16%)</w:t>
            </w:r>
          </w:p>
        </w:tc>
      </w:tr>
    </w:tbl>
    <w:p w:rsidR="00DE581F" w:rsidRPr="0014779E" w:rsidRDefault="00DE581F" w:rsidP="00DE581F">
      <w:pPr>
        <w:autoSpaceDE w:val="0"/>
        <w:autoSpaceDN w:val="0"/>
        <w:adjustRightInd w:val="0"/>
        <w:spacing w:line="480" w:lineRule="auto"/>
        <w:sectPr w:rsidR="00DE581F" w:rsidRPr="0014779E" w:rsidSect="008523D7">
          <w:headerReference w:type="default" r:id="rId4"/>
          <w:footerReference w:type="even" r:id="rId5"/>
          <w:footerReference w:type="default" r:id="rId6"/>
          <w:headerReference w:type="first" r:id="rId7"/>
          <w:footerReference w:type="first" r:id="rId8"/>
          <w:pgSz w:w="16840" w:h="11907" w:orient="landscape" w:code="9"/>
          <w:pgMar w:top="1418" w:right="1418" w:bottom="1418" w:left="1418" w:header="851" w:footer="992" w:gutter="0"/>
          <w:lnNumType w:countBy="1" w:restart="continuous"/>
          <w:cols w:space="425"/>
          <w:titlePg/>
          <w:docGrid w:linePitch="411" w:charSpace="17833"/>
        </w:sectPr>
      </w:pPr>
      <w:r w:rsidRPr="0014779E">
        <w:lastRenderedPageBreak/>
        <w:t>IPF; idiopathic pulmonary fibrosis, AE; acute exacerbation, UIP; usual interstitial pneumonia, BMI; body mass index, FVC; forced vital capacity, FEV</w:t>
      </w:r>
      <w:r w:rsidRPr="0014779E">
        <w:rPr>
          <w:vertAlign w:val="subscript"/>
        </w:rPr>
        <w:t>1.0</w:t>
      </w:r>
      <w:r w:rsidRPr="0014779E">
        <w:t>; forced expiratory volume in 1.0 second, DLCO; diffuse capacity of the lung for carbon monoxide, GAP; Gender-Age-Physiology, KL-6; Krebs von den Lunge-6, SP-D; surfactant protein-D. CRP: C-reactive protein</w:t>
      </w: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  <w:r w:rsidRPr="00382426">
        <w:rPr>
          <w:b/>
          <w:i/>
          <w:szCs w:val="28"/>
        </w:rPr>
        <w:lastRenderedPageBreak/>
        <w:t>Supplementary Table 4. Prediction of mortality in patients with</w:t>
      </w:r>
      <w:r w:rsidRPr="00382426">
        <w:rPr>
          <w:b/>
          <w:i/>
          <w:color w:val="000000" w:themeColor="text1"/>
          <w:szCs w:val="28"/>
        </w:rPr>
        <w:t xml:space="preserve"> AE-IPF </w:t>
      </w:r>
      <w:r w:rsidRPr="00382426">
        <w:rPr>
          <w:b/>
          <w:i/>
          <w:szCs w:val="28"/>
        </w:rPr>
        <w:t>by multivariate Cox-proportion analyses</w:t>
      </w:r>
    </w:p>
    <w:tbl>
      <w:tblPr>
        <w:tblW w:w="5355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2"/>
        <w:gridCol w:w="606"/>
        <w:gridCol w:w="974"/>
        <w:gridCol w:w="936"/>
        <w:gridCol w:w="561"/>
        <w:gridCol w:w="1015"/>
        <w:gridCol w:w="752"/>
        <w:gridCol w:w="599"/>
        <w:gridCol w:w="1015"/>
        <w:gridCol w:w="1225"/>
      </w:tblGrid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</w:p>
        </w:tc>
        <w:tc>
          <w:tcPr>
            <w:tcW w:w="1255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AE-IPF</w:t>
            </w:r>
          </w:p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Hamamatsu cohort</w:t>
            </w:r>
            <w:r w:rsidRPr="000D7D5C">
              <w:rPr>
                <w:rFonts w:hint="eastAsia"/>
                <w:b/>
                <w:bCs/>
              </w:rPr>
              <w:t xml:space="preserve"> </w:t>
            </w:r>
            <w:r w:rsidRPr="000D7D5C">
              <w:rPr>
                <w:b/>
                <w:bCs/>
              </w:rPr>
              <w:t>(n=61)</w:t>
            </w:r>
          </w:p>
        </w:tc>
        <w:tc>
          <w:tcPr>
            <w:tcW w:w="1161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AE-IPF</w:t>
            </w:r>
          </w:p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Seirei cohort</w:t>
            </w:r>
            <w:r w:rsidRPr="000D7D5C">
              <w:rPr>
                <w:rFonts w:hint="eastAsia"/>
                <w:b/>
                <w:bCs/>
              </w:rPr>
              <w:t xml:space="preserve"> </w:t>
            </w:r>
            <w:r w:rsidRPr="000D7D5C">
              <w:rPr>
                <w:b/>
                <w:bCs/>
              </w:rPr>
              <w:t>(n=50)</w:t>
            </w:r>
          </w:p>
        </w:tc>
        <w:tc>
          <w:tcPr>
            <w:tcW w:w="1417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AE-IPF</w:t>
            </w:r>
          </w:p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C</w:t>
            </w:r>
            <w:r w:rsidRPr="000D7D5C">
              <w:rPr>
                <w:b/>
                <w:bCs/>
              </w:rPr>
              <w:t>ombined cohort</w:t>
            </w:r>
            <w:r w:rsidRPr="000D7D5C">
              <w:rPr>
                <w:rFonts w:hint="eastAsia"/>
                <w:b/>
                <w:bCs/>
              </w:rPr>
              <w:t xml:space="preserve"> (</w:t>
            </w:r>
            <w:r w:rsidRPr="000D7D5C">
              <w:rPr>
                <w:b/>
                <w:bCs/>
              </w:rPr>
              <w:t>n=111)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  <w:r w:rsidRPr="000D7D5C">
              <w:rPr>
                <w:rFonts w:hint="eastAsia"/>
                <w:b/>
              </w:rPr>
              <w:t>P</w:t>
            </w:r>
            <w:r w:rsidRPr="000D7D5C">
              <w:rPr>
                <w:b/>
              </w:rPr>
              <w:t>redictor</w:t>
            </w:r>
          </w:p>
        </w:tc>
        <w:tc>
          <w:tcPr>
            <w:tcW w:w="302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486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467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  <w:tc>
          <w:tcPr>
            <w:tcW w:w="280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506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374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  <w:tc>
          <w:tcPr>
            <w:tcW w:w="299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506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612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jc w:val="both"/>
              <w:rPr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M</w:t>
            </w:r>
            <w:r w:rsidRPr="000D7D5C">
              <w:rPr>
                <w:b/>
                <w:bCs/>
              </w:rPr>
              <w:t>ultivariate analyses</w:t>
            </w:r>
          </w:p>
        </w:tc>
        <w:tc>
          <w:tcPr>
            <w:tcW w:w="302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</w:p>
        </w:tc>
        <w:tc>
          <w:tcPr>
            <w:tcW w:w="486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</w:p>
        </w:tc>
        <w:tc>
          <w:tcPr>
            <w:tcW w:w="467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</w:p>
        </w:tc>
        <w:tc>
          <w:tcPr>
            <w:tcW w:w="280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</w:p>
        </w:tc>
        <w:tc>
          <w:tcPr>
            <w:tcW w:w="506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</w:p>
        </w:tc>
        <w:tc>
          <w:tcPr>
            <w:tcW w:w="374" w:type="pct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</w:p>
        </w:tc>
        <w:tc>
          <w:tcPr>
            <w:tcW w:w="299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</w:p>
        </w:tc>
        <w:tc>
          <w:tcPr>
            <w:tcW w:w="506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</w:p>
        </w:tc>
        <w:tc>
          <w:tcPr>
            <w:tcW w:w="612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100" w:firstLine="240"/>
              <w:jc w:val="both"/>
            </w:pPr>
            <w:r w:rsidRPr="000D7D5C">
              <w:t>Age, year</w:t>
            </w: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1.013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0.961–1.068</w:t>
            </w:r>
          </w:p>
        </w:tc>
        <w:tc>
          <w:tcPr>
            <w:tcW w:w="467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0.620</w:t>
            </w:r>
          </w:p>
        </w:tc>
        <w:tc>
          <w:tcPr>
            <w:tcW w:w="280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1.008</w:t>
            </w:r>
          </w:p>
        </w:tc>
        <w:tc>
          <w:tcPr>
            <w:tcW w:w="506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0.956 – 1.062</w:t>
            </w:r>
          </w:p>
        </w:tc>
        <w:tc>
          <w:tcPr>
            <w:tcW w:w="374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.779</w:t>
            </w:r>
          </w:p>
        </w:tc>
        <w:tc>
          <w:tcPr>
            <w:tcW w:w="299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.003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 xml:space="preserve">0.969 – </w:t>
            </w:r>
            <w:r w:rsidRPr="000D7D5C">
              <w:rPr>
                <w:rFonts w:eastAsia="MS PGothic"/>
              </w:rPr>
              <w:t>1.038</w:t>
            </w:r>
          </w:p>
        </w:tc>
        <w:tc>
          <w:tcPr>
            <w:tcW w:w="61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.869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100" w:firstLine="240"/>
              <w:jc w:val="both"/>
            </w:pPr>
            <w:r w:rsidRPr="000D7D5C">
              <w:t>Gender, male</w:t>
            </w: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1.103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0.451–2.949</w:t>
            </w:r>
          </w:p>
        </w:tc>
        <w:tc>
          <w:tcPr>
            <w:tcW w:w="467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0.837</w:t>
            </w:r>
          </w:p>
        </w:tc>
        <w:tc>
          <w:tcPr>
            <w:tcW w:w="280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.876</w:t>
            </w:r>
          </w:p>
        </w:tc>
        <w:tc>
          <w:tcPr>
            <w:tcW w:w="506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0.339 – 2.724</w:t>
            </w:r>
          </w:p>
        </w:tc>
        <w:tc>
          <w:tcPr>
            <w:tcW w:w="374" w:type="pct"/>
            <w:tcBorders>
              <w:left w:val="nil"/>
              <w:bottom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.800</w:t>
            </w:r>
          </w:p>
        </w:tc>
        <w:tc>
          <w:tcPr>
            <w:tcW w:w="299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.901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0.490 – 1.749</w:t>
            </w:r>
          </w:p>
        </w:tc>
        <w:tc>
          <w:tcPr>
            <w:tcW w:w="61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.747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100" w:firstLine="240"/>
              <w:jc w:val="both"/>
            </w:pPr>
            <w:r w:rsidRPr="000D7D5C">
              <w:t>P/F ratio</w:t>
            </w:r>
          </w:p>
        </w:tc>
        <w:tc>
          <w:tcPr>
            <w:tcW w:w="30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1.000</w:t>
            </w:r>
          </w:p>
        </w:tc>
        <w:tc>
          <w:tcPr>
            <w:tcW w:w="48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0.996–1.005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0.829</w:t>
            </w:r>
          </w:p>
        </w:tc>
        <w:tc>
          <w:tcPr>
            <w:tcW w:w="280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.001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0.997 – 1.006</w:t>
            </w:r>
          </w:p>
        </w:tc>
        <w:tc>
          <w:tcPr>
            <w:tcW w:w="374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.501</w:t>
            </w:r>
          </w:p>
        </w:tc>
        <w:tc>
          <w:tcPr>
            <w:tcW w:w="299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.999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.997</w:t>
            </w:r>
            <w:r w:rsidRPr="000D7D5C">
              <w:t xml:space="preserve"> – 1.003</w:t>
            </w:r>
          </w:p>
        </w:tc>
        <w:tc>
          <w:tcPr>
            <w:tcW w:w="61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.978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100" w:firstLine="240"/>
              <w:jc w:val="both"/>
            </w:pPr>
            <w:r w:rsidRPr="000D7D5C">
              <w:t>CRP, mg/dl</w:t>
            </w:r>
          </w:p>
        </w:tc>
        <w:tc>
          <w:tcPr>
            <w:tcW w:w="30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1.107</w:t>
            </w:r>
          </w:p>
        </w:tc>
        <w:tc>
          <w:tcPr>
            <w:tcW w:w="48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1.036–1.184</w:t>
            </w:r>
          </w:p>
        </w:tc>
        <w:tc>
          <w:tcPr>
            <w:tcW w:w="467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rPr>
                <w:rFonts w:eastAsia="MS PGothic"/>
              </w:rPr>
              <w:t>0.004</w:t>
            </w:r>
          </w:p>
        </w:tc>
        <w:tc>
          <w:tcPr>
            <w:tcW w:w="280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.062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1.004 – 1.118</w:t>
            </w:r>
          </w:p>
        </w:tc>
        <w:tc>
          <w:tcPr>
            <w:tcW w:w="374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.028</w:t>
            </w:r>
          </w:p>
        </w:tc>
        <w:tc>
          <w:tcPr>
            <w:tcW w:w="299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.068</w:t>
            </w:r>
          </w:p>
        </w:tc>
        <w:tc>
          <w:tcPr>
            <w:tcW w:w="506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 xml:space="preserve">1.026 – </w:t>
            </w:r>
            <w:r w:rsidRPr="000D7D5C">
              <w:rPr>
                <w:rFonts w:eastAsia="MS PGothic"/>
              </w:rPr>
              <w:t>1.109</w:t>
            </w:r>
          </w:p>
        </w:tc>
        <w:tc>
          <w:tcPr>
            <w:tcW w:w="61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&lt;</w:t>
            </w: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.001</w:t>
            </w:r>
          </w:p>
        </w:tc>
      </w:tr>
      <w:tr w:rsidR="00DE581F" w:rsidRPr="000D7D5C" w:rsidTr="00037CE2">
        <w:trPr>
          <w:trHeight w:val="433"/>
          <w:jc w:val="center"/>
        </w:trPr>
        <w:tc>
          <w:tcPr>
            <w:tcW w:w="1168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100" w:firstLine="240"/>
              <w:jc w:val="both"/>
            </w:pPr>
            <w:r w:rsidRPr="000D7D5C">
              <w:t>standardised 3D-CT LV, %</w:t>
            </w:r>
          </w:p>
        </w:tc>
        <w:tc>
          <w:tcPr>
            <w:tcW w:w="302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0.964</w:t>
            </w:r>
          </w:p>
        </w:tc>
        <w:tc>
          <w:tcPr>
            <w:tcW w:w="486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t>0.953–0.984</w:t>
            </w:r>
          </w:p>
        </w:tc>
        <w:tc>
          <w:tcPr>
            <w:tcW w:w="467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&lt;0.001</w:t>
            </w:r>
          </w:p>
        </w:tc>
        <w:tc>
          <w:tcPr>
            <w:tcW w:w="280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.962</w:t>
            </w:r>
          </w:p>
        </w:tc>
        <w:tc>
          <w:tcPr>
            <w:tcW w:w="506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</w:pPr>
            <w:r w:rsidRPr="000D7D5C">
              <w:rPr>
                <w:rFonts w:hint="eastAsia"/>
              </w:rPr>
              <w:t>0</w:t>
            </w:r>
            <w:r w:rsidRPr="000D7D5C">
              <w:t>.938 – 0.982</w:t>
            </w:r>
          </w:p>
        </w:tc>
        <w:tc>
          <w:tcPr>
            <w:tcW w:w="374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&lt;</w:t>
            </w:r>
            <w:r w:rsidRPr="000D7D5C">
              <w:rPr>
                <w:rFonts w:eastAsia="MS PGothic"/>
              </w:rPr>
              <w:t>0.001</w:t>
            </w:r>
          </w:p>
        </w:tc>
        <w:tc>
          <w:tcPr>
            <w:tcW w:w="299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.968</w:t>
            </w:r>
          </w:p>
        </w:tc>
        <w:tc>
          <w:tcPr>
            <w:tcW w:w="506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.954</w:t>
            </w:r>
            <w:r w:rsidRPr="000D7D5C">
              <w:t xml:space="preserve"> – 0.981</w:t>
            </w:r>
          </w:p>
        </w:tc>
        <w:tc>
          <w:tcPr>
            <w:tcW w:w="612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&lt;</w:t>
            </w: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.001</w:t>
            </w:r>
          </w:p>
        </w:tc>
      </w:tr>
    </w:tbl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  <w:r w:rsidRPr="0014779E">
        <w:t>AE; acute exacerbation, IPF; idiopathic pulmonary fibrosis, BMI; body mass index, P/F ratio; PaO</w:t>
      </w:r>
      <w:r w:rsidRPr="0014779E">
        <w:rPr>
          <w:vertAlign w:val="subscript"/>
        </w:rPr>
        <w:t>2</w:t>
      </w:r>
      <w:r w:rsidRPr="0014779E">
        <w:t xml:space="preserve"> / FiO</w:t>
      </w:r>
      <w:r w:rsidRPr="0014779E">
        <w:rPr>
          <w:vertAlign w:val="subscript"/>
        </w:rPr>
        <w:t>2</w:t>
      </w:r>
      <w:r w:rsidRPr="0014779E">
        <w:t xml:space="preserve"> ratio, AFT; antifibrotic therapy, KL-6; Krebs von den Lunge-6, SP-D; surfactant protein-D, CRP; C-reactive protein, </w:t>
      </w:r>
      <w:r w:rsidRPr="0014779E">
        <w:rPr>
          <w:bCs/>
          <w:iCs/>
          <w:szCs w:val="28"/>
        </w:rPr>
        <w:t xml:space="preserve">3D-CT; </w:t>
      </w:r>
      <w:r w:rsidRPr="0014779E">
        <w:t>3-dimansional computed-tomography</w:t>
      </w:r>
      <w:r w:rsidRPr="0014779E">
        <w:rPr>
          <w:b/>
          <w:i/>
          <w:szCs w:val="28"/>
        </w:rPr>
        <w:t xml:space="preserve"> </w:t>
      </w: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Pr="00A46366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Default="00DE581F" w:rsidP="00DE581F">
      <w:pPr>
        <w:autoSpaceDE w:val="0"/>
        <w:autoSpaceDN w:val="0"/>
        <w:adjustRightInd w:val="0"/>
        <w:spacing w:line="480" w:lineRule="auto"/>
        <w:rPr>
          <w:b/>
          <w:i/>
          <w:szCs w:val="28"/>
        </w:rPr>
      </w:pPr>
    </w:p>
    <w:p w:rsidR="00DE581F" w:rsidRPr="007B043C" w:rsidRDefault="00DE581F" w:rsidP="00DE581F">
      <w:pPr>
        <w:autoSpaceDE w:val="0"/>
        <w:autoSpaceDN w:val="0"/>
        <w:adjustRightInd w:val="0"/>
        <w:spacing w:line="480" w:lineRule="auto"/>
      </w:pPr>
      <w:r w:rsidRPr="00382426">
        <w:rPr>
          <w:b/>
          <w:i/>
          <w:szCs w:val="28"/>
        </w:rPr>
        <w:t xml:space="preserve">Supplementary Table </w:t>
      </w:r>
      <w:r w:rsidRPr="00382426">
        <w:rPr>
          <w:b/>
          <w:i/>
          <w:szCs w:val="28"/>
          <w:lang w:val="en-US"/>
        </w:rPr>
        <w:t>5</w:t>
      </w:r>
      <w:r w:rsidRPr="00382426">
        <w:rPr>
          <w:b/>
          <w:i/>
          <w:szCs w:val="28"/>
        </w:rPr>
        <w:t>. Prediction of Mortality in Patients with AE-IPF in the Combined cohort by Univariate Cox-proportion Analyses</w:t>
      </w:r>
    </w:p>
    <w:tbl>
      <w:tblPr>
        <w:tblW w:w="5405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2"/>
        <w:gridCol w:w="664"/>
        <w:gridCol w:w="1040"/>
        <w:gridCol w:w="761"/>
        <w:gridCol w:w="518"/>
        <w:gridCol w:w="935"/>
        <w:gridCol w:w="1200"/>
        <w:gridCol w:w="670"/>
        <w:gridCol w:w="935"/>
        <w:gridCol w:w="933"/>
      </w:tblGrid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C85473" w:rsidRDefault="00DE581F" w:rsidP="00037CE2">
            <w:pPr>
              <w:ind w:firstLineChars="50" w:firstLine="120"/>
              <w:rPr>
                <w:b/>
              </w:rPr>
            </w:pPr>
          </w:p>
        </w:tc>
        <w:tc>
          <w:tcPr>
            <w:tcW w:w="1218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</w:rPr>
              <w:t>AE-IPF</w:t>
            </w:r>
          </w:p>
          <w:p w:rsidR="00DE581F" w:rsidRPr="00C614E2" w:rsidRDefault="00DE581F" w:rsidP="00037CE2">
            <w:pPr>
              <w:jc w:val="center"/>
            </w:pPr>
            <w:r w:rsidRPr="007B06EF">
              <w:rPr>
                <w:b/>
                <w:bCs/>
              </w:rPr>
              <w:lastRenderedPageBreak/>
              <w:t>Hamamatsu cohort</w:t>
            </w:r>
            <w:r w:rsidRPr="007B06EF">
              <w:rPr>
                <w:rFonts w:hint="eastAsia"/>
                <w:b/>
                <w:bCs/>
              </w:rPr>
              <w:t xml:space="preserve"> </w:t>
            </w:r>
            <w:r w:rsidRPr="007B06EF">
              <w:rPr>
                <w:b/>
                <w:bCs/>
              </w:rPr>
              <w:t>(n=61)</w:t>
            </w:r>
          </w:p>
        </w:tc>
        <w:tc>
          <w:tcPr>
            <w:tcW w:w="1311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</w:rPr>
              <w:lastRenderedPageBreak/>
              <w:t>AE-IPF</w:t>
            </w:r>
          </w:p>
          <w:p w:rsidR="00DE581F" w:rsidRPr="00C614E2" w:rsidRDefault="00DE581F" w:rsidP="00037CE2">
            <w:pPr>
              <w:jc w:val="center"/>
            </w:pPr>
            <w:r w:rsidRPr="007B06EF">
              <w:rPr>
                <w:b/>
                <w:bCs/>
              </w:rPr>
              <w:t>Seirei cohort</w:t>
            </w:r>
            <w:r w:rsidRPr="007B06EF">
              <w:rPr>
                <w:rFonts w:hint="eastAsia"/>
                <w:b/>
                <w:bCs/>
              </w:rPr>
              <w:t xml:space="preserve"> </w:t>
            </w:r>
            <w:r w:rsidRPr="007B06EF">
              <w:rPr>
                <w:b/>
                <w:bCs/>
              </w:rPr>
              <w:t>(n=50)</w:t>
            </w:r>
          </w:p>
        </w:tc>
        <w:tc>
          <w:tcPr>
            <w:tcW w:w="1254" w:type="pct"/>
            <w:gridSpan w:val="3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:rsidR="00DE581F" w:rsidRPr="007B06EF" w:rsidRDefault="00DE581F" w:rsidP="00037CE2">
            <w:pPr>
              <w:jc w:val="center"/>
              <w:rPr>
                <w:b/>
                <w:bCs/>
              </w:rPr>
            </w:pPr>
            <w:r w:rsidRPr="007B06EF">
              <w:rPr>
                <w:b/>
                <w:bCs/>
              </w:rPr>
              <w:t>AE-IPF</w:t>
            </w:r>
          </w:p>
          <w:p w:rsidR="00DE581F" w:rsidRDefault="00DE581F" w:rsidP="00037CE2">
            <w:pPr>
              <w:jc w:val="center"/>
            </w:pPr>
            <w:r w:rsidRPr="007B06EF">
              <w:rPr>
                <w:rFonts w:hint="eastAsia"/>
                <w:b/>
                <w:bCs/>
              </w:rPr>
              <w:lastRenderedPageBreak/>
              <w:t>C</w:t>
            </w:r>
            <w:r w:rsidRPr="007B06EF">
              <w:rPr>
                <w:b/>
                <w:bCs/>
              </w:rPr>
              <w:t>ombined cohort</w:t>
            </w:r>
            <w:r w:rsidRPr="007B06EF">
              <w:rPr>
                <w:rFonts w:hint="eastAsia"/>
                <w:b/>
                <w:bCs/>
              </w:rPr>
              <w:t xml:space="preserve"> (</w:t>
            </w:r>
            <w:r w:rsidRPr="007B06EF">
              <w:rPr>
                <w:b/>
                <w:bCs/>
              </w:rPr>
              <w:t>n=111)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  <w:r w:rsidRPr="000D7D5C">
              <w:rPr>
                <w:b/>
              </w:rPr>
              <w:lastRenderedPageBreak/>
              <w:t>Predictor</w:t>
            </w:r>
          </w:p>
        </w:tc>
        <w:tc>
          <w:tcPr>
            <w:tcW w:w="328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514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376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  <w:tc>
          <w:tcPr>
            <w:tcW w:w="256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462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593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  <w:tc>
          <w:tcPr>
            <w:tcW w:w="331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462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95% CI</w:t>
            </w:r>
          </w:p>
        </w:tc>
        <w:tc>
          <w:tcPr>
            <w:tcW w:w="461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b/>
                <w:bCs/>
              </w:rPr>
            </w:pPr>
            <w:r w:rsidRPr="000D7D5C">
              <w:rPr>
                <w:b/>
                <w:bCs/>
              </w:rPr>
              <w:t>p-value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  <w:r w:rsidRPr="000D7D5C">
              <w:t>Age, year</w:t>
            </w:r>
          </w:p>
        </w:tc>
        <w:tc>
          <w:tcPr>
            <w:tcW w:w="328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1.010</w:t>
            </w:r>
          </w:p>
        </w:tc>
        <w:tc>
          <w:tcPr>
            <w:tcW w:w="514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0.969–1.052</w:t>
            </w:r>
          </w:p>
        </w:tc>
        <w:tc>
          <w:tcPr>
            <w:tcW w:w="376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0.645</w:t>
            </w:r>
          </w:p>
        </w:tc>
        <w:tc>
          <w:tcPr>
            <w:tcW w:w="256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.986</w:t>
            </w:r>
          </w:p>
        </w:tc>
        <w:tc>
          <w:tcPr>
            <w:tcW w:w="462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 xml:space="preserve">0.943 – </w:t>
            </w:r>
            <w:r w:rsidRPr="000D7D5C">
              <w:rPr>
                <w:rFonts w:eastAsia="Yu Gothic"/>
              </w:rPr>
              <w:t>1.030</w:t>
            </w:r>
          </w:p>
        </w:tc>
        <w:tc>
          <w:tcPr>
            <w:tcW w:w="593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0.526 </w:t>
            </w:r>
          </w:p>
        </w:tc>
        <w:tc>
          <w:tcPr>
            <w:tcW w:w="331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.996</w:t>
            </w:r>
          </w:p>
        </w:tc>
        <w:tc>
          <w:tcPr>
            <w:tcW w:w="462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0.967 – 1.038</w:t>
            </w:r>
          </w:p>
        </w:tc>
        <w:tc>
          <w:tcPr>
            <w:tcW w:w="461" w:type="pct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.629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  <w:r w:rsidRPr="000D7D5C">
              <w:t>Gender, male</w:t>
            </w:r>
          </w:p>
        </w:tc>
        <w:tc>
          <w:tcPr>
            <w:tcW w:w="328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1.396</w:t>
            </w:r>
          </w:p>
        </w:tc>
        <w:tc>
          <w:tcPr>
            <w:tcW w:w="514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0.673–2.897</w:t>
            </w:r>
          </w:p>
        </w:tc>
        <w:tc>
          <w:tcPr>
            <w:tcW w:w="37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0.370</w:t>
            </w:r>
          </w:p>
        </w:tc>
        <w:tc>
          <w:tcPr>
            <w:tcW w:w="25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.779</w:t>
            </w:r>
          </w:p>
        </w:tc>
        <w:tc>
          <w:tcPr>
            <w:tcW w:w="46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Yu Gothic"/>
              </w:rPr>
              <w:t>0.329</w:t>
            </w:r>
            <w:r w:rsidRPr="000D7D5C">
              <w:t xml:space="preserve"> – 2.290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.606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.872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0.497 – 1.530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.634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9A27C3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BMI, kg/m</w:t>
            </w:r>
            <w:r w:rsidRPr="0014779E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 w:rsidRPr="0014779E">
              <w:rPr>
                <w:color w:val="000000" w:themeColor="text1"/>
              </w:rPr>
              <w:t>0.955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 w:rsidRPr="0014779E">
              <w:rPr>
                <w:color w:val="000000" w:themeColor="text1"/>
              </w:rPr>
              <w:t>0.868–1.051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</w:pPr>
            <w:r w:rsidRPr="00E00D2C">
              <w:rPr>
                <w:color w:val="000000" w:themeColor="text1"/>
              </w:rPr>
              <w:t>0.347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E00D2C">
              <w:rPr>
                <w:rFonts w:eastAsia="MS PGothic" w:hint="eastAsia"/>
                <w:color w:val="000000" w:themeColor="text1"/>
              </w:rPr>
              <w:t>0</w:t>
            </w:r>
            <w:r w:rsidRPr="00E00D2C">
              <w:rPr>
                <w:rFonts w:eastAsia="MS PGothic"/>
                <w:color w:val="000000" w:themeColor="text1"/>
              </w:rPr>
              <w:t>.960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</w:pPr>
            <w:r w:rsidRPr="00E00D2C">
              <w:rPr>
                <w:rFonts w:eastAsia="Yu Gothic"/>
              </w:rPr>
              <w:t>0.865</w:t>
            </w:r>
            <w:r w:rsidRPr="00E00D2C">
              <w:t xml:space="preserve"> – 1.066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</w:pPr>
            <w:r w:rsidRPr="00E00D2C">
              <w:rPr>
                <w:rFonts w:hint="eastAsia"/>
              </w:rPr>
              <w:t>0</w:t>
            </w:r>
            <w:r w:rsidRPr="00E00D2C">
              <w:t>.445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</w:pPr>
            <w:r>
              <w:rPr>
                <w:rFonts w:hint="eastAsia"/>
              </w:rPr>
              <w:t>0</w:t>
            </w:r>
            <w:r>
              <w:t>.969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</w:pPr>
            <w:r>
              <w:t>0.905 – 1.038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</w:pPr>
            <w:r>
              <w:rPr>
                <w:rFonts w:hint="eastAsia"/>
              </w:rPr>
              <w:t>0</w:t>
            </w:r>
            <w:r>
              <w:t>.366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2C3B6E" w:rsidRDefault="00DE581F" w:rsidP="00037CE2">
            <w:pPr>
              <w:ind w:firstLineChars="50" w:firstLine="120"/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P/F ratio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0.997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0.994–1.000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E00D2C">
              <w:rPr>
                <w:color w:val="000000" w:themeColor="text1"/>
              </w:rPr>
              <w:t>0.045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E00D2C">
              <w:rPr>
                <w:rFonts w:eastAsia="MS PGothic" w:hint="eastAsia"/>
                <w:color w:val="000000" w:themeColor="text1"/>
              </w:rPr>
              <w:t>0</w:t>
            </w:r>
            <w:r w:rsidRPr="00E00D2C">
              <w:rPr>
                <w:rFonts w:eastAsia="MS PGothic"/>
                <w:color w:val="000000" w:themeColor="text1"/>
              </w:rPr>
              <w:t>.999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  <w:rPr>
                <w:rFonts w:eastAsia="MS PGothic"/>
              </w:rPr>
            </w:pPr>
            <w:r w:rsidRPr="00E00D2C">
              <w:rPr>
                <w:rFonts w:eastAsia="Yu Gothic"/>
              </w:rPr>
              <w:t>0.996</w:t>
            </w:r>
            <w:r w:rsidRPr="00E00D2C">
              <w:t xml:space="preserve"> – 1.003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E00D2C" w:rsidRDefault="00DE581F" w:rsidP="00037CE2">
            <w:pPr>
              <w:jc w:val="center"/>
              <w:rPr>
                <w:rFonts w:eastAsia="MS PGothic"/>
                <w:color w:val="FF0000"/>
              </w:rPr>
            </w:pPr>
            <w:r w:rsidRPr="00E00D2C">
              <w:rPr>
                <w:rFonts w:eastAsia="MS PGothic" w:hint="eastAsia"/>
              </w:rPr>
              <w:t>0</w:t>
            </w:r>
            <w:r w:rsidRPr="00E00D2C">
              <w:rPr>
                <w:rFonts w:eastAsia="MS PGothic"/>
              </w:rPr>
              <w:t>.776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</w:pPr>
            <w:r>
              <w:rPr>
                <w:rFonts w:eastAsia="MS PGothic" w:hint="eastAsia"/>
                <w:color w:val="000000" w:themeColor="text1"/>
              </w:rPr>
              <w:t>0</w:t>
            </w:r>
            <w:r>
              <w:rPr>
                <w:rFonts w:eastAsia="MS PGothic"/>
                <w:color w:val="000000" w:themeColor="text1"/>
              </w:rPr>
              <w:t>.998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</w:pPr>
            <w:r w:rsidRPr="00325E82">
              <w:t>0.99</w:t>
            </w:r>
            <w:r>
              <w:t>6</w:t>
            </w:r>
            <w:r w:rsidRPr="00325E82">
              <w:t xml:space="preserve"> – </w:t>
            </w:r>
            <w:r>
              <w:t>0.999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</w:pPr>
            <w:r w:rsidRPr="00325E82">
              <w:rPr>
                <w:rFonts w:eastAsia="MS PGothic" w:hint="eastAsia"/>
              </w:rPr>
              <w:t>0</w:t>
            </w:r>
            <w:r w:rsidRPr="00325E82">
              <w:rPr>
                <w:rFonts w:eastAsia="MS PGothic"/>
              </w:rPr>
              <w:t>.</w:t>
            </w:r>
            <w:r>
              <w:rPr>
                <w:rFonts w:eastAsia="MS PGothic"/>
              </w:rPr>
              <w:t>069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0D7D5C" w:rsidRDefault="00DE581F" w:rsidP="00037CE2">
            <w:pPr>
              <w:ind w:firstLineChars="50" w:firstLine="120"/>
              <w:rPr>
                <w:b/>
              </w:rPr>
            </w:pPr>
            <w:r w:rsidRPr="000D7D5C">
              <w:t>AFT (Pirfenidone or Nintedanib)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1.044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0.589–1.852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0.883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.904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Yu Gothic"/>
              </w:rPr>
              <w:t>0.947</w:t>
            </w:r>
            <w:r w:rsidRPr="000D7D5C">
              <w:t xml:space="preserve"> – 3.830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0</w:t>
            </w:r>
            <w:r w:rsidRPr="000D7D5C">
              <w:rPr>
                <w:rFonts w:eastAsia="MS PGothic"/>
              </w:rPr>
              <w:t>.071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 w:hint="eastAsia"/>
              </w:rPr>
              <w:t>1</w:t>
            </w:r>
            <w:r w:rsidRPr="000D7D5C">
              <w:rPr>
                <w:rFonts w:eastAsia="MS PGothic"/>
              </w:rPr>
              <w:t>.324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t>0.855 – 2.053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0D7D5C" w:rsidRDefault="00DE581F" w:rsidP="00037CE2">
            <w:pPr>
              <w:jc w:val="center"/>
              <w:rPr>
                <w:rFonts w:eastAsia="MS PGothic"/>
              </w:rPr>
            </w:pPr>
            <w:r w:rsidRPr="000D7D5C">
              <w:rPr>
                <w:rFonts w:eastAsia="MS PGothic"/>
              </w:rPr>
              <w:t>0.209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KL-6, U/ml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1.000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 w:rsidRPr="0014779E">
              <w:rPr>
                <w:color w:val="000000" w:themeColor="text1"/>
              </w:rPr>
              <w:t>1.000–1.000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0.588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1</w:t>
            </w:r>
            <w:r>
              <w:rPr>
                <w:rFonts w:eastAsia="MS PGothic"/>
                <w:color w:val="000000" w:themeColor="text1"/>
              </w:rPr>
              <w:t>.000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 w:rsidRPr="000F0B94">
              <w:rPr>
                <w:rFonts w:eastAsia="Yu Gothic"/>
              </w:rPr>
              <w:t>1.</w:t>
            </w:r>
            <w:r>
              <w:rPr>
                <w:rFonts w:eastAsia="Yu Gothic"/>
              </w:rPr>
              <w:t>000</w:t>
            </w:r>
            <w:r w:rsidRPr="000F0B94">
              <w:t xml:space="preserve"> – </w:t>
            </w:r>
            <w:r>
              <w:t>1</w:t>
            </w:r>
            <w:r w:rsidRPr="000F0B94">
              <w:rPr>
                <w:rFonts w:eastAsia="Yu Gothic"/>
              </w:rPr>
              <w:t>.</w:t>
            </w:r>
            <w:r>
              <w:rPr>
                <w:rFonts w:eastAsia="Yu Gothic"/>
              </w:rPr>
              <w:t>000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0</w:t>
            </w:r>
            <w:r>
              <w:rPr>
                <w:rFonts w:eastAsia="MS PGothic"/>
                <w:color w:val="000000" w:themeColor="text1"/>
              </w:rPr>
              <w:t>.835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1</w:t>
            </w:r>
            <w:r>
              <w:rPr>
                <w:rFonts w:eastAsia="MS PGothic"/>
                <w:color w:val="000000" w:themeColor="text1"/>
              </w:rPr>
              <w:t>.000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 w:rsidRPr="00325E82">
              <w:t>1</w:t>
            </w:r>
            <w:r w:rsidRPr="00325E82">
              <w:rPr>
                <w:rFonts w:hint="eastAsia"/>
              </w:rPr>
              <w:t>.</w:t>
            </w:r>
            <w:r w:rsidRPr="00325E82">
              <w:t>000 – 1.000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 w:rsidRPr="00325E82">
              <w:rPr>
                <w:rFonts w:eastAsia="MS PGothic" w:hint="eastAsia"/>
              </w:rPr>
              <w:t>0</w:t>
            </w:r>
            <w:r w:rsidRPr="00325E82">
              <w:rPr>
                <w:rFonts w:eastAsia="MS PGothic"/>
              </w:rPr>
              <w:t>.628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SP-D, ng/ml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1.000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 w:rsidRPr="0014779E">
              <w:rPr>
                <w:color w:val="000000" w:themeColor="text1"/>
              </w:rPr>
              <w:t>0.999–1.001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0.636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1</w:t>
            </w:r>
            <w:r>
              <w:rPr>
                <w:rFonts w:eastAsia="MS PGothic"/>
                <w:color w:val="000000" w:themeColor="text1"/>
              </w:rPr>
              <w:t>.000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</w:pPr>
            <w:r>
              <w:t>1.00</w:t>
            </w:r>
            <w:r w:rsidRPr="000F0B94">
              <w:t xml:space="preserve"> – </w:t>
            </w:r>
            <w:r>
              <w:t>1</w:t>
            </w:r>
            <w:r w:rsidRPr="000F0B94">
              <w:rPr>
                <w:rFonts w:eastAsia="Yu Gothic"/>
              </w:rPr>
              <w:t>.0</w:t>
            </w:r>
            <w:r>
              <w:rPr>
                <w:rFonts w:eastAsia="Yu Gothic"/>
              </w:rPr>
              <w:t>01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0</w:t>
            </w:r>
            <w:r>
              <w:rPr>
                <w:rFonts w:eastAsia="MS PGothic"/>
                <w:color w:val="000000" w:themeColor="text1"/>
              </w:rPr>
              <w:t>.969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1</w:t>
            </w:r>
            <w:r>
              <w:rPr>
                <w:rFonts w:eastAsia="MS PGothic"/>
                <w:color w:val="000000" w:themeColor="text1"/>
              </w:rPr>
              <w:t>.000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 w:rsidRPr="00325E82">
              <w:t>0</w:t>
            </w:r>
            <w:r w:rsidRPr="00325E82">
              <w:rPr>
                <w:rFonts w:hint="eastAsia"/>
              </w:rPr>
              <w:t>.</w:t>
            </w:r>
            <w:r w:rsidRPr="00325E82">
              <w:t>999 – 1.001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 w:rsidRPr="00325E82">
              <w:rPr>
                <w:rFonts w:eastAsia="MS PGothic" w:hint="eastAsia"/>
              </w:rPr>
              <w:t>0</w:t>
            </w:r>
            <w:r w:rsidRPr="00325E82">
              <w:rPr>
                <w:rFonts w:eastAsia="MS PGothic"/>
              </w:rPr>
              <w:t>.</w:t>
            </w:r>
            <w:r>
              <w:rPr>
                <w:rFonts w:eastAsia="MS PGothic"/>
              </w:rPr>
              <w:t>735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Pr="002C3B6E" w:rsidRDefault="00DE581F" w:rsidP="00037CE2">
            <w:pPr>
              <w:ind w:firstLineChars="50" w:firstLine="120"/>
              <w:rPr>
                <w:b/>
                <w:color w:val="000000" w:themeColor="text1"/>
              </w:rPr>
            </w:pPr>
            <w:r w:rsidRPr="0014779E">
              <w:rPr>
                <w:color w:val="000000" w:themeColor="text1"/>
              </w:rPr>
              <w:t>CRP, mg/dl</w:t>
            </w:r>
          </w:p>
        </w:tc>
        <w:tc>
          <w:tcPr>
            <w:tcW w:w="3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1.063</w:t>
            </w:r>
          </w:p>
        </w:tc>
        <w:tc>
          <w:tcPr>
            <w:tcW w:w="51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1.015–1.113</w:t>
            </w:r>
          </w:p>
        </w:tc>
        <w:tc>
          <w:tcPr>
            <w:tcW w:w="3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0.010</w:t>
            </w:r>
          </w:p>
        </w:tc>
        <w:tc>
          <w:tcPr>
            <w:tcW w:w="25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1</w:t>
            </w:r>
            <w:r>
              <w:rPr>
                <w:rFonts w:eastAsia="MS PGothic"/>
                <w:color w:val="000000" w:themeColor="text1"/>
              </w:rPr>
              <w:t>.026</w:t>
            </w:r>
          </w:p>
        </w:tc>
        <w:tc>
          <w:tcPr>
            <w:tcW w:w="46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</w:rPr>
            </w:pPr>
            <w:r>
              <w:rPr>
                <w:rFonts w:eastAsia="Yu Gothic"/>
              </w:rPr>
              <w:t>0</w:t>
            </w:r>
            <w:r w:rsidRPr="000F0B94">
              <w:rPr>
                <w:rFonts w:eastAsia="Yu Gothic"/>
              </w:rPr>
              <w:t>.</w:t>
            </w:r>
            <w:r>
              <w:rPr>
                <w:rFonts w:eastAsia="Yu Gothic"/>
              </w:rPr>
              <w:t>975</w:t>
            </w:r>
            <w:r w:rsidRPr="000F0B94">
              <w:t xml:space="preserve"> – </w:t>
            </w:r>
            <w:r>
              <w:t>1</w:t>
            </w:r>
            <w:r w:rsidRPr="000F0B94">
              <w:rPr>
                <w:rFonts w:eastAsia="Yu Gothic"/>
              </w:rPr>
              <w:t>.0</w:t>
            </w:r>
            <w:r>
              <w:rPr>
                <w:rFonts w:eastAsia="Yu Gothic"/>
              </w:rPr>
              <w:t>80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E581F" w:rsidRPr="00130D6B" w:rsidRDefault="00DE581F" w:rsidP="00037CE2">
            <w:pPr>
              <w:jc w:val="center"/>
              <w:rPr>
                <w:rFonts w:eastAsia="MS PGothic"/>
                <w:color w:val="FF0000"/>
              </w:rPr>
            </w:pPr>
            <w:r w:rsidRPr="00DF2C7D">
              <w:rPr>
                <w:rFonts w:eastAsia="MS PGothic" w:hint="eastAsia"/>
                <w:color w:val="000000" w:themeColor="text1"/>
              </w:rPr>
              <w:t>0</w:t>
            </w:r>
            <w:r w:rsidRPr="00DF2C7D">
              <w:rPr>
                <w:rFonts w:eastAsia="MS PGothic"/>
                <w:color w:val="000000" w:themeColor="text1"/>
              </w:rPr>
              <w:t>.</w:t>
            </w:r>
            <w:r>
              <w:rPr>
                <w:rFonts w:eastAsia="MS PGothic"/>
                <w:color w:val="000000" w:themeColor="text1"/>
              </w:rPr>
              <w:t>322</w:t>
            </w:r>
          </w:p>
        </w:tc>
        <w:tc>
          <w:tcPr>
            <w:tcW w:w="331" w:type="pct"/>
            <w:tcBorders>
              <w:left w:val="nil"/>
              <w:right w:val="nil"/>
            </w:tcBorders>
            <w:vAlign w:val="center"/>
          </w:tcPr>
          <w:p w:rsidR="00DE581F" w:rsidRPr="00130D6B" w:rsidRDefault="00DE581F" w:rsidP="00037CE2">
            <w:pPr>
              <w:jc w:val="center"/>
              <w:rPr>
                <w:rFonts w:eastAsia="MS PGothic"/>
                <w:color w:val="FF0000"/>
              </w:rPr>
            </w:pPr>
            <w:r>
              <w:rPr>
                <w:rFonts w:eastAsia="MS PGothic"/>
                <w:color w:val="000000" w:themeColor="text1"/>
              </w:rPr>
              <w:t>1.041</w:t>
            </w:r>
          </w:p>
        </w:tc>
        <w:tc>
          <w:tcPr>
            <w:tcW w:w="462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>
              <w:t>1.005</w:t>
            </w:r>
            <w:r w:rsidRPr="00325E82">
              <w:t xml:space="preserve"> – 1.0</w:t>
            </w:r>
            <w:r>
              <w:t>75</w:t>
            </w:r>
          </w:p>
        </w:tc>
        <w:tc>
          <w:tcPr>
            <w:tcW w:w="461" w:type="pct"/>
            <w:tcBorders>
              <w:left w:val="nil"/>
              <w:right w:val="nil"/>
            </w:tcBorders>
            <w:vAlign w:val="center"/>
          </w:tcPr>
          <w:p w:rsidR="00DE581F" w:rsidRPr="00325E82" w:rsidRDefault="00DE581F" w:rsidP="00037CE2">
            <w:pPr>
              <w:jc w:val="center"/>
              <w:rPr>
                <w:rFonts w:eastAsia="MS PGothic"/>
              </w:rPr>
            </w:pPr>
            <w:r w:rsidRPr="00325E82">
              <w:rPr>
                <w:rFonts w:eastAsia="MS PGothic" w:hint="eastAsia"/>
              </w:rPr>
              <w:t>0</w:t>
            </w:r>
            <w:r w:rsidRPr="00325E82">
              <w:rPr>
                <w:rFonts w:eastAsia="MS PGothic"/>
              </w:rPr>
              <w:t>.</w:t>
            </w:r>
            <w:r>
              <w:rPr>
                <w:rFonts w:eastAsia="MS PGothic"/>
              </w:rPr>
              <w:t>020</w:t>
            </w:r>
          </w:p>
        </w:tc>
      </w:tr>
      <w:tr w:rsidR="00DE581F" w:rsidRPr="002C3B6E" w:rsidTr="00037CE2">
        <w:trPr>
          <w:trHeight w:val="432"/>
          <w:jc w:val="center"/>
        </w:trPr>
        <w:tc>
          <w:tcPr>
            <w:tcW w:w="1217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:rsidR="00DE581F" w:rsidRDefault="00DE581F" w:rsidP="00037CE2">
            <w:pPr>
              <w:ind w:firstLineChars="50" w:firstLine="120"/>
            </w:pPr>
            <w:r w:rsidRPr="0014779E">
              <w:rPr>
                <w:color w:val="000000" w:themeColor="text1"/>
              </w:rPr>
              <w:t>standardised 3D-CT LV, %</w:t>
            </w:r>
          </w:p>
        </w:tc>
        <w:tc>
          <w:tcPr>
            <w:tcW w:w="328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0.973</w:t>
            </w:r>
          </w:p>
        </w:tc>
        <w:tc>
          <w:tcPr>
            <w:tcW w:w="514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color w:val="000000" w:themeColor="text1"/>
              </w:rPr>
              <w:t>0.955–0.991</w:t>
            </w:r>
          </w:p>
        </w:tc>
        <w:tc>
          <w:tcPr>
            <w:tcW w:w="376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14779E">
              <w:rPr>
                <w:rFonts w:eastAsia="MS PGothic"/>
                <w:color w:val="000000" w:themeColor="text1"/>
              </w:rPr>
              <w:t>0.003</w:t>
            </w:r>
          </w:p>
        </w:tc>
        <w:tc>
          <w:tcPr>
            <w:tcW w:w="256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0</w:t>
            </w:r>
            <w:r>
              <w:rPr>
                <w:rFonts w:eastAsia="MS PGothic"/>
                <w:color w:val="000000" w:themeColor="text1"/>
              </w:rPr>
              <w:t>.970</w:t>
            </w:r>
          </w:p>
        </w:tc>
        <w:tc>
          <w:tcPr>
            <w:tcW w:w="462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</w:rPr>
            </w:pPr>
            <w:r>
              <w:t>0.952</w:t>
            </w:r>
            <w:r w:rsidRPr="000F0B94">
              <w:t xml:space="preserve"> – </w:t>
            </w:r>
            <w:r>
              <w:t>0.988</w:t>
            </w:r>
          </w:p>
        </w:tc>
        <w:tc>
          <w:tcPr>
            <w:tcW w:w="593" w:type="pct"/>
            <w:tcBorders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:rsidR="00DE581F" w:rsidRPr="002C3B6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>
              <w:rPr>
                <w:rFonts w:eastAsia="MS PGothic" w:hint="eastAsia"/>
                <w:color w:val="000000" w:themeColor="text1"/>
              </w:rPr>
              <w:t>&lt;</w:t>
            </w:r>
            <w:r>
              <w:rPr>
                <w:rFonts w:eastAsia="MS PGothic"/>
                <w:color w:val="000000" w:themeColor="text1"/>
              </w:rPr>
              <w:t>0.001</w:t>
            </w:r>
          </w:p>
        </w:tc>
        <w:tc>
          <w:tcPr>
            <w:tcW w:w="331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94762E" w:rsidRDefault="00DE581F" w:rsidP="00037CE2">
            <w:pPr>
              <w:jc w:val="center"/>
              <w:rPr>
                <w:rFonts w:eastAsia="MS PGothic"/>
                <w:color w:val="000000" w:themeColor="text1"/>
              </w:rPr>
            </w:pPr>
            <w:r w:rsidRPr="0094762E">
              <w:rPr>
                <w:rFonts w:eastAsia="MS PGothic" w:hint="eastAsia"/>
                <w:color w:val="000000" w:themeColor="text1"/>
              </w:rPr>
              <w:t>0</w:t>
            </w:r>
            <w:r w:rsidRPr="0094762E">
              <w:rPr>
                <w:rFonts w:eastAsia="MS PGothic"/>
                <w:color w:val="000000" w:themeColor="text1"/>
              </w:rPr>
              <w:t>.972</w:t>
            </w:r>
          </w:p>
        </w:tc>
        <w:tc>
          <w:tcPr>
            <w:tcW w:w="462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94762E" w:rsidRDefault="00DE581F" w:rsidP="00037CE2">
            <w:pPr>
              <w:jc w:val="center"/>
            </w:pPr>
            <w:r w:rsidRPr="0094762E">
              <w:t>0.960 – 0.985</w:t>
            </w:r>
          </w:p>
        </w:tc>
        <w:tc>
          <w:tcPr>
            <w:tcW w:w="461" w:type="pct"/>
            <w:tcBorders>
              <w:left w:val="nil"/>
              <w:bottom w:val="single" w:sz="24" w:space="0" w:color="auto"/>
              <w:right w:val="nil"/>
            </w:tcBorders>
            <w:vAlign w:val="center"/>
          </w:tcPr>
          <w:p w:rsidR="00DE581F" w:rsidRPr="0094762E" w:rsidRDefault="00DE581F" w:rsidP="00037CE2">
            <w:pPr>
              <w:jc w:val="center"/>
              <w:rPr>
                <w:rFonts w:eastAsia="MS PGothic"/>
              </w:rPr>
            </w:pPr>
            <w:r w:rsidRPr="0094762E">
              <w:rPr>
                <w:rFonts w:eastAsia="MS PGothic"/>
              </w:rPr>
              <w:t>&lt;</w:t>
            </w:r>
            <w:r w:rsidRPr="0094762E">
              <w:rPr>
                <w:rFonts w:eastAsia="MS PGothic" w:hint="eastAsia"/>
              </w:rPr>
              <w:t>0</w:t>
            </w:r>
            <w:r w:rsidRPr="0094762E">
              <w:rPr>
                <w:rFonts w:eastAsia="MS PGothic"/>
              </w:rPr>
              <w:t>.001</w:t>
            </w:r>
          </w:p>
        </w:tc>
      </w:tr>
    </w:tbl>
    <w:p w:rsidR="00B57F37" w:rsidRDefault="00DE581F">
      <w:r w:rsidRPr="0014779E">
        <w:t>AE; acute exacerbation, IPF; idiopathic pulmonary fibrosis, BMI; body mass index, P/F ratio; PaO</w:t>
      </w:r>
      <w:r w:rsidRPr="0014779E">
        <w:rPr>
          <w:vertAlign w:val="subscript"/>
        </w:rPr>
        <w:t>2</w:t>
      </w:r>
      <w:r w:rsidRPr="0014779E">
        <w:t xml:space="preserve"> / FiO</w:t>
      </w:r>
      <w:r w:rsidRPr="0014779E">
        <w:rPr>
          <w:vertAlign w:val="subscript"/>
        </w:rPr>
        <w:t>2</w:t>
      </w:r>
      <w:r w:rsidRPr="0014779E">
        <w:t xml:space="preserve"> ratio, AFT; antifibrotic therapy, KL-6; Krebs von den Lunge-6, SP-D; surfactant protein-D, CRP; C-reactive protein, </w:t>
      </w:r>
      <w:r w:rsidRPr="0014779E">
        <w:rPr>
          <w:bCs/>
          <w:iCs/>
          <w:szCs w:val="28"/>
        </w:rPr>
        <w:t xml:space="preserve">3D-CT; </w:t>
      </w:r>
      <w:r w:rsidRPr="0014779E">
        <w:t>3-dimansional computed-tomography</w:t>
      </w:r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Malgun Gothic Semilight"/>
    <w:charset w:val="80"/>
    <w:family w:val="auto"/>
    <w:pitch w:val="variable"/>
    <w:sig w:usb0="00002A87" w:usb1="08070000" w:usb2="01000417" w:usb3="00000000" w:csb0="000201FF" w:csb1="00000000"/>
  </w:font>
  <w:font w:name="Times">
    <w:altName w:val="﷽﷽﷽﷽﷽﷽﷽﷽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189" w:rsidRDefault="00DE5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10189" w:rsidRDefault="00DE58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189" w:rsidRDefault="00DE5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110189" w:rsidRDefault="00DE581F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189" w:rsidRDefault="00DE581F" w:rsidP="008523D7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189" w:rsidRPr="00A2678E" w:rsidRDefault="00DE581F" w:rsidP="00A2678E">
    <w:pPr>
      <w:pStyle w:val="Header"/>
      <w:ind w:right="360"/>
      <w:jc w:val="right"/>
    </w:pPr>
    <w:r>
      <w:rPr>
        <w:rFonts w:ascii="Times New Roman" w:hAnsi="Times New Roman" w:hint="eastAsia"/>
        <w:b/>
        <w:i/>
      </w:rPr>
      <w:t>Tanaka</w:t>
    </w:r>
    <w:r w:rsidRPr="00671A01">
      <w:rPr>
        <w:rFonts w:ascii="Times New Roman" w:hAnsi="Times New Roman"/>
        <w:b/>
        <w:i/>
      </w:rPr>
      <w:t xml:space="preserve"> Y., et 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189" w:rsidRDefault="00DE581F" w:rsidP="00A2678E">
    <w:pPr>
      <w:pStyle w:val="Header"/>
      <w:ind w:right="360"/>
      <w:jc w:val="right"/>
    </w:pPr>
    <w:r>
      <w:rPr>
        <w:rFonts w:hint="eastAsia"/>
      </w:rPr>
      <w:t xml:space="preserve">                                                        </w:t>
    </w:r>
    <w:r>
      <w:t xml:space="preserve"> </w:t>
    </w:r>
    <w:r>
      <w:rPr>
        <w:rFonts w:ascii="Times New Roman" w:hAnsi="Times New Roman" w:hint="eastAsia"/>
        <w:b/>
        <w:i/>
      </w:rPr>
      <w:t>Tanaka</w:t>
    </w:r>
    <w:r w:rsidRPr="00671A01">
      <w:rPr>
        <w:rFonts w:ascii="Times New Roman" w:hAnsi="Times New Roman"/>
        <w:b/>
        <w:i/>
      </w:rPr>
      <w:t xml:space="preserve"> Y., et al</w:t>
    </w: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81F"/>
    <w:rsid w:val="00935206"/>
    <w:rsid w:val="00953E1B"/>
    <w:rsid w:val="00DE581F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D95B71-E8B4-45EC-BF19-BF30DD0A2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81F"/>
    <w:pPr>
      <w:spacing w:after="0" w:line="240" w:lineRule="auto"/>
    </w:pPr>
    <w:rPr>
      <w:rFonts w:ascii="Times New Roman" w:eastAsia="平成明朝" w:hAnsi="Times New Roman" w:cs="Times New Roman"/>
      <w:sz w:val="24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rsid w:val="00DE581F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" w:hAnsi="Times"/>
      <w:kern w:val="2"/>
    </w:rPr>
  </w:style>
  <w:style w:type="character" w:customStyle="1" w:styleId="HeaderChar">
    <w:name w:val="Header Char"/>
    <w:basedOn w:val="DefaultParagraphFont"/>
    <w:link w:val="Header"/>
    <w:semiHidden/>
    <w:rsid w:val="00DE581F"/>
    <w:rPr>
      <w:rFonts w:ascii="Times" w:eastAsia="平成明朝" w:hAnsi="Times" w:cs="Times New Roman"/>
      <w:kern w:val="2"/>
      <w:sz w:val="24"/>
      <w:szCs w:val="24"/>
      <w:lang w:val="en-GB" w:eastAsia="ja-JP"/>
    </w:rPr>
  </w:style>
  <w:style w:type="paragraph" w:styleId="Footer">
    <w:name w:val="footer"/>
    <w:basedOn w:val="Normal"/>
    <w:link w:val="FooterChar"/>
    <w:semiHidden/>
    <w:rsid w:val="00DE581F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" w:hAnsi="Times"/>
      <w:kern w:val="2"/>
    </w:rPr>
  </w:style>
  <w:style w:type="character" w:customStyle="1" w:styleId="FooterChar">
    <w:name w:val="Footer Char"/>
    <w:basedOn w:val="DefaultParagraphFont"/>
    <w:link w:val="Footer"/>
    <w:semiHidden/>
    <w:rsid w:val="00DE581F"/>
    <w:rPr>
      <w:rFonts w:ascii="Times" w:eastAsia="平成明朝" w:hAnsi="Times" w:cs="Times New Roman"/>
      <w:kern w:val="2"/>
      <w:sz w:val="24"/>
      <w:szCs w:val="24"/>
      <w:lang w:val="en-GB" w:eastAsia="ja-JP"/>
    </w:rPr>
  </w:style>
  <w:style w:type="character" w:styleId="PageNumber">
    <w:name w:val="page number"/>
    <w:basedOn w:val="DefaultParagraphFont"/>
    <w:semiHidden/>
    <w:rsid w:val="00DE581F"/>
  </w:style>
  <w:style w:type="character" w:styleId="LineNumber">
    <w:name w:val="line number"/>
    <w:basedOn w:val="DefaultParagraphFont"/>
    <w:uiPriority w:val="99"/>
    <w:semiHidden/>
    <w:unhideWhenUsed/>
    <w:rsid w:val="00DE5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2021-12-03T14:32:00Z</dcterms:created>
  <dcterms:modified xsi:type="dcterms:W3CDTF">2021-12-03T14:32:00Z</dcterms:modified>
</cp:coreProperties>
</file>