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Supporting Information</w:t>
        <w:br/>
        <w:t>Country-Associated Genomic Differentiation Across Pedigree Cat Breeds</w:t>
      </w:r>
    </w:p>
    <w:p>
      <w:pPr>
        <w:jc w:val="center"/>
      </w:pPr>
      <w:r>
        <w:rPr>
          <w:b/>
        </w:rPr>
        <w:t>Baptiste Dumoulin</w:t>
      </w:r>
    </w:p>
    <w:p>
      <w:pPr>
        <w:pStyle w:val="Heading1"/>
        <w:keepNext/>
      </w:pPr>
      <w:r>
        <w:t>Table S1. Full-sample Hudson fixation index with chromosome-jackknife uncertainty</w:t>
      </w:r>
    </w:p>
    <w:p>
      <w:r>
        <w:t>All estimates use the reproducibly first-degree-pruned cohort and the 7,281-marker autosomal panel. Confidence limits are normal approximations based on delete-one-chromosome jackknife standard errors.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rPr>
          <w:tblHeader w:val="true"/>
        </w:trPr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Contrast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Breed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n1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n2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FST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SE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95% low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b/>
                <w:sz w:val="15"/>
              </w:rPr>
              <w:t>95% high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Bengal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0.01314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0.00111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0.01096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0.01532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Devon Rex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70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0.02125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0.00157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0.01816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0.02433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Maine Coon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51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0.00288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0.00035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0.00221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0.00356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Oriental Shorthair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60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0.00807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0.00112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0.00587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0.01027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Ragdoll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50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128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0.00916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0.00054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0.00810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0.01021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CA-FI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Sphynx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47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0.01390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0.00090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0.01214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0.01567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Bengal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837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0.00208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0.00022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0.00166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0.00250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Devon Rex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120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0.00368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0.00045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0.00281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0.00456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Maine Coon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51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771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0.00176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0.00019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0.00140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0.00213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Oriental Shorthair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0.00869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0.00079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0.00714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0.01023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Ragdoll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50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357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0.00517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0.00039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0.00439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0.00594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CA-US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Sphynx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278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0.00529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0.00058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0.00416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0.00642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Bengal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837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0.00938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0.00079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0.00783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0.01093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Devon Rex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70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120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0.02155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0.00121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0.01918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0.02392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Maine Coon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85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771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0.00190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0.00022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0.00147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0.00232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Oriental Shorthair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60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0.00749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0.00069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0.00615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0.00883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Ragdoll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128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357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0.00582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0.00030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0.00522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0.00641</w:t>
            </w:r>
          </w:p>
        </w:tc>
      </w:tr>
      <w:tr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FI-US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Sphynx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47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278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0.00777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0.00043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0.00692</w:t>
            </w:r>
          </w:p>
        </w:tc>
        <w:tc>
          <w:tcPr>
            <w:tcW w:type="dxa" w:w="1278"/>
          </w:tcPr>
          <w:p>
            <w:r>
              <w:rPr>
                <w:rFonts w:ascii="Times New Roman" w:hAnsi="Times New Roman"/>
                <w:sz w:val="15"/>
              </w:rPr>
              <w:t>0.00862</w:t>
            </w:r>
          </w:p>
        </w:tc>
      </w:tr>
    </w:tbl>
    <w:p>
      <w:pPr>
        <w:pStyle w:val="Heading1"/>
        <w:keepNext/>
      </w:pPr>
      <w:r>
        <w:t>Table S2. Global between-breed heterogeneity tests</w:t>
      </w:r>
    </w:p>
    <w:p>
      <w:r>
        <w:t>The covariance-aware Wald test is the primary global inference in the preprint manuscript. The rank-based chromosome-delete Friedman test is retained as a sensitivity analysis in the main text.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2556"/>
          </w:tcPr>
          <w:p>
            <w:r>
              <w:rPr>
                <w:rFonts w:ascii="Times New Roman" w:hAnsi="Times New Roman"/>
                <w:b/>
                <w:sz w:val="16"/>
              </w:rPr>
              <w:t>Contrast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b/>
                <w:sz w:val="16"/>
              </w:rPr>
              <w:t>Wald χ²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b/>
                <w:sz w:val="16"/>
              </w:rPr>
              <w:t>df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b/>
                <w:sz w:val="16"/>
              </w:rPr>
              <w:t>P</w:t>
            </w:r>
          </w:p>
        </w:tc>
      </w:tr>
      <w:tr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551.76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5.336e-117</w:t>
            </w:r>
          </w:p>
        </w:tc>
      </w:tr>
      <w:tr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331.68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1.533e-69</w:t>
            </w:r>
          </w:p>
        </w:tc>
      </w:tr>
      <w:tr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1028.77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2556"/>
          </w:tcPr>
          <w:p>
            <w:r>
              <w:rPr>
                <w:rFonts w:ascii="Times New Roman" w:hAnsi="Times New Roman"/>
                <w:sz w:val="16"/>
              </w:rPr>
              <w:t>3.550e-220</w:t>
            </w:r>
          </w:p>
        </w:tc>
      </w:tr>
    </w:tbl>
    <w:p>
      <w:pPr>
        <w:pStyle w:val="Heading1"/>
        <w:keepNext/>
      </w:pPr>
      <w:r>
        <w:t>Table S3. Differentiation metrics not normalized by within-population heterozygosity</w:t>
      </w:r>
    </w:p>
    <w:p>
      <w:r>
        <w:t>Mean unbiased f2 per marker is the average Hudson numerator. Mean absolute allele-frequency difference is calculated across markers with called allele frequencies in both populations.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Contrast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Breed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Hudson FST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Mean unbiased f2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Mean |ΔAF|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0.01314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0.00466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0.06796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0.02125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0.00761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0.08148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0.00288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0.00110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0.04846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0.00807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0.00235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0.05344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0.00916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0.00351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0.05909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0.01390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0.00534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0.07869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0.00208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0.00073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0.03368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0.00368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0.00128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0.05392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0.00176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0.00066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0.03895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0.00869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0.00252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0.06074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0.00517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0.00198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0.04903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0.00529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0.00198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0.05870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0.00938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0.00332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0.05825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0.02155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0.00766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0.07128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0.00190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0.00071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0.03328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0.00749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0.00216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0.05241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0.00582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0.00219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0.04261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0.00777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0.00295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0.05477</w:t>
            </w:r>
          </w:p>
        </w:tc>
      </w:tr>
    </w:tbl>
    <w:p>
      <w:pPr>
        <w:pStyle w:val="Heading1"/>
        <w:keepNext/>
      </w:pPr>
      <w:r>
        <w:t>Table S4. Stringent first- plus second-degree-relatedness sensitivity</w:t>
      </w:r>
    </w:p>
    <w:p>
      <w:r>
        <w:t>Samples were pruned at KING-robust kinship &gt;0.0884. This sensitivity set is intentionally more stringent than the primary cohort. Canadian Devon Rex falls to n=19, so these results are not substituted for the fixed primary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</w:trPr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Contrast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Breed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n1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n2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b/>
                <w:sz w:val="16"/>
              </w:rPr>
              <w:t>Hudson FST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0.01116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0.01741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42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76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0.00192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0.00497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103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0.00821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0.01143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588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0.00172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93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0.00364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42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590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0.00125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0.00549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268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0.00410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230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0.00387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588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0.00809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93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0.01964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76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590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0.00147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52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27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0.00445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103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268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0.00505</w:t>
            </w:r>
          </w:p>
        </w:tc>
      </w:tr>
      <w:tr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38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230</w:t>
            </w:r>
          </w:p>
        </w:tc>
        <w:tc>
          <w:tcPr>
            <w:tcW w:type="dxa" w:w="2045"/>
          </w:tcPr>
          <w:p>
            <w:r>
              <w:rPr>
                <w:rFonts w:ascii="Times New Roman" w:hAnsi="Times New Roman"/>
                <w:sz w:val="16"/>
              </w:rPr>
              <w:t>0.00687</w:t>
            </w:r>
          </w:p>
        </w:tc>
      </w:tr>
    </w:tbl>
    <w:p>
      <w:pPr>
        <w:pStyle w:val="Heading1"/>
        <w:keepNext/>
      </w:pPr>
      <w:r>
        <w:t>Table S5. Balanced 19-versus-19 resampling after second-degree pruning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</w:trPr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Contrast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Breed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n/group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Mean FST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Median FST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2.5%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6"/>
              </w:rPr>
              <w:t>97.5%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0.01172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0.01154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0.00674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0.01727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0.01769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0.01766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0.01313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0.02218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0.00253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0.00237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0.00019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0.00576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0.00499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0.00274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0.00755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0.00887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0.00858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0.00452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0.01444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0.01154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0.01135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0.00869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0.01521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0.00244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0.00231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-0.00020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0.00588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0.00389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0.00099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0.00778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0.00211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0.00186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-0.00047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0.00580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0.00554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0.00545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0.00351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0.00791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0.00488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0.00472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0.00179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0.00904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0.00429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0.00110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0.00853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0.00864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0.00846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0.00413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0.01380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0.02022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0.02026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0.01275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0.02847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0.00214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0.00208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-0.00017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0.00480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0.00452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0.00453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0.00184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0.00737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0.00591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0.00575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0.00211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0.01008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0.00748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0.00735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0.00399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6"/>
              </w:rPr>
              <w:t>0.01172</w:t>
            </w:r>
          </w:p>
        </w:tc>
      </w:tr>
    </w:tbl>
    <w:p>
      <w:pPr>
        <w:pStyle w:val="Heading1"/>
        <w:keepNext/>
      </w:pPr>
      <w:r>
        <w:t>Table S6. Pairwise breed comparisons with Holm correction</w:t>
      </w:r>
    </w:p>
    <w:p>
      <w:r>
        <w:t>Pairwise inference uses the chromosome-jackknife standard error of the breed difference, a t distribution with 17 degrees of freedom, and Holm correction across the 15 breed-pair tests within each country contrast.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>
        <w:trPr>
          <w:tblHeader w:val="true"/>
        </w:trPr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Contrast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Breed 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Breed 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ΔFST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SE(Δ)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Raw P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b/>
                <w:sz w:val="14"/>
              </w:rPr>
              <w:t>Holm P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-0.00810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0.00198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7.474e-04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4.484e-03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0.01026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0.00115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8.372e-08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1.005e-06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0.00507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1.030e-03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5.150e-03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0.00399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3.982e-03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1.195e-02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-0.00076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0.00149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6.165e-01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8.070e-01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0.01836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0.00157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1.489e-09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1.936e-08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0.01318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0.00209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7.902e-06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7.902e-05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0.01209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0.00180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3.560e-06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3.916e-05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0.00734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0.00151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1.511e-04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1.209e-03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-0.00519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5.954e-04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4.168e-03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-0.00627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0.00050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5.177e-10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7.247e-09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-0.01102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2.286e-10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3.428e-09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-0.00109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4.035e-01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8.070e-01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-0.00583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0.00158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1.786e-03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7.143e-03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CA-FI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-0.00475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0.00095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1.101e-04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9.908e-04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-0.00160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0.00043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1.732e-03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1.186e-02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0.00031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0.00025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2.295e-01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4.589e-01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-0.00661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3.600e-07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5.040e-06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-0.00309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0.00042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1.034e-06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1.241e-05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-0.00321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0.00062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7.201e-05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6.481e-04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0.00192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0.00044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4.683e-04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3.747e-03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-0.00501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9.767e-06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9.767e-05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-0.00149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0.00059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2.215e-02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8.859e-02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-0.00161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0.00072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3.861e-02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1.158e-01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-0.00692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1.752e-07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2.628e-06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-0.00340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0.00045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8.163e-07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1.061e-05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-0.00352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0.00053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4.470e-06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4.917e-05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0.00352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0.00099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2.358e-03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1.186e-02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0.00340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0.00091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1.694e-03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1.186e-02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CA-US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-0.00012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8.935e-01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8.935e-01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-0.01217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0.00142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1.451e-07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1.161e-06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0.00749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0.00071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7.352e-09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6.617e-08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0.00189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0.00100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7.559e-02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2.268e-01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0.00356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0.00081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3.812e-04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2.287e-03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Bengal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0.00161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1.565e-01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3.131e-01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0.01966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0.00130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2.678e-11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3.749e-10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0.01406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4.365e-09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4.492e-08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0.01573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0.00138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2.285e-09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2.970e-08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Devon Rex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0.01378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0.00121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2.297e-09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2.970e-08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-0.00559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0.00072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4.975e-07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3.482e-06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-0.00392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0.00024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8.960e-12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1.344e-10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Maine Coon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-0.00587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0.00054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4.084e-09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4.492e-08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0.00167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0.00077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4.353e-02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1.741e-01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Oriental Shorthair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-0.00028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0.00062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6.567e-01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6.567e-01</w:t>
            </w:r>
          </w:p>
        </w:tc>
      </w:tr>
      <w:tr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FI-US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Ragdoll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Sphynx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-0.00195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0.00056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2.923e-03</w:t>
            </w:r>
          </w:p>
        </w:tc>
        <w:tc>
          <w:tcPr>
            <w:tcW w:type="dxa" w:w="1461"/>
          </w:tcPr>
          <w:p>
            <w:r>
              <w:rPr>
                <w:rFonts w:ascii="Times New Roman" w:hAnsi="Times New Roman"/>
                <w:sz w:val="14"/>
              </w:rPr>
              <w:t>1.462e-02</w:t>
            </w:r>
          </w:p>
        </w:tc>
      </w:tr>
    </w:tbl>
    <w:p>
      <w:pPr>
        <w:pStyle w:val="Heading1"/>
        <w:keepNext/>
      </w:pPr>
      <w:r>
        <w:t>Table S7. Marker-definition sensitivity</w:t>
      </w:r>
    </w:p>
    <w:p>
      <w:r>
        <w:t>Primary contrasts were repeated under alternative call-rate/minor-allele-frequency filters and deterministic fivefold thinning. Table S7 summarizes the maximum and median absolute shift from the full 7,281-autosome estimate across all 18 breed-contrast combinations, along with rank concordance. The complete numerical output is supplied as a machine-readable CSV in the reproducibility package.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rPr>
          <w:tblHeader w:val="true"/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Sensitivity definition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Markers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Max |ΔFST|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Median |ΔFST|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Spearman ρ</w:t>
            </w:r>
          </w:p>
        </w:tc>
      </w:tr>
      <w:tr>
        <w:trPr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call rate &gt;=95%, MAF &gt;=1%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7149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0.000070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0.000018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1.000</w:t>
            </w:r>
          </w:p>
        </w:tc>
      </w:tr>
      <w:tr>
        <w:trPr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call rate &gt;=98%, MAF &gt;=5%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6886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0.000073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0.000022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1.000</w:t>
            </w:r>
          </w:p>
        </w:tc>
      </w:tr>
      <w:tr>
        <w:trPr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call rate &gt;=99%, MAF &gt;=5%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6862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0.000111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0.000043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1.000</w:t>
            </w:r>
          </w:p>
        </w:tc>
      </w:tr>
      <w:tr>
        <w:trPr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call rate &gt;=98%, MAF &gt;=10%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6717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0.000073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0.000014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1.000</w:t>
            </w:r>
          </w:p>
        </w:tc>
      </w:tr>
      <w:tr>
        <w:trPr>
          <w:cantSplit/>
        </w:trPr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deterministic fivefold thinning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1457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0.003039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0.000438</w:t>
            </w:r>
          </w:p>
        </w:tc>
        <w:tc>
          <w:tcPr>
            <w:tcW w:type="dxa" w:w="2045"/>
          </w:tcPr>
          <w:p>
            <w:pPr>
              <w:spacing w:before="0" w:after="0"/>
            </w:pPr>
            <w:r>
              <w:rPr>
                <w:sz w:val="16"/>
              </w:rPr>
              <w:t>0.971</w:t>
            </w:r>
          </w:p>
        </w:tc>
      </w:tr>
    </w:tbl>
    <w:p>
      <w:pPr>
        <w:pStyle w:val="Heading1"/>
        <w:keepNext/>
      </w:pPr>
      <w:r>
        <w:t>Supporting methods note</w:t>
      </w:r>
    </w:p>
    <w:p>
      <w:r>
        <w:t>The primary first-degree pruning threshold (&gt;0.177) and the stringent first-plus-second-degree threshold (&gt;0.0884) follow conventional KING-robust boundaries. All relationship pruning was performed within breed because the downstream comparisons are exclusively within breed. The second-degree sensitivity is designed to address residual family clustering, not to redefine the primary eligibility threshold.</w:t>
      </w:r>
    </w:p>
    <w:sectPr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Information - Country-Associated Genomic Differentiation Across Pedigree Cat Breeds</dc:title>
  <dc:subject>Research Square preprint supporting information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