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9C790" w14:textId="77777777" w:rsidR="005E5CF1" w:rsidRDefault="005E5CF1" w:rsidP="005E5CF1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F53C89">
        <w:rPr>
          <w:rFonts w:ascii="Calibri" w:hAnsi="Calibri" w:cs="Calibri"/>
          <w:b/>
          <w:bCs/>
          <w:sz w:val="28"/>
          <w:szCs w:val="28"/>
        </w:rPr>
        <w:t>Cerium–Selenium Co-Substituted Hydroxyapatite Nanoparticles with Enhanced Bio-functional Performance for Bone Substitute Applications</w:t>
      </w:r>
    </w:p>
    <w:p w14:paraId="5EBF63AE" w14:textId="77777777" w:rsidR="005E5CF1" w:rsidRPr="0030744A" w:rsidRDefault="005E5CF1" w:rsidP="005E5CF1">
      <w:pPr>
        <w:spacing w:line="480" w:lineRule="auto"/>
        <w:jc w:val="both"/>
        <w:rPr>
          <w:rFonts w:ascii="Times New Roman" w:eastAsia="Aptos" w:hAnsi="Times New Roman" w:cs="Times New Roman"/>
          <w:b/>
          <w:bCs/>
        </w:rPr>
      </w:pPr>
      <w:r w:rsidRPr="0030744A">
        <w:rPr>
          <w:rFonts w:ascii="Times New Roman" w:eastAsia="Aptos" w:hAnsi="Times New Roman" w:cs="Times New Roman"/>
        </w:rPr>
        <w:t>Asfia Saeed</w:t>
      </w:r>
      <w:r w:rsidRPr="0030744A">
        <w:rPr>
          <w:rFonts w:ascii="Times New Roman" w:eastAsia="Aptos" w:hAnsi="Times New Roman" w:cs="Times New Roman"/>
          <w:vertAlign w:val="superscript"/>
        </w:rPr>
        <w:t>1</w:t>
      </w:r>
      <w:r w:rsidRPr="0030744A">
        <w:rPr>
          <w:rFonts w:ascii="Times New Roman" w:eastAsia="Aptos" w:hAnsi="Times New Roman" w:cs="Times New Roman"/>
        </w:rPr>
        <w:t>, Aalia Khanem</w:t>
      </w:r>
      <w:r w:rsidRPr="0030744A">
        <w:rPr>
          <w:rFonts w:ascii="Times New Roman" w:eastAsia="Aptos" w:hAnsi="Times New Roman" w:cs="Times New Roman"/>
          <w:vertAlign w:val="superscript"/>
        </w:rPr>
        <w:t>2</w:t>
      </w:r>
      <w:r w:rsidRPr="0030744A">
        <w:rPr>
          <w:rFonts w:ascii="Times New Roman" w:eastAsia="Aptos" w:hAnsi="Times New Roman" w:cs="Times New Roman"/>
        </w:rPr>
        <w:t>, Farwa Naqvi</w:t>
      </w:r>
      <w:r>
        <w:rPr>
          <w:rFonts w:ascii="Times New Roman" w:eastAsia="Aptos" w:hAnsi="Times New Roman" w:cs="Times New Roman"/>
          <w:vertAlign w:val="superscript"/>
        </w:rPr>
        <w:t>3</w:t>
      </w:r>
      <w:r w:rsidRPr="0030744A">
        <w:rPr>
          <w:rFonts w:ascii="Times New Roman" w:eastAsia="Aptos" w:hAnsi="Times New Roman" w:cs="Times New Roman"/>
        </w:rPr>
        <w:t>, Maria Khalid</w:t>
      </w:r>
      <w:r>
        <w:rPr>
          <w:rFonts w:ascii="Times New Roman" w:eastAsia="Aptos" w:hAnsi="Times New Roman" w:cs="Times New Roman"/>
          <w:vertAlign w:val="superscript"/>
        </w:rPr>
        <w:t>4</w:t>
      </w:r>
      <w:r w:rsidRPr="00F577F9">
        <w:rPr>
          <w:rFonts w:ascii="Times New Roman" w:eastAsia="Aptos" w:hAnsi="Times New Roman" w:cs="Times New Roman"/>
        </w:rPr>
        <w:t>,</w:t>
      </w:r>
      <w:r>
        <w:rPr>
          <w:rFonts w:ascii="Times New Roman" w:eastAsia="Aptos" w:hAnsi="Times New Roman" w:cs="Times New Roman"/>
        </w:rPr>
        <w:t xml:space="preserve"> </w:t>
      </w:r>
      <w:r w:rsidRPr="0030744A">
        <w:rPr>
          <w:rFonts w:ascii="Times New Roman" w:eastAsia="Aptos" w:hAnsi="Times New Roman" w:cs="Times New Roman"/>
        </w:rPr>
        <w:t>Farhan Younas</w:t>
      </w:r>
      <w:r w:rsidRPr="0030744A">
        <w:rPr>
          <w:rFonts w:ascii="Times New Roman" w:eastAsia="Aptos" w:hAnsi="Times New Roman" w:cs="Times New Roman"/>
          <w:vertAlign w:val="superscript"/>
        </w:rPr>
        <w:t>2</w:t>
      </w:r>
      <w:r w:rsidRPr="0030744A">
        <w:rPr>
          <w:rFonts w:ascii="Times New Roman" w:eastAsia="Aptos" w:hAnsi="Times New Roman" w:cs="Times New Roman"/>
        </w:rPr>
        <w:t>, Almas Jabeen</w:t>
      </w:r>
      <w:r>
        <w:rPr>
          <w:rFonts w:ascii="Times New Roman" w:eastAsia="Aptos" w:hAnsi="Times New Roman" w:cs="Times New Roman"/>
          <w:vertAlign w:val="superscript"/>
        </w:rPr>
        <w:t>3</w:t>
      </w:r>
      <w:r w:rsidRPr="0030744A">
        <w:rPr>
          <w:rFonts w:ascii="Times New Roman" w:eastAsia="Aptos" w:hAnsi="Times New Roman" w:cs="Times New Roman"/>
        </w:rPr>
        <w:t xml:space="preserve">, Muhammad Nawaz </w:t>
      </w:r>
      <w:r w:rsidRPr="0030744A">
        <w:rPr>
          <w:rFonts w:ascii="Times New Roman" w:eastAsia="Aptos" w:hAnsi="Times New Roman" w:cs="Times New Roman"/>
          <w:vertAlign w:val="superscript"/>
        </w:rPr>
        <w:t>5</w:t>
      </w:r>
      <w:r w:rsidRPr="0030744A">
        <w:rPr>
          <w:rFonts w:ascii="Times New Roman" w:eastAsia="Aptos" w:hAnsi="Times New Roman" w:cs="Times New Roman"/>
        </w:rPr>
        <w:t xml:space="preserve"> Talha Nisar</w:t>
      </w:r>
      <w:r w:rsidRPr="0030744A">
        <w:rPr>
          <w:rFonts w:ascii="Times New Roman" w:eastAsia="Aptos" w:hAnsi="Times New Roman" w:cs="Times New Roman"/>
          <w:vertAlign w:val="superscript"/>
        </w:rPr>
        <w:t>6</w:t>
      </w:r>
      <w:r w:rsidRPr="0030744A">
        <w:rPr>
          <w:rFonts w:ascii="Times New Roman" w:eastAsia="Aptos" w:hAnsi="Times New Roman" w:cs="Times New Roman"/>
        </w:rPr>
        <w:t>, Veit Wagner</w:t>
      </w:r>
      <w:r w:rsidRPr="0030744A">
        <w:rPr>
          <w:rFonts w:ascii="Times New Roman" w:eastAsia="Aptos" w:hAnsi="Times New Roman" w:cs="Times New Roman"/>
          <w:vertAlign w:val="superscript"/>
        </w:rPr>
        <w:t>6</w:t>
      </w:r>
      <w:r w:rsidRPr="0030744A">
        <w:rPr>
          <w:rFonts w:ascii="Times New Roman" w:eastAsia="Aptos" w:hAnsi="Times New Roman" w:cs="Times New Roman"/>
        </w:rPr>
        <w:t>, Muhammad Raza Shah</w:t>
      </w:r>
      <w:r>
        <w:rPr>
          <w:rFonts w:ascii="Times New Roman" w:eastAsia="Aptos" w:hAnsi="Times New Roman" w:cs="Times New Roman"/>
          <w:vertAlign w:val="superscript"/>
        </w:rPr>
        <w:t>4</w:t>
      </w:r>
      <w:r w:rsidRPr="0030744A">
        <w:rPr>
          <w:rFonts w:ascii="Times New Roman" w:eastAsia="Aptos" w:hAnsi="Times New Roman" w:cs="Times New Roman"/>
        </w:rPr>
        <w:t>, Ali Haider</w:t>
      </w:r>
      <w:r w:rsidRPr="0030744A">
        <w:rPr>
          <w:rFonts w:ascii="Times New Roman" w:eastAsia="Aptos" w:hAnsi="Times New Roman" w:cs="Times New Roman"/>
          <w:vertAlign w:val="superscript"/>
        </w:rPr>
        <w:t>7</w:t>
      </w:r>
      <w:r w:rsidRPr="0030744A">
        <w:rPr>
          <w:rFonts w:ascii="Times New Roman" w:eastAsia="Aptos" w:hAnsi="Times New Roman" w:cs="Times New Roman"/>
        </w:rPr>
        <w:t>, Abdul Samad Khan</w:t>
      </w:r>
      <w:r w:rsidRPr="0030744A">
        <w:rPr>
          <w:rFonts w:ascii="Times New Roman" w:eastAsia="Aptos" w:hAnsi="Times New Roman" w:cs="Times New Roman"/>
          <w:vertAlign w:val="superscript"/>
        </w:rPr>
        <w:t>8</w:t>
      </w:r>
    </w:p>
    <w:p w14:paraId="6F60035E" w14:textId="77777777" w:rsidR="005E5CF1" w:rsidRPr="0030744A" w:rsidRDefault="005E5CF1" w:rsidP="005E5CF1">
      <w:pPr>
        <w:spacing w:line="480" w:lineRule="auto"/>
        <w:jc w:val="both"/>
        <w:rPr>
          <w:rFonts w:ascii="Times New Roman" w:eastAsia="Aptos" w:hAnsi="Times New Roman" w:cs="Times New Roman"/>
        </w:rPr>
      </w:pPr>
      <w:r w:rsidRPr="0030744A">
        <w:rPr>
          <w:rFonts w:ascii="Times New Roman" w:eastAsia="Aptos" w:hAnsi="Times New Roman" w:cs="Times New Roman"/>
        </w:rPr>
        <w:t>¹ Department of Dental Materials, Shifa College of Dentistry, Shifa Tameer-e-Millat University, Pakistan</w:t>
      </w:r>
    </w:p>
    <w:p w14:paraId="516E2256" w14:textId="77777777" w:rsidR="005E5CF1" w:rsidRPr="0030744A" w:rsidRDefault="005E5CF1" w:rsidP="005E5CF1">
      <w:pPr>
        <w:spacing w:line="480" w:lineRule="auto"/>
        <w:jc w:val="both"/>
        <w:rPr>
          <w:rFonts w:ascii="Times New Roman" w:eastAsia="Aptos" w:hAnsi="Times New Roman" w:cs="Times New Roman"/>
        </w:rPr>
      </w:pPr>
      <w:r w:rsidRPr="0030744A">
        <w:rPr>
          <w:rFonts w:ascii="Times New Roman" w:eastAsia="Aptos" w:hAnsi="Times New Roman" w:cs="Times New Roman"/>
        </w:rPr>
        <w:t>² Center for Interdisciplinary Research in Basic Sciences (CIRBS), International Islamic University, Islamabad, Pakistan</w:t>
      </w:r>
    </w:p>
    <w:p w14:paraId="09281A62" w14:textId="77777777" w:rsidR="005E5CF1" w:rsidRPr="0030744A" w:rsidRDefault="005E5CF1" w:rsidP="005E5CF1">
      <w:pPr>
        <w:spacing w:line="480" w:lineRule="auto"/>
        <w:jc w:val="both"/>
        <w:rPr>
          <w:rFonts w:ascii="Times New Roman" w:eastAsia="Aptos" w:hAnsi="Times New Roman" w:cs="Times New Roman"/>
        </w:rPr>
      </w:pPr>
      <w:r w:rsidRPr="0030744A">
        <w:rPr>
          <w:rFonts w:ascii="Times New Roman" w:eastAsia="Aptos" w:hAnsi="Times New Roman" w:cs="Times New Roman"/>
        </w:rPr>
        <w:t xml:space="preserve">³ Dr. Panjwani Center for Molecular Medicine and Drug Research, International Centre for Chemical and Biological Sciences, University of Karachi, Karachi, 75270, </w:t>
      </w:r>
      <w:r>
        <w:rPr>
          <w:rFonts w:ascii="Times New Roman" w:eastAsia="Aptos" w:hAnsi="Times New Roman" w:cs="Times New Roman"/>
        </w:rPr>
        <w:t>Pakistan</w:t>
      </w:r>
      <w:r w:rsidRPr="0030744A">
        <w:rPr>
          <w:rFonts w:ascii="Times New Roman" w:eastAsia="Aptos" w:hAnsi="Times New Roman" w:cs="Times New Roman"/>
        </w:rPr>
        <w:t xml:space="preserve"> </w:t>
      </w:r>
    </w:p>
    <w:p w14:paraId="6288CC9C" w14:textId="77777777" w:rsidR="005E5CF1" w:rsidRPr="0030744A" w:rsidRDefault="005E5CF1" w:rsidP="005E5CF1">
      <w:pPr>
        <w:spacing w:line="480" w:lineRule="auto"/>
        <w:jc w:val="both"/>
        <w:rPr>
          <w:rFonts w:ascii="Times New Roman" w:eastAsia="Aptos" w:hAnsi="Times New Roman" w:cs="Times New Roman"/>
        </w:rPr>
      </w:pPr>
      <w:r w:rsidRPr="0030744A">
        <w:rPr>
          <w:rFonts w:ascii="Times New Roman" w:eastAsia="Aptos" w:hAnsi="Times New Roman" w:cs="Times New Roman"/>
          <w:vertAlign w:val="superscript"/>
        </w:rPr>
        <w:t>4</w:t>
      </w:r>
      <w:r w:rsidRPr="0030744A">
        <w:rPr>
          <w:rFonts w:ascii="Times New Roman" w:eastAsia="Aptos" w:hAnsi="Times New Roman" w:cs="Times New Roman"/>
        </w:rPr>
        <w:t xml:space="preserve"> </w:t>
      </w:r>
      <w:r w:rsidRPr="00D96F3C">
        <w:rPr>
          <w:rFonts w:ascii="Times New Roman" w:eastAsia="Aptos" w:hAnsi="Times New Roman" w:cs="Times New Roman"/>
        </w:rPr>
        <w:t>HEJ Research Institute of Chemistry, International Center for Chemical and Biological Sciences, University of Karachi, Karachi 75270, Pakistan</w:t>
      </w:r>
    </w:p>
    <w:p w14:paraId="351E608D" w14:textId="77777777" w:rsidR="005E5CF1" w:rsidRPr="0030744A" w:rsidRDefault="005E5CF1" w:rsidP="005E5CF1">
      <w:pPr>
        <w:spacing w:line="480" w:lineRule="auto"/>
        <w:jc w:val="both"/>
        <w:rPr>
          <w:rFonts w:ascii="Times New Roman" w:eastAsia="Aptos" w:hAnsi="Times New Roman" w:cs="Times New Roman"/>
        </w:rPr>
      </w:pPr>
      <w:r w:rsidRPr="0030744A">
        <w:rPr>
          <w:rFonts w:ascii="Times New Roman" w:eastAsia="Aptos" w:hAnsi="Times New Roman" w:cs="Times New Roman"/>
          <w:vertAlign w:val="superscript"/>
        </w:rPr>
        <w:t>5</w:t>
      </w:r>
      <w:r w:rsidRPr="0030744A">
        <w:rPr>
          <w:rFonts w:ascii="Times New Roman" w:eastAsia="Aptos" w:hAnsi="Times New Roman" w:cs="Times New Roman"/>
        </w:rPr>
        <w:t xml:space="preserve"> Department of Nano-Medicine Research, Institute for Research and Medical Consultations (IRMC), Imam Abdulrahman Bin Faisal University, Dammam, Saudi Arabia</w:t>
      </w:r>
    </w:p>
    <w:p w14:paraId="696ADFEE" w14:textId="77777777" w:rsidR="005E5CF1" w:rsidRPr="0030744A" w:rsidRDefault="005E5CF1" w:rsidP="005E5CF1">
      <w:pPr>
        <w:spacing w:line="480" w:lineRule="auto"/>
        <w:jc w:val="both"/>
        <w:rPr>
          <w:rFonts w:ascii="Times New Roman" w:eastAsia="Aptos" w:hAnsi="Times New Roman" w:cs="Times New Roman"/>
        </w:rPr>
      </w:pPr>
      <w:r w:rsidRPr="0030744A">
        <w:rPr>
          <w:rFonts w:ascii="Times New Roman" w:eastAsia="Aptos" w:hAnsi="Times New Roman" w:cs="Times New Roman"/>
          <w:vertAlign w:val="superscript"/>
        </w:rPr>
        <w:t>6</w:t>
      </w:r>
      <w:r>
        <w:rPr>
          <w:rFonts w:ascii="Times New Roman" w:eastAsia="Aptos" w:hAnsi="Times New Roman" w:cs="Times New Roman"/>
          <w:vertAlign w:val="superscript"/>
        </w:rPr>
        <w:t xml:space="preserve"> </w:t>
      </w:r>
      <w:r w:rsidRPr="0030744A">
        <w:rPr>
          <w:rFonts w:ascii="Times New Roman" w:eastAsia="Aptos" w:hAnsi="Times New Roman" w:cs="Times New Roman"/>
        </w:rPr>
        <w:t>School of Science, Constructor University, Campus ring 1, 28759, Bremen, Germany.</w:t>
      </w:r>
    </w:p>
    <w:p w14:paraId="441D9E14" w14:textId="77777777" w:rsidR="005E5CF1" w:rsidRPr="0030744A" w:rsidRDefault="005E5CF1" w:rsidP="005E5CF1">
      <w:pPr>
        <w:spacing w:line="480" w:lineRule="auto"/>
        <w:jc w:val="both"/>
        <w:rPr>
          <w:rFonts w:ascii="Times New Roman" w:eastAsia="Aptos" w:hAnsi="Times New Roman" w:cs="Times New Roman"/>
        </w:rPr>
      </w:pPr>
      <w:r w:rsidRPr="0030744A">
        <w:rPr>
          <w:rFonts w:ascii="Times New Roman" w:eastAsia="Aptos" w:hAnsi="Times New Roman" w:cs="Times New Roman"/>
          <w:vertAlign w:val="superscript"/>
        </w:rPr>
        <w:t>7</w:t>
      </w:r>
      <w:r>
        <w:rPr>
          <w:rFonts w:ascii="Times New Roman" w:eastAsia="Aptos" w:hAnsi="Times New Roman" w:cs="Times New Roman"/>
          <w:vertAlign w:val="superscript"/>
        </w:rPr>
        <w:t xml:space="preserve"> </w:t>
      </w:r>
      <w:r w:rsidRPr="0030744A">
        <w:rPr>
          <w:rFonts w:ascii="Times New Roman" w:eastAsia="Aptos" w:hAnsi="Times New Roman" w:cs="Times New Roman"/>
        </w:rPr>
        <w:t>Department of Chemistry, Quaid-</w:t>
      </w:r>
      <w:proofErr w:type="spellStart"/>
      <w:r w:rsidRPr="0030744A">
        <w:rPr>
          <w:rFonts w:ascii="Times New Roman" w:eastAsia="Aptos" w:hAnsi="Times New Roman" w:cs="Times New Roman"/>
        </w:rPr>
        <w:t>i</w:t>
      </w:r>
      <w:proofErr w:type="spellEnd"/>
      <w:r w:rsidRPr="0030744A">
        <w:rPr>
          <w:rFonts w:ascii="Times New Roman" w:eastAsia="Aptos" w:hAnsi="Times New Roman" w:cs="Times New Roman"/>
        </w:rPr>
        <w:t>-Azam University, Islamabad, Pakistan.</w:t>
      </w:r>
    </w:p>
    <w:p w14:paraId="3F463F54" w14:textId="77777777" w:rsidR="005E5CF1" w:rsidRPr="0030744A" w:rsidRDefault="005E5CF1" w:rsidP="005E5CF1">
      <w:pPr>
        <w:spacing w:line="480" w:lineRule="auto"/>
        <w:jc w:val="both"/>
        <w:rPr>
          <w:rFonts w:ascii="Times New Roman" w:eastAsia="Aptos" w:hAnsi="Times New Roman" w:cs="Times New Roman"/>
        </w:rPr>
      </w:pPr>
      <w:r w:rsidRPr="0030744A">
        <w:rPr>
          <w:rFonts w:ascii="Times New Roman" w:eastAsia="Aptos" w:hAnsi="Times New Roman" w:cs="Times New Roman"/>
          <w:vertAlign w:val="superscript"/>
        </w:rPr>
        <w:t>8</w:t>
      </w:r>
      <w:r w:rsidRPr="0030744A">
        <w:rPr>
          <w:rFonts w:ascii="Times New Roman" w:eastAsia="Aptos" w:hAnsi="Times New Roman" w:cs="Times New Roman"/>
        </w:rPr>
        <w:t xml:space="preserve"> Department of Restorative Dental Sciences, College of Dentistry, Imam Abdulrahman Bin Faisal University, Dammam, Saudi Arabia</w:t>
      </w:r>
    </w:p>
    <w:p w14:paraId="627EB750" w14:textId="77777777" w:rsidR="00186509" w:rsidRDefault="00186509"/>
    <w:p w14:paraId="119646AA" w14:textId="77777777" w:rsidR="00636722" w:rsidRDefault="00636722"/>
    <w:p w14:paraId="1F8357AC" w14:textId="77777777" w:rsidR="003E1F5D" w:rsidRPr="00E35069" w:rsidRDefault="005E5CF1">
      <w:pPr>
        <w:rPr>
          <w:b/>
          <w:bCs/>
        </w:rPr>
      </w:pPr>
      <w:r w:rsidRPr="00E35069">
        <w:rPr>
          <w:b/>
          <w:bCs/>
        </w:rPr>
        <w:lastRenderedPageBreak/>
        <w:t xml:space="preserve">S1. Experimental Details </w:t>
      </w:r>
    </w:p>
    <w:p w14:paraId="1F89615A" w14:textId="159C12A1" w:rsidR="005E5CF1" w:rsidRDefault="005E5CF1">
      <w:r>
        <w:t>XRD</w:t>
      </w:r>
    </w:p>
    <w:p w14:paraId="63663AA3" w14:textId="346E87FB" w:rsidR="005E5CF1" w:rsidRPr="00F53C89" w:rsidRDefault="005E5CF1" w:rsidP="005E5CF1">
      <w:pPr>
        <w:jc w:val="both"/>
        <w:rPr>
          <w:rFonts w:ascii="Calibri" w:hAnsi="Calibri" w:cs="Calibri"/>
        </w:rPr>
      </w:pPr>
      <w:r w:rsidRPr="00F53C89">
        <w:rPr>
          <w:rFonts w:ascii="Calibri" w:hAnsi="Calibri" w:cs="Calibri"/>
        </w:rPr>
        <w:t>X-ray diffraction</w:t>
      </w:r>
      <w:r>
        <w:rPr>
          <w:rFonts w:ascii="Calibri" w:hAnsi="Calibri" w:cs="Calibri"/>
        </w:rPr>
        <w:t xml:space="preserve"> (XRD)</w:t>
      </w:r>
      <w:r w:rsidRPr="00F53C89">
        <w:rPr>
          <w:rFonts w:ascii="Calibri" w:hAnsi="Calibri" w:cs="Calibri"/>
        </w:rPr>
        <w:t xml:space="preserve"> was</w:t>
      </w:r>
      <w:r>
        <w:rPr>
          <w:rFonts w:ascii="Calibri" w:hAnsi="Calibri" w:cs="Calibri"/>
        </w:rPr>
        <w:t xml:space="preserve"> used</w:t>
      </w:r>
      <w:r w:rsidRPr="00F53C89">
        <w:rPr>
          <w:rFonts w:ascii="Calibri" w:hAnsi="Calibri" w:cs="Calibri"/>
        </w:rPr>
        <w:t xml:space="preserve"> to analyze</w:t>
      </w:r>
      <w:r>
        <w:rPr>
          <w:rFonts w:ascii="Calibri" w:hAnsi="Calibri" w:cs="Calibri"/>
        </w:rPr>
        <w:t xml:space="preserve"> the</w:t>
      </w:r>
      <w:r w:rsidRPr="00F53C89">
        <w:rPr>
          <w:rFonts w:ascii="Calibri" w:hAnsi="Calibri" w:cs="Calibri"/>
        </w:rPr>
        <w:t xml:space="preserve"> phase composition, crystallite size, lattice parameters, unit cell volume, lattice strain, and crystallinity of </w:t>
      </w:r>
      <w:r>
        <w:rPr>
          <w:rFonts w:ascii="Calibri" w:hAnsi="Calibri" w:cs="Calibri"/>
        </w:rPr>
        <w:t xml:space="preserve">the </w:t>
      </w:r>
      <w:r w:rsidRPr="00F53C89">
        <w:rPr>
          <w:rFonts w:ascii="Calibri" w:hAnsi="Calibri" w:cs="Calibri"/>
        </w:rPr>
        <w:t>synthesized nanoparticles.</w:t>
      </w:r>
      <w:r w:rsidR="003E1F5D">
        <w:rPr>
          <w:rFonts w:ascii="Calibri" w:hAnsi="Calibri" w:cs="Calibri"/>
        </w:rPr>
        <w:t xml:space="preserve"> </w:t>
      </w:r>
      <w:r w:rsidRPr="00F53C89">
        <w:rPr>
          <w:rFonts w:ascii="Calibri" w:hAnsi="Calibri" w:cs="Calibri"/>
        </w:rPr>
        <w:t xml:space="preserve">The lattice parameter </w:t>
      </w:r>
      <w:r w:rsidRPr="00F53C89">
        <w:rPr>
          <w:rFonts w:ascii="Calibri" w:hAnsi="Calibri" w:cs="Calibri"/>
          <w:b/>
          <w:bCs/>
        </w:rPr>
        <w:t>a</w:t>
      </w:r>
      <w:r w:rsidRPr="00F53C89">
        <w:rPr>
          <w:rFonts w:ascii="Calibri" w:hAnsi="Calibri" w:cs="Calibri"/>
        </w:rPr>
        <w:t xml:space="preserve"> was determined from the </w:t>
      </w:r>
      <w:r w:rsidRPr="00F53C89">
        <w:rPr>
          <w:rFonts w:ascii="Calibri" w:hAnsi="Calibri" w:cs="Calibri"/>
          <w:b/>
          <w:bCs/>
        </w:rPr>
        <w:t>(300)</w:t>
      </w:r>
      <w:r w:rsidRPr="00F53C89">
        <w:rPr>
          <w:rFonts w:ascii="Calibri" w:hAnsi="Calibri" w:cs="Calibri"/>
        </w:rPr>
        <w:t xml:space="preserve"> reflection, while the </w:t>
      </w:r>
      <w:r w:rsidRPr="00F53C89">
        <w:rPr>
          <w:rFonts w:ascii="Calibri" w:hAnsi="Calibri" w:cs="Calibri"/>
          <w:b/>
          <w:bCs/>
        </w:rPr>
        <w:t>c</w:t>
      </w:r>
      <w:r w:rsidRPr="00F53C89">
        <w:rPr>
          <w:rFonts w:ascii="Calibri" w:hAnsi="Calibri" w:cs="Calibri"/>
        </w:rPr>
        <w:t xml:space="preserve"> parameter was calculated using the </w:t>
      </w:r>
      <w:r w:rsidRPr="00F53C89">
        <w:rPr>
          <w:rFonts w:ascii="Calibri" w:hAnsi="Calibri" w:cs="Calibri"/>
          <w:b/>
          <w:bCs/>
        </w:rPr>
        <w:t>(002)</w:t>
      </w:r>
      <w:r w:rsidRPr="00F53C89">
        <w:rPr>
          <w:rFonts w:ascii="Calibri" w:hAnsi="Calibri" w:cs="Calibri"/>
        </w:rPr>
        <w:t xml:space="preserve"> and </w:t>
      </w:r>
      <w:r w:rsidRPr="00F53C89">
        <w:rPr>
          <w:rFonts w:ascii="Calibri" w:hAnsi="Calibri" w:cs="Calibri"/>
          <w:b/>
          <w:bCs/>
        </w:rPr>
        <w:t>(004)</w:t>
      </w:r>
      <w:r w:rsidRPr="00F53C89">
        <w:rPr>
          <w:rFonts w:ascii="Calibri" w:hAnsi="Calibri" w:cs="Calibri"/>
        </w:rPr>
        <w:t xml:space="preserve"> reflections according to the following relation:</w:t>
      </w:r>
    </w:p>
    <w:p w14:paraId="63E46FFB" w14:textId="77777777" w:rsidR="005E5CF1" w:rsidRPr="00F53C89" w:rsidRDefault="00000000" w:rsidP="005E5CF1">
      <w:pPr>
        <w:jc w:val="both"/>
        <w:rPr>
          <w:rFonts w:ascii="Calibri" w:hAnsi="Calibri" w:cs="Calibri"/>
        </w:rPr>
      </w:pPr>
      <m:oMathPara>
        <m:oMath>
          <m:f>
            <m:fPr>
              <m:ctrlPr>
                <w:rPr>
                  <w:rFonts w:ascii="Cambria Math" w:hAnsi="Cambria Math" w:cs="Calibri"/>
                </w:rPr>
              </m:ctrlPr>
            </m:fPr>
            <m:num>
              <m:r>
                <w:rPr>
                  <w:rFonts w:ascii="Cambria Math" w:hAnsi="Cambria Math" w:cs="Calibri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Calibri"/>
                    </w:rPr>
                  </m:ctrlPr>
                </m:sSupPr>
                <m:e>
                  <m:r>
                    <w:rPr>
                      <w:rFonts w:ascii="Cambria Math" w:hAnsi="Cambria Math" w:cs="Calibri"/>
                    </w:rPr>
                    <m:t>d</m:t>
                  </m:r>
                </m:e>
                <m:sup>
                  <m:r>
                    <w:rPr>
                      <w:rFonts w:ascii="Cambria Math" w:hAnsi="Cambria Math" w:cs="Calibri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Calibri"/>
            </w:rPr>
            <m:t>=</m:t>
          </m:r>
          <m:f>
            <m:fPr>
              <m:ctrlPr>
                <w:rPr>
                  <w:rFonts w:ascii="Cambria Math" w:hAnsi="Cambria Math" w:cs="Calibri"/>
                </w:rPr>
              </m:ctrlPr>
            </m:fPr>
            <m:num>
              <m:r>
                <w:rPr>
                  <w:rFonts w:ascii="Cambria Math" w:hAnsi="Cambria Math" w:cs="Calibri"/>
                </w:rPr>
                <m:t>4</m:t>
              </m:r>
            </m:num>
            <m:den>
              <m:r>
                <w:rPr>
                  <w:rFonts w:ascii="Cambria Math" w:hAnsi="Cambria Math" w:cs="Calibri"/>
                </w:rPr>
                <m:t>3</m:t>
              </m:r>
            </m:den>
          </m:f>
          <m:d>
            <m:dPr>
              <m:ctrlPr>
                <w:rPr>
                  <w:rFonts w:ascii="Cambria Math" w:hAnsi="Cambria Math" w:cs="Calibri"/>
                </w:rPr>
              </m:ctrlPr>
            </m:dPr>
            <m:e>
              <m:f>
                <m:fPr>
                  <m:ctrlPr>
                    <w:rPr>
                      <w:rFonts w:ascii="Cambria Math" w:hAnsi="Cambria Math" w:cs="Calibri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Calibri"/>
                        </w:rPr>
                      </m:ctrlPr>
                    </m:sSupPr>
                    <m:e>
                      <m:r>
                        <w:rPr>
                          <w:rFonts w:ascii="Cambria Math" w:hAnsi="Cambria Math" w:cs="Calibri"/>
                        </w:rPr>
                        <m:t>h</m:t>
                      </m:r>
                    </m:e>
                    <m:sup>
                      <m:r>
                        <w:rPr>
                          <w:rFonts w:ascii="Cambria Math" w:hAnsi="Cambria Math" w:cs="Calibri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Calibri"/>
                    </w:rPr>
                    <m:t>+hk+</m:t>
                  </m:r>
                  <m:sSup>
                    <m:sSupPr>
                      <m:ctrlPr>
                        <w:rPr>
                          <w:rFonts w:ascii="Cambria Math" w:hAnsi="Cambria Math" w:cs="Calibri"/>
                        </w:rPr>
                      </m:ctrlPr>
                    </m:sSupPr>
                    <m:e>
                      <m:r>
                        <w:rPr>
                          <w:rFonts w:ascii="Cambria Math" w:hAnsi="Cambria Math" w:cs="Calibri"/>
                        </w:rPr>
                        <m:t>k</m:t>
                      </m:r>
                    </m:e>
                    <m:sup>
                      <m:r>
                        <w:rPr>
                          <w:rFonts w:ascii="Cambria Math" w:hAnsi="Cambria Math" w:cs="Calibri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Calibri"/>
                        </w:rPr>
                      </m:ctrlPr>
                    </m:sSupPr>
                    <m:e>
                      <m:r>
                        <w:rPr>
                          <w:rFonts w:ascii="Cambria Math" w:hAnsi="Cambria Math" w:cs="Calibri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Calibri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hAnsi="Cambria Math" w:cs="Calibri"/>
            </w:rPr>
            <m:t>+</m:t>
          </m:r>
          <m:f>
            <m:fPr>
              <m:ctrlPr>
                <w:rPr>
                  <w:rFonts w:ascii="Cambria Math" w:hAnsi="Cambria Math" w:cs="Calibri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Calibri"/>
                    </w:rPr>
                  </m:ctrlPr>
                </m:sSupPr>
                <m:e>
                  <m:r>
                    <w:rPr>
                      <w:rFonts w:ascii="Cambria Math" w:hAnsi="Cambria Math" w:cs="Calibri"/>
                    </w:rPr>
                    <m:t>l</m:t>
                  </m:r>
                </m:e>
                <m:sup>
                  <m:r>
                    <w:rPr>
                      <w:rFonts w:ascii="Cambria Math" w:hAnsi="Cambria Math" w:cs="Calibri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Calibri"/>
                    </w:rPr>
                  </m:ctrlPr>
                </m:sSupPr>
                <m:e>
                  <m:r>
                    <w:rPr>
                      <w:rFonts w:ascii="Cambria Math" w:hAnsi="Cambria Math" w:cs="Calibri"/>
                    </w:rPr>
                    <m:t>c</m:t>
                  </m:r>
                </m:e>
                <m:sup>
                  <m:r>
                    <w:rPr>
                      <w:rFonts w:ascii="Cambria Math" w:hAnsi="Cambria Math" w:cs="Calibri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 w:cs="Calibri"/>
            </w:rPr>
            <w:br/>
          </m:r>
        </m:oMath>
      </m:oMathPara>
    </w:p>
    <w:p w14:paraId="4DA8D82F" w14:textId="77777777" w:rsidR="005E5CF1" w:rsidRPr="00F53C89" w:rsidRDefault="005E5CF1" w:rsidP="005E5CF1">
      <w:pPr>
        <w:jc w:val="center"/>
        <w:rPr>
          <w:rFonts w:ascii="Calibri" w:hAnsi="Calibri" w:cs="Calibri"/>
          <w:i/>
          <w:iCs/>
        </w:rPr>
      </w:pPr>
      <w:r w:rsidRPr="00F53C89">
        <w:rPr>
          <w:rFonts w:ascii="Calibri" w:hAnsi="Calibri" w:cs="Calibri"/>
          <w:i/>
          <w:iCs/>
        </w:rPr>
        <w:t>Where d is the interplanar spacing and (</w:t>
      </w:r>
      <w:proofErr w:type="spellStart"/>
      <w:r w:rsidRPr="00F53C89">
        <w:rPr>
          <w:rFonts w:ascii="Calibri" w:hAnsi="Calibri" w:cs="Calibri"/>
          <w:i/>
          <w:iCs/>
        </w:rPr>
        <w:t>hkl</w:t>
      </w:r>
      <w:proofErr w:type="spellEnd"/>
      <w:r w:rsidRPr="00F53C89">
        <w:rPr>
          <w:rFonts w:ascii="Calibri" w:hAnsi="Calibri" w:cs="Calibri"/>
          <w:i/>
          <w:iCs/>
        </w:rPr>
        <w:t>) are the Miller indices.</w:t>
      </w:r>
    </w:p>
    <w:p w14:paraId="617A6168" w14:textId="77777777" w:rsidR="005E5CF1" w:rsidRPr="00F53C89" w:rsidRDefault="005E5CF1" w:rsidP="005E5CF1">
      <w:pPr>
        <w:rPr>
          <w:rFonts w:ascii="Calibri" w:hAnsi="Calibri" w:cs="Calibri"/>
          <w:i/>
          <w:iCs/>
        </w:rPr>
      </w:pPr>
      <w:r w:rsidRPr="00F53C89">
        <w:rPr>
          <w:rFonts w:ascii="Calibri" w:hAnsi="Calibri" w:cs="Calibri"/>
        </w:rPr>
        <w:t>The unit cell volume (</w:t>
      </w:r>
      <w:r w:rsidRPr="00F53C89">
        <w:rPr>
          <w:rFonts w:ascii="Calibri" w:hAnsi="Calibri" w:cs="Calibri"/>
          <w:i/>
          <w:iCs/>
        </w:rPr>
        <w:t>V</w:t>
      </w:r>
      <w:r w:rsidRPr="00F53C89">
        <w:rPr>
          <w:rFonts w:ascii="Calibri" w:hAnsi="Calibri" w:cs="Calibri"/>
        </w:rPr>
        <w:t>) was calculated using the expression:</w:t>
      </w:r>
    </w:p>
    <w:p w14:paraId="2EF7C6EC" w14:textId="77777777" w:rsidR="005E5CF1" w:rsidRPr="00F53C89" w:rsidRDefault="005E5CF1" w:rsidP="005E5CF1">
      <w:pPr>
        <w:jc w:val="both"/>
        <w:rPr>
          <w:rFonts w:ascii="Calibri" w:hAnsi="Calibri" w:cs="Calibri"/>
        </w:rPr>
      </w:pPr>
      <m:oMathPara>
        <m:oMath>
          <m:r>
            <w:rPr>
              <w:rFonts w:ascii="Cambria Math" w:hAnsi="Cambria Math" w:cs="Calibri"/>
            </w:rPr>
            <m:t>V=0.866</m:t>
          </m:r>
          <m:r>
            <m:rPr>
              <m:nor/>
            </m:rPr>
            <w:rPr>
              <w:rFonts w:ascii="Calibri" w:hAnsi="Calibri" w:cs="Calibri"/>
            </w:rPr>
            <m:t> </m:t>
          </m:r>
          <m:sSup>
            <m:sSupPr>
              <m:ctrlPr>
                <w:rPr>
                  <w:rFonts w:ascii="Cambria Math" w:hAnsi="Cambria Math" w:cs="Calibri"/>
                </w:rPr>
              </m:ctrlPr>
            </m:sSupPr>
            <m:e>
              <m:r>
                <w:rPr>
                  <w:rFonts w:ascii="Cambria Math" w:hAnsi="Cambria Math" w:cs="Calibri"/>
                </w:rPr>
                <m:t>a</m:t>
              </m:r>
            </m:e>
            <m:sup>
              <m:r>
                <w:rPr>
                  <w:rFonts w:ascii="Cambria Math" w:hAnsi="Cambria Math" w:cs="Calibri"/>
                </w:rPr>
                <m:t>2</m:t>
              </m:r>
            </m:sup>
          </m:sSup>
          <m:r>
            <w:rPr>
              <w:rFonts w:ascii="Cambria Math" w:hAnsi="Cambria Math" w:cs="Calibri"/>
            </w:rPr>
            <m:t>c</m:t>
          </m:r>
          <m:r>
            <m:rPr>
              <m:sty m:val="p"/>
            </m:rPr>
            <w:rPr>
              <w:rFonts w:ascii="Cambria Math" w:hAnsi="Cambria Math" w:cs="Calibri"/>
            </w:rPr>
            <w:br/>
          </m:r>
        </m:oMath>
      </m:oMathPara>
    </w:p>
    <w:p w14:paraId="7297140A" w14:textId="77777777" w:rsidR="005E5CF1" w:rsidRPr="00F53C89" w:rsidRDefault="005E5CF1" w:rsidP="005E5CF1">
      <w:pPr>
        <w:jc w:val="both"/>
        <w:rPr>
          <w:rFonts w:ascii="Calibri" w:hAnsi="Calibri" w:cs="Calibri"/>
        </w:rPr>
      </w:pPr>
      <w:r w:rsidRPr="00F53C89">
        <w:rPr>
          <w:rFonts w:ascii="Calibri" w:hAnsi="Calibri" w:cs="Calibri"/>
        </w:rPr>
        <w:t>To determine the crystallite size, the Debye-Scherrer’s formula was used:</w:t>
      </w:r>
    </w:p>
    <w:p w14:paraId="28E8A857" w14:textId="77777777" w:rsidR="005E5CF1" w:rsidRPr="00F53C89" w:rsidRDefault="005E5CF1" w:rsidP="005E5CF1">
      <w:pPr>
        <w:jc w:val="center"/>
        <w:rPr>
          <w:rFonts w:ascii="Calibri" w:hAnsi="Calibri" w:cs="Calibri"/>
        </w:rPr>
      </w:pPr>
      <w:proofErr w:type="spellStart"/>
      <w:r w:rsidRPr="00F53C89">
        <w:rPr>
          <w:rFonts w:ascii="Calibri" w:hAnsi="Calibri" w:cs="Calibri"/>
        </w:rPr>
        <w:t>Xs</w:t>
      </w:r>
      <w:proofErr w:type="spellEnd"/>
      <w:r w:rsidRPr="00F53C89">
        <w:rPr>
          <w:rFonts w:ascii="Calibri" w:hAnsi="Calibri" w:cs="Calibri"/>
        </w:rPr>
        <w:t xml:space="preserve">=0.94λ​/βcos </w:t>
      </w:r>
      <w:r w:rsidRPr="00F53C89">
        <w:rPr>
          <w:rFonts w:ascii="Calibri" w:hAnsi="Calibri" w:cs="Calibri"/>
          <w:i/>
          <w:iCs/>
        </w:rPr>
        <w:t>θ</w:t>
      </w:r>
    </w:p>
    <w:p w14:paraId="008EC9E1" w14:textId="77777777" w:rsidR="005E5CF1" w:rsidRPr="00F53C89" w:rsidRDefault="005E5CF1" w:rsidP="005E5CF1">
      <w:pPr>
        <w:jc w:val="both"/>
        <w:rPr>
          <w:rFonts w:ascii="Calibri" w:hAnsi="Calibri" w:cs="Calibri"/>
        </w:rPr>
      </w:pPr>
      <w:r w:rsidRPr="00F53C89">
        <w:rPr>
          <w:rFonts w:ascii="Calibri" w:hAnsi="Calibri" w:cs="Calibri"/>
        </w:rPr>
        <w:t xml:space="preserve">Where </w:t>
      </w:r>
      <w:proofErr w:type="spellStart"/>
      <w:r w:rsidRPr="00F53C89">
        <w:rPr>
          <w:rFonts w:ascii="Calibri" w:hAnsi="Calibri" w:cs="Calibri"/>
        </w:rPr>
        <w:t>Xs</w:t>
      </w:r>
      <w:proofErr w:type="spellEnd"/>
      <w:r w:rsidRPr="00F53C89">
        <w:rPr>
          <w:rFonts w:ascii="Calibri" w:hAnsi="Calibri" w:cs="Calibri"/>
        </w:rPr>
        <w:t xml:space="preserve"> is the crystallite size (nm), λ is the wavelength of the X-ray beam, FWHM is the full width at half maximum for the diffraction peak under consideration (rad), and θ is the Bragg angle. Diffraction peaks (002), (211), and (300) were used for calculation, and the average crystallite size was reported. </w:t>
      </w:r>
    </w:p>
    <w:p w14:paraId="00E38007" w14:textId="77777777" w:rsidR="005E5CF1" w:rsidRPr="00F53C89" w:rsidRDefault="005E5CF1" w:rsidP="005E5CF1">
      <w:pPr>
        <w:jc w:val="both"/>
        <w:rPr>
          <w:rFonts w:ascii="Calibri" w:hAnsi="Calibri" w:cs="Calibri"/>
        </w:rPr>
      </w:pPr>
      <w:r w:rsidRPr="00F53C89">
        <w:rPr>
          <w:rFonts w:ascii="Calibri" w:hAnsi="Calibri" w:cs="Calibri"/>
        </w:rPr>
        <w:t>The Williamson–Hall method was applied to determine lattice strain. Crystallinity was reported based on the sharpness of diffraction peaks and FWHM values. Crystallinity was classified as high for FWHM ≤ 0.1°, moderate for 0.1° &lt; FWHM ≤ 0.2°, and low for FWHM &gt; 0.2°.</w:t>
      </w:r>
    </w:p>
    <w:p w14:paraId="5C1EA315" w14:textId="77777777" w:rsidR="005E5CF1" w:rsidRDefault="005E5CF1"/>
    <w:p w14:paraId="45D36D97" w14:textId="77777777" w:rsidR="00E35069" w:rsidRDefault="00E35069"/>
    <w:p w14:paraId="7A2A339D" w14:textId="77777777" w:rsidR="00E35069" w:rsidRDefault="00E35069"/>
    <w:p w14:paraId="04BD9A02" w14:textId="77777777" w:rsidR="00E35069" w:rsidRDefault="00E35069"/>
    <w:p w14:paraId="78C78AC1" w14:textId="77777777" w:rsidR="00E35069" w:rsidRDefault="00E35069"/>
    <w:p w14:paraId="4D4DD228" w14:textId="77777777" w:rsidR="00E35069" w:rsidRDefault="00E35069"/>
    <w:p w14:paraId="10FC4A20" w14:textId="77777777" w:rsidR="00E35069" w:rsidRDefault="00E35069"/>
    <w:p w14:paraId="10AD1E72" w14:textId="3D84213F" w:rsidR="00FB2F1C" w:rsidRPr="00E35069" w:rsidRDefault="00FB2F1C">
      <w:pPr>
        <w:rPr>
          <w:b/>
          <w:bCs/>
        </w:rPr>
      </w:pPr>
      <w:r w:rsidRPr="00E35069">
        <w:rPr>
          <w:b/>
          <w:bCs/>
        </w:rPr>
        <w:lastRenderedPageBreak/>
        <w:t>Figure S1</w:t>
      </w:r>
    </w:p>
    <w:p w14:paraId="745B71A1" w14:textId="56C70DEE" w:rsidR="00A008D1" w:rsidRDefault="00A008D1">
      <w:r>
        <w:rPr>
          <w:noProof/>
        </w:rPr>
        <w:drawing>
          <wp:inline distT="0" distB="0" distL="0" distR="0" wp14:anchorId="26FFD56F" wp14:editId="0A80BD49">
            <wp:extent cx="5943600" cy="4592955"/>
            <wp:effectExtent l="0" t="0" r="0" b="0"/>
            <wp:docPr id="11652755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9AE0C" w14:textId="247F2282" w:rsidR="00A008D1" w:rsidRPr="00DA67DF" w:rsidRDefault="00A008D1" w:rsidP="00A008D1">
      <w:pPr>
        <w:jc w:val="center"/>
        <w:rPr>
          <w:rFonts w:ascii="Calibri" w:hAnsi="Calibri" w:cs="Calibri"/>
          <w:i/>
          <w:iCs/>
          <w:sz w:val="22"/>
          <w:szCs w:val="22"/>
        </w:rPr>
      </w:pPr>
      <w:r w:rsidRPr="00DA67DF">
        <w:rPr>
          <w:rFonts w:ascii="Calibri" w:hAnsi="Calibri" w:cs="Calibri"/>
          <w:i/>
          <w:iCs/>
          <w:sz w:val="22"/>
          <w:szCs w:val="22"/>
        </w:rPr>
        <w:t xml:space="preserve">Figure </w:t>
      </w:r>
      <w:r>
        <w:rPr>
          <w:rFonts w:ascii="Calibri" w:hAnsi="Calibri" w:cs="Calibri"/>
          <w:i/>
          <w:iCs/>
          <w:sz w:val="22"/>
          <w:szCs w:val="22"/>
        </w:rPr>
        <w:t>S1.</w:t>
      </w:r>
      <w:r w:rsidRPr="00DA67DF">
        <w:rPr>
          <w:rFonts w:ascii="Calibri" w:hAnsi="Calibri" w:cs="Calibri"/>
          <w:i/>
          <w:iCs/>
          <w:sz w:val="22"/>
          <w:szCs w:val="22"/>
        </w:rPr>
        <w:t xml:space="preserve"> FTIR spectra of </w:t>
      </w:r>
      <w:proofErr w:type="gramStart"/>
      <w:r>
        <w:rPr>
          <w:rFonts w:ascii="Calibri" w:hAnsi="Calibri" w:cs="Calibri"/>
          <w:i/>
          <w:iCs/>
          <w:sz w:val="22"/>
          <w:szCs w:val="22"/>
        </w:rPr>
        <w:t>as-prepared</w:t>
      </w:r>
      <w:proofErr w:type="gramEnd"/>
      <w:r w:rsidRPr="00DA67DF">
        <w:rPr>
          <w:rFonts w:ascii="Calibri" w:hAnsi="Calibri" w:cs="Calibri"/>
          <w:i/>
          <w:iCs/>
          <w:sz w:val="22"/>
          <w:szCs w:val="22"/>
        </w:rPr>
        <w:t xml:space="preserve"> and calcined Hap, demonstrating increased crystallinity and reduction of adsorbed water upon calcination</w:t>
      </w:r>
    </w:p>
    <w:p w14:paraId="39EA381E" w14:textId="77777777" w:rsidR="00A008D1" w:rsidRDefault="00A008D1"/>
    <w:p w14:paraId="1E346D57" w14:textId="77777777" w:rsidR="00E35069" w:rsidRDefault="00E35069"/>
    <w:p w14:paraId="05030AD4" w14:textId="77777777" w:rsidR="00E35069" w:rsidRDefault="00E35069"/>
    <w:p w14:paraId="3982B26F" w14:textId="77777777" w:rsidR="00E35069" w:rsidRDefault="00E35069"/>
    <w:p w14:paraId="495B3DDE" w14:textId="77777777" w:rsidR="00E35069" w:rsidRDefault="00E35069"/>
    <w:p w14:paraId="4BCC6EE6" w14:textId="77777777" w:rsidR="00E35069" w:rsidRDefault="00E35069"/>
    <w:p w14:paraId="061E8771" w14:textId="77777777" w:rsidR="00E35069" w:rsidRDefault="00E35069"/>
    <w:p w14:paraId="6C405DF4" w14:textId="77777777" w:rsidR="00E35069" w:rsidRDefault="00E35069"/>
    <w:p w14:paraId="119C7C12" w14:textId="402E419F" w:rsidR="00A008D1" w:rsidRPr="00E35069" w:rsidRDefault="00A008D1">
      <w:pPr>
        <w:rPr>
          <w:b/>
          <w:bCs/>
        </w:rPr>
      </w:pPr>
      <w:r w:rsidRPr="00E35069">
        <w:rPr>
          <w:b/>
          <w:bCs/>
        </w:rPr>
        <w:lastRenderedPageBreak/>
        <w:t>Figure S2</w:t>
      </w:r>
    </w:p>
    <w:p w14:paraId="1A6EDB64" w14:textId="77777777" w:rsidR="00A008D1" w:rsidRDefault="00A008D1"/>
    <w:p w14:paraId="20475FAA" w14:textId="1A0048C6" w:rsidR="00A008D1" w:rsidRPr="00645E61" w:rsidRDefault="00A008D1" w:rsidP="00A008D1">
      <w:pPr>
        <w:jc w:val="center"/>
        <w:rPr>
          <w:rFonts w:ascii="Calibri" w:hAnsi="Calibri" w:cs="Calibri"/>
          <w:i/>
          <w:iCs/>
          <w:sz w:val="22"/>
          <w:szCs w:val="22"/>
        </w:rPr>
      </w:pPr>
    </w:p>
    <w:p w14:paraId="3BC3303E" w14:textId="42D6809E" w:rsidR="00A008D1" w:rsidRDefault="00A008D1" w:rsidP="00A008D1">
      <w:pPr>
        <w:jc w:val="center"/>
      </w:pPr>
      <w:r>
        <w:rPr>
          <w:noProof/>
        </w:rPr>
        <w:drawing>
          <wp:inline distT="0" distB="0" distL="0" distR="0" wp14:anchorId="670C63D2" wp14:editId="4C94FB7D">
            <wp:extent cx="4324350" cy="3341669"/>
            <wp:effectExtent l="0" t="0" r="0" b="0"/>
            <wp:docPr id="112046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295" cy="3342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4D14A" w14:textId="03D990CF" w:rsidR="00A008D1" w:rsidRPr="00645E61" w:rsidRDefault="00A008D1" w:rsidP="00A008D1">
      <w:pPr>
        <w:jc w:val="center"/>
        <w:rPr>
          <w:rFonts w:ascii="Calibri" w:hAnsi="Calibri" w:cs="Calibri"/>
          <w:i/>
          <w:iCs/>
          <w:sz w:val="22"/>
          <w:szCs w:val="22"/>
        </w:rPr>
      </w:pPr>
      <w:r w:rsidRPr="00645E61">
        <w:rPr>
          <w:rFonts w:ascii="Calibri" w:hAnsi="Calibri" w:cs="Calibri"/>
          <w:i/>
          <w:iCs/>
          <w:sz w:val="22"/>
          <w:szCs w:val="22"/>
        </w:rPr>
        <w:t xml:space="preserve">Figure </w:t>
      </w:r>
      <w:r>
        <w:rPr>
          <w:rFonts w:ascii="Calibri" w:hAnsi="Calibri" w:cs="Calibri"/>
          <w:i/>
          <w:iCs/>
          <w:sz w:val="22"/>
          <w:szCs w:val="22"/>
        </w:rPr>
        <w:t>S2.</w:t>
      </w:r>
      <w:r w:rsidRPr="00645E61">
        <w:rPr>
          <w:rFonts w:ascii="Calibri" w:hAnsi="Calibri" w:cs="Calibri"/>
          <w:i/>
          <w:iCs/>
          <w:sz w:val="22"/>
          <w:szCs w:val="22"/>
        </w:rPr>
        <w:t xml:space="preserve"> XRD spectrum of synthesized </w:t>
      </w:r>
      <w:r>
        <w:rPr>
          <w:rFonts w:ascii="Calibri" w:hAnsi="Calibri" w:cs="Calibri"/>
          <w:i/>
          <w:iCs/>
          <w:sz w:val="22"/>
          <w:szCs w:val="22"/>
        </w:rPr>
        <w:t xml:space="preserve">pure HA </w:t>
      </w:r>
      <w:r w:rsidRPr="00645E61">
        <w:rPr>
          <w:rFonts w:ascii="Calibri" w:hAnsi="Calibri" w:cs="Calibri"/>
          <w:i/>
          <w:iCs/>
          <w:sz w:val="22"/>
          <w:szCs w:val="22"/>
        </w:rPr>
        <w:t>index against JCPDS 09-0432</w:t>
      </w:r>
    </w:p>
    <w:p w14:paraId="3C6FA2C9" w14:textId="77777777" w:rsidR="00A008D1" w:rsidRDefault="00A008D1" w:rsidP="00A008D1">
      <w:pPr>
        <w:jc w:val="center"/>
      </w:pPr>
    </w:p>
    <w:sectPr w:rsidR="00A00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1E"/>
    <w:rsid w:val="00093813"/>
    <w:rsid w:val="00186509"/>
    <w:rsid w:val="00311546"/>
    <w:rsid w:val="003E1F5D"/>
    <w:rsid w:val="005A2D1E"/>
    <w:rsid w:val="005E5CF1"/>
    <w:rsid w:val="00636722"/>
    <w:rsid w:val="0084351B"/>
    <w:rsid w:val="008B153F"/>
    <w:rsid w:val="009357D2"/>
    <w:rsid w:val="00960DDA"/>
    <w:rsid w:val="00A008D1"/>
    <w:rsid w:val="00B67643"/>
    <w:rsid w:val="00E35069"/>
    <w:rsid w:val="00E84D12"/>
    <w:rsid w:val="00FB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0953F"/>
  <w15:chartTrackingRefBased/>
  <w15:docId w15:val="{C7F8CAB9-4A06-436C-BD03-F0422A794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CF1"/>
  </w:style>
  <w:style w:type="paragraph" w:styleId="Heading1">
    <w:name w:val="heading 1"/>
    <w:basedOn w:val="Normal"/>
    <w:next w:val="Normal"/>
    <w:link w:val="Heading1Char"/>
    <w:uiPriority w:val="9"/>
    <w:qFormat/>
    <w:rsid w:val="005A2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D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Asfia</dc:creator>
  <cp:keywords/>
  <dc:description/>
  <cp:lastModifiedBy>Asfia</cp:lastModifiedBy>
  <cp:revision>7</cp:revision>
  <dcterms:created xsi:type="dcterms:W3CDTF">2026-07-30T05:29:00Z</dcterms:created>
  <dcterms:modified xsi:type="dcterms:W3CDTF">2026-07-30T09:21:00Z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e96cc064-c7a4-4b96-aa1b-0336cd6c90d1</vt:lpwstr>
  </property>
</Properties>
</file>