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928FEB" w14:textId="4DCA934F" w:rsidR="00CA383F" w:rsidRPr="008B11E7" w:rsidRDefault="006F432C" w:rsidP="008B11E7">
      <w:pPr>
        <w:jc w:val="center"/>
        <w:rPr>
          <w:rFonts w:ascii="Arial" w:hAnsi="Arial" w:cs="Arial"/>
          <w:b/>
          <w:bCs/>
          <w:sz w:val="36"/>
          <w:szCs w:val="36"/>
        </w:rPr>
      </w:pPr>
      <w:r>
        <w:rPr>
          <w:rFonts w:ascii="Arial" w:hAnsi="Arial" w:cs="Arial"/>
          <w:b/>
          <w:bCs/>
          <w:sz w:val="36"/>
          <w:szCs w:val="36"/>
        </w:rPr>
        <w:t>SUPPLEMENT</w:t>
      </w:r>
    </w:p>
    <w:p w14:paraId="2E37FD38" w14:textId="77777777" w:rsidR="00200D80" w:rsidRDefault="00200D80" w:rsidP="008B11E7">
      <w:pPr>
        <w:rPr>
          <w:rFonts w:ascii="Arial" w:hAnsi="Arial" w:cs="Arial"/>
          <w:b/>
          <w:bCs/>
          <w:sz w:val="28"/>
          <w:szCs w:val="28"/>
        </w:rPr>
      </w:pPr>
    </w:p>
    <w:p w14:paraId="54D41FDC" w14:textId="77777777" w:rsidR="006C2F09" w:rsidRDefault="006C2F09" w:rsidP="008B11E7">
      <w:pPr>
        <w:rPr>
          <w:rFonts w:ascii="Arial" w:hAnsi="Arial" w:cs="Arial"/>
          <w:b/>
          <w:bCs/>
          <w:sz w:val="28"/>
          <w:szCs w:val="28"/>
        </w:rPr>
      </w:pPr>
    </w:p>
    <w:p w14:paraId="6EEF1EC9" w14:textId="2E8399AF" w:rsidR="00C5026F" w:rsidRDefault="003D5949" w:rsidP="00C5026F">
      <w:pPr>
        <w:spacing w:line="360" w:lineRule="auto"/>
        <w:jc w:val="center"/>
        <w:rPr>
          <w:rFonts w:ascii="Arial" w:hAnsi="Arial" w:cs="Arial"/>
          <w:b/>
          <w:bCs/>
        </w:rPr>
      </w:pPr>
      <w:r w:rsidRPr="003D5949">
        <w:rPr>
          <w:rFonts w:ascii="Arial" w:hAnsi="Arial" w:cs="Arial"/>
          <w:b/>
          <w:bCs/>
        </w:rPr>
        <w:t>Therapeutic Xanthine Oxidase Inhibition in the Management of Stroke and Transient Ischaemic Attack: A Systematic Review</w:t>
      </w:r>
    </w:p>
    <w:p w14:paraId="2A86E833" w14:textId="77777777" w:rsidR="003D5949" w:rsidRPr="00C5026F" w:rsidRDefault="003D5949" w:rsidP="00C5026F">
      <w:pPr>
        <w:spacing w:line="360" w:lineRule="auto"/>
        <w:jc w:val="center"/>
        <w:rPr>
          <w:rFonts w:ascii="Arial" w:hAnsi="Arial" w:cs="Arial"/>
          <w:vertAlign w:val="superscript"/>
        </w:rPr>
      </w:pPr>
    </w:p>
    <w:p w14:paraId="667CF6D5" w14:textId="2B4C0D4E" w:rsidR="00C5026F" w:rsidRPr="00011900" w:rsidRDefault="00C5026F" w:rsidP="00C5026F">
      <w:pPr>
        <w:spacing w:line="360" w:lineRule="auto"/>
        <w:jc w:val="center"/>
        <w:rPr>
          <w:rFonts w:ascii="Arial" w:hAnsi="Arial" w:cs="Arial"/>
          <w:sz w:val="20"/>
          <w:szCs w:val="20"/>
        </w:rPr>
      </w:pPr>
      <w:r w:rsidRPr="00011900">
        <w:rPr>
          <w:rFonts w:ascii="Arial" w:hAnsi="Arial" w:cs="Arial"/>
          <w:sz w:val="20"/>
          <w:szCs w:val="20"/>
        </w:rPr>
        <w:t>Daniel Jesudason, Darren Nguyen, Stephen Bacchi, Timothy Kleinig, Peter J. Psaltis</w:t>
      </w:r>
    </w:p>
    <w:p w14:paraId="204117A0" w14:textId="77777777" w:rsidR="006C2F09" w:rsidRDefault="006C2F09" w:rsidP="008B11E7">
      <w:pPr>
        <w:rPr>
          <w:rFonts w:ascii="Arial" w:hAnsi="Arial" w:cs="Arial"/>
          <w:b/>
          <w:bCs/>
          <w:sz w:val="28"/>
          <w:szCs w:val="28"/>
        </w:rPr>
      </w:pPr>
    </w:p>
    <w:p w14:paraId="73156F4C" w14:textId="77777777" w:rsidR="006C2F09" w:rsidRDefault="006C2F09" w:rsidP="008B11E7">
      <w:pPr>
        <w:rPr>
          <w:rFonts w:ascii="Arial" w:hAnsi="Arial" w:cs="Arial"/>
          <w:b/>
          <w:bCs/>
          <w:sz w:val="28"/>
          <w:szCs w:val="28"/>
        </w:rPr>
      </w:pPr>
    </w:p>
    <w:p w14:paraId="0DFA83EC" w14:textId="77777777" w:rsidR="006C2F09" w:rsidRDefault="006C2F09" w:rsidP="008B11E7">
      <w:pPr>
        <w:rPr>
          <w:rFonts w:ascii="Arial" w:hAnsi="Arial" w:cs="Arial"/>
          <w:b/>
          <w:bCs/>
          <w:sz w:val="28"/>
          <w:szCs w:val="28"/>
        </w:rPr>
      </w:pPr>
    </w:p>
    <w:p w14:paraId="46E657E2" w14:textId="77777777" w:rsidR="006C2F09" w:rsidRDefault="006C2F09" w:rsidP="008B11E7">
      <w:pPr>
        <w:rPr>
          <w:rFonts w:ascii="Arial" w:hAnsi="Arial" w:cs="Arial"/>
          <w:b/>
          <w:bCs/>
          <w:sz w:val="28"/>
          <w:szCs w:val="28"/>
        </w:rPr>
      </w:pPr>
    </w:p>
    <w:p w14:paraId="0F17BA51" w14:textId="77777777" w:rsidR="006C2F09" w:rsidRDefault="006C2F09" w:rsidP="008B11E7">
      <w:pPr>
        <w:rPr>
          <w:rFonts w:ascii="Arial" w:hAnsi="Arial" w:cs="Arial"/>
          <w:b/>
          <w:bCs/>
          <w:sz w:val="28"/>
          <w:szCs w:val="28"/>
        </w:rPr>
      </w:pPr>
    </w:p>
    <w:p w14:paraId="48BB02C5" w14:textId="77777777" w:rsidR="006C2F09" w:rsidRDefault="006C2F09" w:rsidP="008B11E7">
      <w:pPr>
        <w:rPr>
          <w:rFonts w:ascii="Arial" w:hAnsi="Arial" w:cs="Arial"/>
          <w:b/>
          <w:bCs/>
          <w:sz w:val="28"/>
          <w:szCs w:val="28"/>
        </w:rPr>
      </w:pPr>
    </w:p>
    <w:p w14:paraId="6B2630C1" w14:textId="77777777" w:rsidR="006C2F09" w:rsidRDefault="006C2F09" w:rsidP="008B11E7">
      <w:pPr>
        <w:rPr>
          <w:rFonts w:ascii="Arial" w:hAnsi="Arial" w:cs="Arial"/>
          <w:b/>
          <w:bCs/>
          <w:sz w:val="28"/>
          <w:szCs w:val="28"/>
        </w:rPr>
      </w:pPr>
    </w:p>
    <w:p w14:paraId="53EFCACC" w14:textId="77777777" w:rsidR="006C2F09" w:rsidRDefault="006C2F09" w:rsidP="008B11E7">
      <w:pPr>
        <w:rPr>
          <w:rFonts w:ascii="Arial" w:hAnsi="Arial" w:cs="Arial"/>
          <w:b/>
          <w:bCs/>
          <w:sz w:val="28"/>
          <w:szCs w:val="28"/>
        </w:rPr>
      </w:pPr>
    </w:p>
    <w:p w14:paraId="1182D1FA" w14:textId="77777777" w:rsidR="006C2F09" w:rsidRDefault="006C2F09" w:rsidP="008B11E7">
      <w:pPr>
        <w:rPr>
          <w:rFonts w:ascii="Arial" w:hAnsi="Arial" w:cs="Arial"/>
          <w:b/>
          <w:bCs/>
          <w:sz w:val="28"/>
          <w:szCs w:val="28"/>
        </w:rPr>
      </w:pPr>
    </w:p>
    <w:p w14:paraId="348A4E03" w14:textId="77777777" w:rsidR="006C2F09" w:rsidRDefault="006C2F09" w:rsidP="008B11E7">
      <w:pPr>
        <w:rPr>
          <w:rFonts w:ascii="Arial" w:hAnsi="Arial" w:cs="Arial"/>
          <w:b/>
          <w:bCs/>
          <w:sz w:val="28"/>
          <w:szCs w:val="28"/>
        </w:rPr>
      </w:pPr>
    </w:p>
    <w:p w14:paraId="73BA15D1" w14:textId="77777777" w:rsidR="006C2F09" w:rsidRDefault="006C2F09" w:rsidP="008B11E7">
      <w:pPr>
        <w:rPr>
          <w:rFonts w:ascii="Arial" w:hAnsi="Arial" w:cs="Arial"/>
          <w:b/>
          <w:bCs/>
          <w:sz w:val="28"/>
          <w:szCs w:val="28"/>
        </w:rPr>
      </w:pPr>
    </w:p>
    <w:p w14:paraId="73F69891" w14:textId="77777777" w:rsidR="006C2F09" w:rsidRDefault="006C2F09" w:rsidP="008B11E7">
      <w:pPr>
        <w:rPr>
          <w:rFonts w:ascii="Arial" w:hAnsi="Arial" w:cs="Arial"/>
          <w:b/>
          <w:bCs/>
          <w:sz w:val="28"/>
          <w:szCs w:val="28"/>
        </w:rPr>
      </w:pPr>
    </w:p>
    <w:p w14:paraId="21F28B44" w14:textId="77777777" w:rsidR="006C2F09" w:rsidRDefault="006C2F09" w:rsidP="008B11E7">
      <w:pPr>
        <w:rPr>
          <w:rFonts w:ascii="Arial" w:hAnsi="Arial" w:cs="Arial"/>
          <w:b/>
          <w:bCs/>
          <w:sz w:val="28"/>
          <w:szCs w:val="28"/>
        </w:rPr>
      </w:pPr>
    </w:p>
    <w:p w14:paraId="468F7EC5" w14:textId="77777777" w:rsidR="006C2F09" w:rsidRDefault="006C2F09" w:rsidP="008B11E7">
      <w:pPr>
        <w:rPr>
          <w:rFonts w:ascii="Arial" w:hAnsi="Arial" w:cs="Arial"/>
          <w:b/>
          <w:bCs/>
          <w:sz w:val="28"/>
          <w:szCs w:val="28"/>
        </w:rPr>
      </w:pPr>
    </w:p>
    <w:p w14:paraId="1B706249" w14:textId="77777777" w:rsidR="006C2F09" w:rsidRDefault="006C2F09" w:rsidP="008B11E7">
      <w:pPr>
        <w:rPr>
          <w:rFonts w:ascii="Arial" w:hAnsi="Arial" w:cs="Arial"/>
          <w:b/>
          <w:bCs/>
          <w:sz w:val="28"/>
          <w:szCs w:val="28"/>
        </w:rPr>
      </w:pPr>
    </w:p>
    <w:p w14:paraId="17726739" w14:textId="77777777" w:rsidR="006C2F09" w:rsidRDefault="006C2F09" w:rsidP="008B11E7">
      <w:pPr>
        <w:rPr>
          <w:rFonts w:ascii="Arial" w:hAnsi="Arial" w:cs="Arial"/>
          <w:b/>
          <w:bCs/>
          <w:sz w:val="28"/>
          <w:szCs w:val="28"/>
        </w:rPr>
      </w:pPr>
    </w:p>
    <w:p w14:paraId="545E1965" w14:textId="77777777" w:rsidR="006C2F09" w:rsidRDefault="006C2F09" w:rsidP="008B11E7">
      <w:pPr>
        <w:rPr>
          <w:rFonts w:ascii="Arial" w:hAnsi="Arial" w:cs="Arial"/>
          <w:b/>
          <w:bCs/>
          <w:sz w:val="28"/>
          <w:szCs w:val="28"/>
        </w:rPr>
      </w:pPr>
    </w:p>
    <w:p w14:paraId="7BC200C7" w14:textId="77777777" w:rsidR="006C2F09" w:rsidRDefault="006C2F09" w:rsidP="008B11E7">
      <w:pPr>
        <w:rPr>
          <w:rFonts w:ascii="Arial" w:hAnsi="Arial" w:cs="Arial"/>
          <w:b/>
          <w:bCs/>
          <w:sz w:val="28"/>
          <w:szCs w:val="28"/>
        </w:rPr>
      </w:pPr>
    </w:p>
    <w:p w14:paraId="3A20A467" w14:textId="77777777" w:rsidR="006C2F09" w:rsidRDefault="006C2F09" w:rsidP="008B11E7">
      <w:pPr>
        <w:rPr>
          <w:rFonts w:ascii="Arial" w:hAnsi="Arial" w:cs="Arial"/>
          <w:b/>
          <w:bCs/>
          <w:sz w:val="28"/>
          <w:szCs w:val="28"/>
        </w:rPr>
      </w:pPr>
    </w:p>
    <w:p w14:paraId="3D9AB929" w14:textId="77777777" w:rsidR="006C2F09" w:rsidRDefault="006C2F09" w:rsidP="008B11E7">
      <w:pPr>
        <w:rPr>
          <w:rFonts w:ascii="Arial" w:hAnsi="Arial" w:cs="Arial"/>
          <w:b/>
          <w:bCs/>
          <w:sz w:val="28"/>
          <w:szCs w:val="28"/>
        </w:rPr>
      </w:pPr>
    </w:p>
    <w:p w14:paraId="62E1E452" w14:textId="77777777" w:rsidR="006C2F09" w:rsidRDefault="006C2F09" w:rsidP="008B11E7">
      <w:pPr>
        <w:rPr>
          <w:rFonts w:ascii="Arial" w:hAnsi="Arial" w:cs="Arial"/>
          <w:b/>
          <w:bCs/>
          <w:sz w:val="28"/>
          <w:szCs w:val="28"/>
        </w:rPr>
      </w:pPr>
    </w:p>
    <w:p w14:paraId="35C38F28" w14:textId="77777777" w:rsidR="006C2F09" w:rsidRDefault="006C2F09" w:rsidP="008B11E7">
      <w:pPr>
        <w:rPr>
          <w:rFonts w:ascii="Arial" w:hAnsi="Arial" w:cs="Arial"/>
          <w:b/>
          <w:bCs/>
          <w:sz w:val="28"/>
          <w:szCs w:val="28"/>
        </w:rPr>
      </w:pPr>
    </w:p>
    <w:p w14:paraId="058388CA" w14:textId="77777777" w:rsidR="006C2F09" w:rsidRDefault="006C2F09" w:rsidP="008B11E7">
      <w:pPr>
        <w:rPr>
          <w:rFonts w:ascii="Arial" w:hAnsi="Arial" w:cs="Arial"/>
          <w:b/>
          <w:bCs/>
          <w:sz w:val="28"/>
          <w:szCs w:val="28"/>
        </w:rPr>
      </w:pPr>
    </w:p>
    <w:p w14:paraId="4436135A" w14:textId="77777777" w:rsidR="006C2F09" w:rsidRDefault="006C2F09" w:rsidP="008B11E7">
      <w:pPr>
        <w:rPr>
          <w:rFonts w:ascii="Arial" w:hAnsi="Arial" w:cs="Arial"/>
          <w:b/>
          <w:bCs/>
          <w:sz w:val="28"/>
          <w:szCs w:val="28"/>
        </w:rPr>
      </w:pPr>
    </w:p>
    <w:p w14:paraId="0123E2C7" w14:textId="77777777" w:rsidR="006C2F09" w:rsidRDefault="006C2F09" w:rsidP="008B11E7">
      <w:pPr>
        <w:rPr>
          <w:rFonts w:ascii="Arial" w:hAnsi="Arial" w:cs="Arial"/>
          <w:b/>
          <w:bCs/>
          <w:sz w:val="28"/>
          <w:szCs w:val="28"/>
        </w:rPr>
      </w:pPr>
    </w:p>
    <w:p w14:paraId="497B2496" w14:textId="77777777" w:rsidR="006C2F09" w:rsidRDefault="006C2F09" w:rsidP="008B11E7">
      <w:pPr>
        <w:rPr>
          <w:rFonts w:ascii="Arial" w:hAnsi="Arial" w:cs="Arial"/>
          <w:b/>
          <w:bCs/>
          <w:sz w:val="28"/>
          <w:szCs w:val="28"/>
        </w:rPr>
      </w:pPr>
    </w:p>
    <w:p w14:paraId="2BFAFE71" w14:textId="77777777" w:rsidR="006C2F09" w:rsidRDefault="006C2F09" w:rsidP="008B11E7">
      <w:pPr>
        <w:rPr>
          <w:rFonts w:ascii="Arial" w:hAnsi="Arial" w:cs="Arial"/>
          <w:b/>
          <w:bCs/>
          <w:sz w:val="28"/>
          <w:szCs w:val="28"/>
        </w:rPr>
      </w:pPr>
    </w:p>
    <w:p w14:paraId="35A490E4" w14:textId="77777777" w:rsidR="006C2F09" w:rsidRDefault="006C2F09" w:rsidP="008B11E7">
      <w:pPr>
        <w:rPr>
          <w:rFonts w:ascii="Arial" w:hAnsi="Arial" w:cs="Arial"/>
          <w:b/>
          <w:bCs/>
          <w:sz w:val="28"/>
          <w:szCs w:val="28"/>
        </w:rPr>
      </w:pPr>
    </w:p>
    <w:p w14:paraId="03AE0668" w14:textId="77777777" w:rsidR="006C2F09" w:rsidRDefault="006C2F09" w:rsidP="008B11E7">
      <w:pPr>
        <w:rPr>
          <w:rFonts w:ascii="Arial" w:hAnsi="Arial" w:cs="Arial"/>
          <w:b/>
          <w:bCs/>
          <w:sz w:val="28"/>
          <w:szCs w:val="28"/>
        </w:rPr>
      </w:pPr>
    </w:p>
    <w:p w14:paraId="0071C313" w14:textId="77777777" w:rsidR="006C2F09" w:rsidRDefault="006C2F09" w:rsidP="008B11E7">
      <w:pPr>
        <w:rPr>
          <w:rFonts w:ascii="Arial" w:hAnsi="Arial" w:cs="Arial"/>
          <w:b/>
          <w:bCs/>
          <w:sz w:val="28"/>
          <w:szCs w:val="28"/>
        </w:rPr>
      </w:pPr>
    </w:p>
    <w:p w14:paraId="1026052F" w14:textId="77777777" w:rsidR="006C2F09" w:rsidRDefault="006C2F09" w:rsidP="008B11E7">
      <w:pPr>
        <w:rPr>
          <w:rFonts w:ascii="Arial" w:hAnsi="Arial" w:cs="Arial"/>
          <w:b/>
          <w:bCs/>
          <w:sz w:val="28"/>
          <w:szCs w:val="28"/>
        </w:rPr>
      </w:pPr>
    </w:p>
    <w:p w14:paraId="5BBD826E" w14:textId="77777777" w:rsidR="006C2F09" w:rsidRDefault="006C2F09" w:rsidP="008B11E7">
      <w:pPr>
        <w:rPr>
          <w:rFonts w:ascii="Arial" w:hAnsi="Arial" w:cs="Arial"/>
          <w:b/>
          <w:bCs/>
          <w:sz w:val="28"/>
          <w:szCs w:val="28"/>
        </w:rPr>
      </w:pPr>
    </w:p>
    <w:p w14:paraId="4827902C" w14:textId="77777777" w:rsidR="006C2F09" w:rsidRDefault="006C2F09" w:rsidP="008B11E7">
      <w:pPr>
        <w:rPr>
          <w:rFonts w:ascii="Arial" w:hAnsi="Arial" w:cs="Arial"/>
          <w:b/>
          <w:bCs/>
          <w:sz w:val="28"/>
          <w:szCs w:val="28"/>
        </w:rPr>
      </w:pPr>
    </w:p>
    <w:p w14:paraId="24CD6508" w14:textId="77777777" w:rsidR="00713F64" w:rsidRDefault="00713F64" w:rsidP="008B11E7">
      <w:pPr>
        <w:rPr>
          <w:rFonts w:ascii="Arial" w:hAnsi="Arial" w:cs="Arial"/>
          <w:b/>
          <w:bCs/>
          <w:sz w:val="28"/>
          <w:szCs w:val="28"/>
        </w:rPr>
      </w:pPr>
    </w:p>
    <w:p w14:paraId="227C1524" w14:textId="77777777" w:rsidR="006C2F09" w:rsidRPr="008B11E7" w:rsidRDefault="006C2F09" w:rsidP="008B11E7">
      <w:pPr>
        <w:rPr>
          <w:rFonts w:ascii="Arial" w:hAnsi="Arial" w:cs="Arial"/>
          <w:b/>
          <w:bCs/>
          <w:sz w:val="28"/>
          <w:szCs w:val="28"/>
        </w:rPr>
      </w:pPr>
    </w:p>
    <w:p w14:paraId="48EFCD19" w14:textId="6C7B0797" w:rsidR="008B320B" w:rsidRPr="008B11E7" w:rsidRDefault="009267EF" w:rsidP="008B11E7">
      <w:pPr>
        <w:pStyle w:val="ListParagraph"/>
        <w:numPr>
          <w:ilvl w:val="0"/>
          <w:numId w:val="3"/>
        </w:numPr>
        <w:rPr>
          <w:rFonts w:ascii="Arial" w:hAnsi="Arial" w:cs="Arial"/>
          <w:b/>
          <w:bCs/>
        </w:rPr>
      </w:pPr>
      <w:r w:rsidRPr="008B11E7">
        <w:rPr>
          <w:rFonts w:ascii="Arial" w:hAnsi="Arial" w:cs="Arial"/>
          <w:b/>
          <w:bCs/>
        </w:rPr>
        <w:lastRenderedPageBreak/>
        <w:t>FULL SEARCH STRATEGIES</w:t>
      </w:r>
    </w:p>
    <w:p w14:paraId="0A118178" w14:textId="77777777" w:rsidR="00103191" w:rsidRPr="008B11E7" w:rsidRDefault="00103191" w:rsidP="008B11E7">
      <w:pPr>
        <w:rPr>
          <w:rFonts w:ascii="Arial" w:hAnsi="Arial" w:cs="Arial"/>
          <w:sz w:val="20"/>
          <w:szCs w:val="20"/>
        </w:rPr>
      </w:pPr>
    </w:p>
    <w:p w14:paraId="3D33F366" w14:textId="44FEE99E" w:rsidR="000C7B6E" w:rsidRPr="008B11E7" w:rsidRDefault="00B02F7A" w:rsidP="008B11E7">
      <w:pPr>
        <w:rPr>
          <w:rFonts w:ascii="Arial" w:hAnsi="Arial" w:cs="Arial"/>
          <w:sz w:val="20"/>
          <w:szCs w:val="20"/>
        </w:rPr>
      </w:pPr>
      <w:r w:rsidRPr="008B11E7">
        <w:rPr>
          <w:rFonts w:ascii="Arial" w:hAnsi="Arial" w:cs="Arial"/>
          <w:b/>
          <w:bCs/>
          <w:sz w:val="20"/>
          <w:szCs w:val="20"/>
        </w:rPr>
        <w:t>Supplementary Item S1</w:t>
      </w:r>
      <w:r w:rsidR="00FC61D4" w:rsidRPr="008B11E7">
        <w:rPr>
          <w:rFonts w:ascii="Arial" w:hAnsi="Arial" w:cs="Arial"/>
          <w:b/>
          <w:bCs/>
          <w:sz w:val="20"/>
          <w:szCs w:val="20"/>
        </w:rPr>
        <w:t xml:space="preserve">. </w:t>
      </w:r>
      <w:r w:rsidR="00C257D4" w:rsidRPr="008B11E7">
        <w:rPr>
          <w:rFonts w:ascii="Arial" w:hAnsi="Arial" w:cs="Arial"/>
          <w:sz w:val="20"/>
          <w:szCs w:val="20"/>
        </w:rPr>
        <w:t xml:space="preserve">The search strategy utilised for </w:t>
      </w:r>
      <w:r w:rsidR="00B027B2" w:rsidRPr="008B11E7">
        <w:rPr>
          <w:rFonts w:ascii="Arial" w:hAnsi="Arial" w:cs="Arial"/>
          <w:sz w:val="20"/>
          <w:szCs w:val="20"/>
        </w:rPr>
        <w:t xml:space="preserve">the </w:t>
      </w:r>
      <w:r w:rsidR="00DC3A33" w:rsidRPr="008B11E7">
        <w:rPr>
          <w:rFonts w:ascii="Arial" w:hAnsi="Arial" w:cs="Arial"/>
          <w:sz w:val="20"/>
          <w:szCs w:val="20"/>
        </w:rPr>
        <w:t>PubMed database</w:t>
      </w:r>
      <w:r w:rsidR="00C5727B" w:rsidRPr="008B11E7">
        <w:rPr>
          <w:rFonts w:ascii="Arial" w:hAnsi="Arial" w:cs="Arial"/>
          <w:sz w:val="20"/>
          <w:szCs w:val="20"/>
        </w:rPr>
        <w:t xml:space="preserve"> (n=81)</w:t>
      </w:r>
      <w:r w:rsidR="00DC3A33" w:rsidRPr="008B11E7">
        <w:rPr>
          <w:rFonts w:ascii="Arial" w:hAnsi="Arial" w:cs="Arial"/>
          <w:sz w:val="20"/>
          <w:szCs w:val="20"/>
        </w:rPr>
        <w:t xml:space="preserve">. </w:t>
      </w:r>
    </w:p>
    <w:p w14:paraId="569AFBA6" w14:textId="0BD37463" w:rsidR="00E31A66" w:rsidRPr="008B11E7" w:rsidRDefault="00E31A66" w:rsidP="008B11E7">
      <w:pPr>
        <w:spacing w:line="360" w:lineRule="auto"/>
        <w:rPr>
          <w:rFonts w:ascii="Arial" w:hAnsi="Arial" w:cs="Arial"/>
          <w:b/>
          <w:bCs/>
          <w:sz w:val="20"/>
          <w:szCs w:val="20"/>
        </w:rPr>
      </w:pPr>
    </w:p>
    <w:p w14:paraId="6D4F80E2" w14:textId="77777777" w:rsidR="008F2226" w:rsidRPr="00673BE8" w:rsidRDefault="008F2226" w:rsidP="008B11E7">
      <w:pPr>
        <w:spacing w:line="360" w:lineRule="auto"/>
        <w:rPr>
          <w:rFonts w:ascii="Arial" w:hAnsi="Arial" w:cs="Arial"/>
          <w:i/>
          <w:iCs/>
          <w:sz w:val="20"/>
          <w:szCs w:val="20"/>
        </w:rPr>
      </w:pPr>
      <w:r w:rsidRPr="00673BE8">
        <w:rPr>
          <w:rFonts w:ascii="Arial" w:hAnsi="Arial" w:cs="Arial"/>
          <w:i/>
          <w:iCs/>
          <w:sz w:val="20"/>
          <w:szCs w:val="20"/>
        </w:rPr>
        <w:t>("Stroke"[Mesh] OR stroke* OR "cerebrovascular accident*" OR "cerebral infarct*" OR "brain ischemia" OR "intracerebral hemorrhage")</w:t>
      </w:r>
    </w:p>
    <w:p w14:paraId="1E10443B" w14:textId="77777777" w:rsidR="008F2226" w:rsidRPr="00673BE8" w:rsidRDefault="008F2226" w:rsidP="008B11E7">
      <w:pPr>
        <w:spacing w:line="360" w:lineRule="auto"/>
        <w:rPr>
          <w:rFonts w:ascii="Arial" w:hAnsi="Arial" w:cs="Arial"/>
          <w:i/>
          <w:iCs/>
          <w:sz w:val="20"/>
          <w:szCs w:val="20"/>
        </w:rPr>
      </w:pPr>
      <w:r w:rsidRPr="00673BE8">
        <w:rPr>
          <w:rFonts w:ascii="Arial" w:hAnsi="Arial" w:cs="Arial"/>
          <w:i/>
          <w:iCs/>
          <w:sz w:val="20"/>
          <w:szCs w:val="20"/>
        </w:rPr>
        <w:t>AND</w:t>
      </w:r>
    </w:p>
    <w:p w14:paraId="71165516" w14:textId="77777777" w:rsidR="008F2226" w:rsidRPr="00673BE8" w:rsidRDefault="008F2226" w:rsidP="008B11E7">
      <w:pPr>
        <w:spacing w:line="360" w:lineRule="auto"/>
        <w:rPr>
          <w:rFonts w:ascii="Arial" w:hAnsi="Arial" w:cs="Arial"/>
          <w:i/>
          <w:iCs/>
          <w:sz w:val="20"/>
          <w:szCs w:val="20"/>
        </w:rPr>
      </w:pPr>
      <w:r w:rsidRPr="00673BE8">
        <w:rPr>
          <w:rFonts w:ascii="Arial" w:hAnsi="Arial" w:cs="Arial"/>
          <w:i/>
          <w:iCs/>
          <w:sz w:val="20"/>
          <w:szCs w:val="20"/>
        </w:rPr>
        <w:t>("Uric Acid"[Mesh] OR "uric acid" OR "urate" OR hyperuricemi* OR "serum uric acid")</w:t>
      </w:r>
    </w:p>
    <w:p w14:paraId="00CB1C0A" w14:textId="77777777" w:rsidR="008F2226" w:rsidRPr="00673BE8" w:rsidRDefault="008F2226" w:rsidP="008B11E7">
      <w:pPr>
        <w:spacing w:line="360" w:lineRule="auto"/>
        <w:rPr>
          <w:rFonts w:ascii="Arial" w:hAnsi="Arial" w:cs="Arial"/>
          <w:i/>
          <w:iCs/>
          <w:sz w:val="20"/>
          <w:szCs w:val="20"/>
        </w:rPr>
      </w:pPr>
      <w:r w:rsidRPr="00673BE8">
        <w:rPr>
          <w:rFonts w:ascii="Arial" w:hAnsi="Arial" w:cs="Arial"/>
          <w:i/>
          <w:iCs/>
          <w:sz w:val="20"/>
          <w:szCs w:val="20"/>
        </w:rPr>
        <w:t>AND</w:t>
      </w:r>
    </w:p>
    <w:p w14:paraId="0AFF6675" w14:textId="77777777" w:rsidR="008F2226" w:rsidRPr="00673BE8" w:rsidRDefault="008F2226" w:rsidP="008B11E7">
      <w:pPr>
        <w:spacing w:line="360" w:lineRule="auto"/>
        <w:rPr>
          <w:rFonts w:ascii="Arial" w:hAnsi="Arial" w:cs="Arial"/>
          <w:i/>
          <w:iCs/>
          <w:sz w:val="20"/>
          <w:szCs w:val="20"/>
        </w:rPr>
      </w:pPr>
      <w:r w:rsidRPr="00673BE8">
        <w:rPr>
          <w:rFonts w:ascii="Arial" w:hAnsi="Arial" w:cs="Arial"/>
          <w:i/>
          <w:iCs/>
          <w:sz w:val="20"/>
          <w:szCs w:val="20"/>
        </w:rPr>
        <w:t>("Allopurinol"[Mesh] OR allopurinol OR febuxostat OR probenecid OR "xanthine oxidase inhibitor*" OR "uricosuric agent*" OR "uric acid lowering" OR "urate lowering")</w:t>
      </w:r>
    </w:p>
    <w:p w14:paraId="030A3A2D" w14:textId="77777777" w:rsidR="008F2226" w:rsidRPr="00673BE8" w:rsidRDefault="008F2226" w:rsidP="008B11E7">
      <w:pPr>
        <w:spacing w:line="360" w:lineRule="auto"/>
        <w:rPr>
          <w:rFonts w:ascii="Arial" w:hAnsi="Arial" w:cs="Arial"/>
          <w:i/>
          <w:iCs/>
          <w:sz w:val="20"/>
          <w:szCs w:val="20"/>
        </w:rPr>
      </w:pPr>
      <w:r w:rsidRPr="00673BE8">
        <w:rPr>
          <w:rFonts w:ascii="Arial" w:hAnsi="Arial" w:cs="Arial"/>
          <w:i/>
          <w:iCs/>
          <w:sz w:val="20"/>
          <w:szCs w:val="20"/>
        </w:rPr>
        <w:t>AND</w:t>
      </w:r>
    </w:p>
    <w:p w14:paraId="3A667AA5" w14:textId="77777777" w:rsidR="008F2226" w:rsidRPr="00673BE8" w:rsidRDefault="008F2226" w:rsidP="008B11E7">
      <w:pPr>
        <w:spacing w:line="360" w:lineRule="auto"/>
        <w:rPr>
          <w:rFonts w:ascii="Arial" w:hAnsi="Arial" w:cs="Arial"/>
          <w:i/>
          <w:iCs/>
          <w:sz w:val="20"/>
          <w:szCs w:val="20"/>
        </w:rPr>
      </w:pPr>
      <w:r w:rsidRPr="00673BE8">
        <w:rPr>
          <w:rFonts w:ascii="Arial" w:hAnsi="Arial" w:cs="Arial"/>
          <w:i/>
          <w:iCs/>
          <w:sz w:val="20"/>
          <w:szCs w:val="20"/>
        </w:rPr>
        <w:t>(randomized controlled trial[pt] OR randomized[tiab] OR observational[tiab] OR cohort[tiab] OR case-control[tiab] OR trial[tiab])</w:t>
      </w:r>
    </w:p>
    <w:p w14:paraId="05311ECF" w14:textId="77777777" w:rsidR="009F229D" w:rsidRPr="008B11E7" w:rsidRDefault="009F229D" w:rsidP="008B11E7">
      <w:pPr>
        <w:spacing w:line="360" w:lineRule="auto"/>
        <w:rPr>
          <w:rFonts w:ascii="Arial" w:hAnsi="Arial" w:cs="Arial"/>
          <w:sz w:val="20"/>
          <w:szCs w:val="20"/>
        </w:rPr>
      </w:pPr>
    </w:p>
    <w:p w14:paraId="3265099F" w14:textId="38841242" w:rsidR="009F229D" w:rsidRPr="008B11E7" w:rsidRDefault="009F229D" w:rsidP="008B11E7">
      <w:pPr>
        <w:rPr>
          <w:rFonts w:ascii="Arial" w:hAnsi="Arial" w:cs="Arial"/>
          <w:sz w:val="20"/>
          <w:szCs w:val="20"/>
        </w:rPr>
      </w:pPr>
      <w:r w:rsidRPr="008B11E7">
        <w:rPr>
          <w:rFonts w:ascii="Arial" w:hAnsi="Arial" w:cs="Arial"/>
          <w:b/>
          <w:bCs/>
          <w:sz w:val="20"/>
          <w:szCs w:val="20"/>
        </w:rPr>
        <w:t xml:space="preserve">Supplementary Item S2. </w:t>
      </w:r>
      <w:r w:rsidRPr="008B11E7">
        <w:rPr>
          <w:rFonts w:ascii="Arial" w:hAnsi="Arial" w:cs="Arial"/>
          <w:sz w:val="20"/>
          <w:szCs w:val="20"/>
        </w:rPr>
        <w:t xml:space="preserve">The search strategy utilised for the </w:t>
      </w:r>
      <w:r w:rsidR="001B45A9" w:rsidRPr="008B11E7">
        <w:rPr>
          <w:rFonts w:ascii="Arial" w:hAnsi="Arial" w:cs="Arial"/>
          <w:sz w:val="20"/>
          <w:szCs w:val="20"/>
        </w:rPr>
        <w:t>Scopus</w:t>
      </w:r>
      <w:r w:rsidRPr="008B11E7">
        <w:rPr>
          <w:rFonts w:ascii="Arial" w:hAnsi="Arial" w:cs="Arial"/>
          <w:sz w:val="20"/>
          <w:szCs w:val="20"/>
        </w:rPr>
        <w:t xml:space="preserve"> database</w:t>
      </w:r>
      <w:r w:rsidR="00C31267" w:rsidRPr="008B11E7">
        <w:rPr>
          <w:rFonts w:ascii="Arial" w:hAnsi="Arial" w:cs="Arial"/>
          <w:sz w:val="20"/>
          <w:szCs w:val="20"/>
        </w:rPr>
        <w:t xml:space="preserve"> (n=361)</w:t>
      </w:r>
      <w:r w:rsidRPr="008B11E7">
        <w:rPr>
          <w:rFonts w:ascii="Arial" w:hAnsi="Arial" w:cs="Arial"/>
          <w:sz w:val="20"/>
          <w:szCs w:val="20"/>
        </w:rPr>
        <w:t xml:space="preserve">. </w:t>
      </w:r>
    </w:p>
    <w:p w14:paraId="087BE72C" w14:textId="77777777" w:rsidR="008F2226" w:rsidRPr="008B11E7" w:rsidRDefault="008F2226" w:rsidP="008B11E7">
      <w:pPr>
        <w:spacing w:line="360" w:lineRule="auto"/>
        <w:rPr>
          <w:rFonts w:ascii="Arial" w:hAnsi="Arial" w:cs="Arial"/>
          <w:sz w:val="20"/>
          <w:szCs w:val="20"/>
        </w:rPr>
      </w:pPr>
    </w:p>
    <w:p w14:paraId="4B804E3E"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(TITLE-ABS-KEY(stroke* OR "cerebrovascular accident*" OR "cerebral infarct*" OR "brain ischemia" OR "intracerebral hemorrhage"))</w:t>
      </w:r>
    </w:p>
    <w:p w14:paraId="14468BC0"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AND</w:t>
      </w:r>
    </w:p>
    <w:p w14:paraId="716BF573"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(TITLE-ABS-KEY("uric acid" OR urate OR hyperuricemi* OR "serum uric acid"))</w:t>
      </w:r>
    </w:p>
    <w:p w14:paraId="55B43F87"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AND</w:t>
      </w:r>
    </w:p>
    <w:p w14:paraId="7EF5F688"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(TITLE-ABS-KEY(allopurinol OR febuxostat OR probenecid OR "xanthine oxidase inhibitor*" OR "uricosuric agent*" OR "uric acid lowering" OR "urate lowering"))</w:t>
      </w:r>
    </w:p>
    <w:p w14:paraId="3CFFAD1A" w14:textId="77777777" w:rsidR="008F2226" w:rsidRPr="008B11E7" w:rsidRDefault="008F2226" w:rsidP="008B11E7">
      <w:pPr>
        <w:spacing w:line="360" w:lineRule="auto"/>
        <w:rPr>
          <w:rFonts w:ascii="Arial" w:hAnsi="Arial" w:cs="Arial"/>
          <w:i/>
          <w:iCs/>
          <w:sz w:val="20"/>
          <w:szCs w:val="20"/>
        </w:rPr>
      </w:pPr>
    </w:p>
    <w:p w14:paraId="6707400F" w14:textId="314C14B5" w:rsidR="00C2584E" w:rsidRPr="008B11E7" w:rsidRDefault="00C2584E" w:rsidP="008B11E7">
      <w:pPr>
        <w:rPr>
          <w:rFonts w:ascii="Arial" w:hAnsi="Arial" w:cs="Arial"/>
          <w:sz w:val="20"/>
          <w:szCs w:val="20"/>
        </w:rPr>
      </w:pPr>
      <w:r w:rsidRPr="008B11E7">
        <w:rPr>
          <w:rFonts w:ascii="Arial" w:hAnsi="Arial" w:cs="Arial"/>
          <w:b/>
          <w:bCs/>
          <w:sz w:val="20"/>
          <w:szCs w:val="20"/>
        </w:rPr>
        <w:t xml:space="preserve">Supplementary Item </w:t>
      </w:r>
      <w:r w:rsidR="00C82A0F" w:rsidRPr="008B11E7">
        <w:rPr>
          <w:rFonts w:ascii="Arial" w:hAnsi="Arial" w:cs="Arial"/>
          <w:b/>
          <w:bCs/>
          <w:sz w:val="20"/>
          <w:szCs w:val="20"/>
        </w:rPr>
        <w:t>S3</w:t>
      </w:r>
      <w:r w:rsidRPr="008B11E7">
        <w:rPr>
          <w:rFonts w:ascii="Arial" w:hAnsi="Arial" w:cs="Arial"/>
          <w:b/>
          <w:bCs/>
          <w:sz w:val="20"/>
          <w:szCs w:val="20"/>
        </w:rPr>
        <w:t xml:space="preserve">. </w:t>
      </w:r>
      <w:r w:rsidRPr="008B11E7">
        <w:rPr>
          <w:rFonts w:ascii="Arial" w:hAnsi="Arial" w:cs="Arial"/>
          <w:sz w:val="20"/>
          <w:szCs w:val="20"/>
        </w:rPr>
        <w:t xml:space="preserve">The search strategy utilised for the </w:t>
      </w:r>
      <w:r w:rsidR="00A336CD" w:rsidRPr="008B11E7">
        <w:rPr>
          <w:rFonts w:ascii="Arial" w:hAnsi="Arial" w:cs="Arial"/>
          <w:sz w:val="20"/>
          <w:szCs w:val="20"/>
        </w:rPr>
        <w:t>Cochrane CENTRAL</w:t>
      </w:r>
      <w:r w:rsidRPr="008B11E7">
        <w:rPr>
          <w:rFonts w:ascii="Arial" w:hAnsi="Arial" w:cs="Arial"/>
          <w:sz w:val="20"/>
          <w:szCs w:val="20"/>
        </w:rPr>
        <w:t xml:space="preserve"> </w:t>
      </w:r>
      <w:r w:rsidR="003C4272" w:rsidRPr="008B11E7">
        <w:rPr>
          <w:rFonts w:ascii="Arial" w:hAnsi="Arial" w:cs="Arial"/>
          <w:sz w:val="20"/>
          <w:szCs w:val="20"/>
        </w:rPr>
        <w:t>register</w:t>
      </w:r>
      <w:r w:rsidR="00221631" w:rsidRPr="008B11E7">
        <w:rPr>
          <w:rFonts w:ascii="Arial" w:hAnsi="Arial" w:cs="Arial"/>
          <w:sz w:val="20"/>
          <w:szCs w:val="20"/>
        </w:rPr>
        <w:t xml:space="preserve"> (n=130)</w:t>
      </w:r>
      <w:r w:rsidRPr="008B11E7">
        <w:rPr>
          <w:rFonts w:ascii="Arial" w:hAnsi="Arial" w:cs="Arial"/>
          <w:sz w:val="20"/>
          <w:szCs w:val="20"/>
        </w:rPr>
        <w:t xml:space="preserve">. </w:t>
      </w:r>
    </w:p>
    <w:p w14:paraId="2C85FA32" w14:textId="77777777" w:rsidR="00C2584E" w:rsidRPr="008B11E7" w:rsidRDefault="00C2584E" w:rsidP="008B11E7">
      <w:pPr>
        <w:spacing w:line="360" w:lineRule="auto"/>
        <w:rPr>
          <w:rFonts w:ascii="Arial" w:hAnsi="Arial" w:cs="Arial"/>
          <w:i/>
          <w:iCs/>
          <w:sz w:val="20"/>
          <w:szCs w:val="20"/>
        </w:rPr>
      </w:pPr>
    </w:p>
    <w:p w14:paraId="268BFF5E"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(Stroke OR cerebrovascular accident OR cerebral infarction OR brain ischemia OR intracerebral hemorrhage OR intracerebral haemorrhage)</w:t>
      </w:r>
    </w:p>
    <w:p w14:paraId="63D07790"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AND</w:t>
      </w:r>
    </w:p>
    <w:p w14:paraId="4F87B4EA"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(Uric acid OR urate OR hyperuricemia OR hyperuricaemia)</w:t>
      </w:r>
    </w:p>
    <w:p w14:paraId="24345A8A"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AND</w:t>
      </w:r>
    </w:p>
    <w:p w14:paraId="07821855" w14:textId="77777777" w:rsidR="008F2226" w:rsidRPr="008B11E7" w:rsidRDefault="008F2226" w:rsidP="008B11E7">
      <w:pPr>
        <w:spacing w:line="360" w:lineRule="auto"/>
        <w:rPr>
          <w:rFonts w:ascii="Arial" w:hAnsi="Arial" w:cs="Arial"/>
          <w:i/>
          <w:iCs/>
          <w:sz w:val="20"/>
          <w:szCs w:val="20"/>
        </w:rPr>
      </w:pPr>
      <w:r w:rsidRPr="008B11E7">
        <w:rPr>
          <w:rFonts w:ascii="Arial" w:hAnsi="Arial" w:cs="Arial"/>
          <w:i/>
          <w:iCs/>
          <w:sz w:val="20"/>
          <w:szCs w:val="20"/>
        </w:rPr>
        <w:t>(Allopurinol OR febuxostat OR probenecid OR xanthine oxidase inhibitor OR uricosuric agent OR uric acid lowering OR urate lowering)</w:t>
      </w:r>
    </w:p>
    <w:p w14:paraId="13FC2FAE" w14:textId="77777777" w:rsidR="008F2226" w:rsidRDefault="008F2226" w:rsidP="008B11E7">
      <w:pPr>
        <w:rPr>
          <w:rFonts w:ascii="Arial" w:hAnsi="Arial" w:cs="Arial"/>
          <w:b/>
          <w:bCs/>
          <w:sz w:val="20"/>
          <w:szCs w:val="20"/>
        </w:rPr>
      </w:pPr>
    </w:p>
    <w:p w14:paraId="7F5F72A3" w14:textId="77777777" w:rsidR="006C2F09" w:rsidRDefault="006C2F09" w:rsidP="008B11E7">
      <w:pPr>
        <w:rPr>
          <w:rFonts w:ascii="Arial" w:hAnsi="Arial" w:cs="Arial"/>
          <w:b/>
          <w:bCs/>
          <w:sz w:val="20"/>
          <w:szCs w:val="20"/>
        </w:rPr>
      </w:pPr>
    </w:p>
    <w:p w14:paraId="09ED38DA" w14:textId="77777777" w:rsidR="006C2F09" w:rsidRDefault="006C2F09" w:rsidP="008B11E7">
      <w:pPr>
        <w:rPr>
          <w:rFonts w:ascii="Arial" w:hAnsi="Arial" w:cs="Arial"/>
          <w:b/>
          <w:bCs/>
          <w:sz w:val="20"/>
          <w:szCs w:val="20"/>
        </w:rPr>
      </w:pPr>
    </w:p>
    <w:p w14:paraId="6DFD8155" w14:textId="77777777" w:rsidR="006C2F09" w:rsidRPr="008B11E7" w:rsidRDefault="006C2F09" w:rsidP="008B11E7">
      <w:pPr>
        <w:rPr>
          <w:rFonts w:ascii="Arial" w:hAnsi="Arial" w:cs="Arial"/>
          <w:b/>
          <w:bCs/>
          <w:sz w:val="20"/>
          <w:szCs w:val="20"/>
        </w:rPr>
      </w:pPr>
    </w:p>
    <w:p w14:paraId="5667EA94" w14:textId="77777777" w:rsidR="000C7B6E" w:rsidRPr="008B11E7" w:rsidRDefault="000C7B6E" w:rsidP="008B11E7">
      <w:pPr>
        <w:rPr>
          <w:rFonts w:ascii="Arial" w:hAnsi="Arial" w:cs="Arial"/>
          <w:sz w:val="20"/>
          <w:szCs w:val="20"/>
        </w:rPr>
      </w:pPr>
    </w:p>
    <w:p w14:paraId="50AC9A02" w14:textId="77777777" w:rsidR="00897C49" w:rsidRPr="008B11E7" w:rsidRDefault="00897C49" w:rsidP="008B11E7">
      <w:pPr>
        <w:rPr>
          <w:rFonts w:ascii="Arial" w:hAnsi="Arial" w:cs="Arial"/>
          <w:sz w:val="20"/>
          <w:szCs w:val="20"/>
        </w:rPr>
      </w:pPr>
    </w:p>
    <w:p w14:paraId="0DDE2330" w14:textId="77777777" w:rsidR="00897C49" w:rsidRPr="008B11E7" w:rsidRDefault="00897C49" w:rsidP="008B11E7">
      <w:pPr>
        <w:rPr>
          <w:rFonts w:ascii="Arial" w:hAnsi="Arial" w:cs="Arial"/>
          <w:sz w:val="20"/>
          <w:szCs w:val="20"/>
        </w:rPr>
      </w:pPr>
    </w:p>
    <w:p w14:paraId="65A1D041" w14:textId="77777777" w:rsidR="00897C49" w:rsidRPr="008B11E7" w:rsidRDefault="00897C49" w:rsidP="008B11E7">
      <w:pPr>
        <w:rPr>
          <w:rFonts w:ascii="Arial" w:hAnsi="Arial" w:cs="Arial"/>
          <w:sz w:val="20"/>
          <w:szCs w:val="20"/>
        </w:rPr>
      </w:pPr>
    </w:p>
    <w:p w14:paraId="43FC8967" w14:textId="77777777" w:rsidR="00897C49" w:rsidRPr="008B11E7" w:rsidRDefault="00897C49" w:rsidP="008B11E7">
      <w:pPr>
        <w:rPr>
          <w:rFonts w:ascii="Arial" w:hAnsi="Arial" w:cs="Arial"/>
          <w:sz w:val="20"/>
          <w:szCs w:val="20"/>
        </w:rPr>
      </w:pPr>
    </w:p>
    <w:p w14:paraId="301E9BC2" w14:textId="77777777" w:rsidR="00897C49" w:rsidRPr="008B11E7" w:rsidRDefault="00897C49" w:rsidP="008B11E7">
      <w:pPr>
        <w:rPr>
          <w:rFonts w:ascii="Arial" w:hAnsi="Arial" w:cs="Arial"/>
          <w:sz w:val="20"/>
          <w:szCs w:val="20"/>
        </w:rPr>
      </w:pPr>
    </w:p>
    <w:p w14:paraId="3D1D5473" w14:textId="125ED749" w:rsidR="0065642E" w:rsidRPr="008B11E7" w:rsidRDefault="00394298" w:rsidP="008B11E7">
      <w:pPr>
        <w:pStyle w:val="ListParagraph"/>
        <w:numPr>
          <w:ilvl w:val="0"/>
          <w:numId w:val="3"/>
        </w:numPr>
        <w:rPr>
          <w:rFonts w:ascii="Arial" w:hAnsi="Arial" w:cs="Arial"/>
          <w:b/>
          <w:bCs/>
        </w:rPr>
      </w:pPr>
      <w:r w:rsidRPr="008B11E7">
        <w:rPr>
          <w:rFonts w:ascii="Arial" w:hAnsi="Arial" w:cs="Arial"/>
          <w:b/>
          <w:bCs/>
        </w:rPr>
        <w:lastRenderedPageBreak/>
        <w:t>FULL-TEXT SCREENING</w:t>
      </w:r>
      <w:r w:rsidR="009A000F" w:rsidRPr="008B11E7">
        <w:rPr>
          <w:rFonts w:ascii="Arial" w:hAnsi="Arial" w:cs="Arial"/>
          <w:b/>
          <w:bCs/>
        </w:rPr>
        <w:t xml:space="preserve"> AND ELIGIBILITY</w:t>
      </w:r>
    </w:p>
    <w:p w14:paraId="293D8670" w14:textId="77777777" w:rsidR="0065642E" w:rsidRPr="008B11E7" w:rsidRDefault="0065642E" w:rsidP="008B11E7">
      <w:pPr>
        <w:rPr>
          <w:rFonts w:ascii="Arial" w:hAnsi="Arial" w:cs="Arial"/>
          <w:sz w:val="20"/>
          <w:szCs w:val="20"/>
        </w:rPr>
      </w:pPr>
    </w:p>
    <w:p w14:paraId="385B352E" w14:textId="194C2A78" w:rsidR="0065642E" w:rsidRPr="008B11E7" w:rsidRDefault="0065642E" w:rsidP="008B11E7">
      <w:pPr>
        <w:spacing w:line="360" w:lineRule="auto"/>
        <w:rPr>
          <w:rFonts w:ascii="Arial" w:hAnsi="Arial" w:cs="Arial"/>
          <w:sz w:val="20"/>
          <w:szCs w:val="20"/>
        </w:rPr>
      </w:pPr>
      <w:r w:rsidRPr="008B11E7">
        <w:rPr>
          <w:rFonts w:ascii="Arial" w:hAnsi="Arial" w:cs="Arial"/>
          <w:b/>
          <w:bCs/>
          <w:sz w:val="20"/>
          <w:szCs w:val="20"/>
        </w:rPr>
        <w:t xml:space="preserve">Supplementary Item S4. </w:t>
      </w:r>
      <w:r w:rsidR="00052B5B" w:rsidRPr="008B11E7">
        <w:rPr>
          <w:rFonts w:ascii="Arial" w:hAnsi="Arial" w:cs="Arial"/>
          <w:sz w:val="20"/>
          <w:szCs w:val="20"/>
        </w:rPr>
        <w:t xml:space="preserve">A table illustrating all articles that underwent </w:t>
      </w:r>
      <w:r w:rsidR="00A61735" w:rsidRPr="008B11E7">
        <w:rPr>
          <w:rFonts w:ascii="Arial" w:hAnsi="Arial" w:cs="Arial"/>
          <w:sz w:val="20"/>
          <w:szCs w:val="20"/>
        </w:rPr>
        <w:t xml:space="preserve">full-text </w:t>
      </w:r>
      <w:r w:rsidR="009E37BD" w:rsidRPr="008B11E7">
        <w:rPr>
          <w:rFonts w:ascii="Arial" w:hAnsi="Arial" w:cs="Arial"/>
          <w:sz w:val="20"/>
          <w:szCs w:val="20"/>
        </w:rPr>
        <w:t>screening</w:t>
      </w:r>
      <w:r w:rsidR="00A61735" w:rsidRPr="008B11E7">
        <w:rPr>
          <w:rFonts w:ascii="Arial" w:hAnsi="Arial" w:cs="Arial"/>
          <w:sz w:val="20"/>
          <w:szCs w:val="20"/>
        </w:rPr>
        <w:t xml:space="preserve">, </w:t>
      </w:r>
      <w:r w:rsidR="0041569E" w:rsidRPr="008B11E7">
        <w:rPr>
          <w:rFonts w:ascii="Arial" w:hAnsi="Arial" w:cs="Arial"/>
          <w:sz w:val="20"/>
          <w:szCs w:val="20"/>
        </w:rPr>
        <w:t xml:space="preserve">and the corresponding reasons (if applicable) for exclusion from the systematic review. </w:t>
      </w:r>
    </w:p>
    <w:p w14:paraId="7D4E77C6" w14:textId="77777777" w:rsidR="0065642E" w:rsidRPr="008B11E7" w:rsidRDefault="0065642E" w:rsidP="008B11E7">
      <w:pPr>
        <w:spacing w:line="360" w:lineRule="auto"/>
        <w:rPr>
          <w:rFonts w:ascii="Arial" w:hAnsi="Arial" w:cs="Arial"/>
          <w:sz w:val="20"/>
          <w:szCs w:val="20"/>
        </w:rPr>
      </w:pPr>
    </w:p>
    <w:tbl>
      <w:tblPr>
        <w:tblStyle w:val="TableGrid"/>
        <w:tblW w:w="9067" w:type="dxa"/>
        <w:tblLayout w:type="fixed"/>
        <w:tblLook w:val="04A0" w:firstRow="1" w:lastRow="0" w:firstColumn="1" w:lastColumn="0" w:noHBand="0" w:noVBand="1"/>
      </w:tblPr>
      <w:tblGrid>
        <w:gridCol w:w="421"/>
        <w:gridCol w:w="992"/>
        <w:gridCol w:w="956"/>
        <w:gridCol w:w="957"/>
        <w:gridCol w:w="957"/>
        <w:gridCol w:w="957"/>
        <w:gridCol w:w="956"/>
        <w:gridCol w:w="957"/>
        <w:gridCol w:w="957"/>
        <w:gridCol w:w="957"/>
      </w:tblGrid>
      <w:tr w:rsidR="00744A51" w:rsidRPr="008B11E7" w14:paraId="201B113F" w14:textId="77777777" w:rsidTr="008074F7">
        <w:trPr>
          <w:trHeight w:val="552"/>
        </w:trPr>
        <w:tc>
          <w:tcPr>
            <w:tcW w:w="421" w:type="dxa"/>
            <w:noWrap/>
            <w:vAlign w:val="center"/>
            <w:hideMark/>
          </w:tcPr>
          <w:p w14:paraId="702E0601" w14:textId="77777777" w:rsidR="00744A51" w:rsidRPr="008B11E7" w:rsidRDefault="00744A51" w:rsidP="008B11E7">
            <w:pPr>
              <w:jc w:val="center"/>
              <w:rPr>
                <w:rFonts w:ascii="Arial" w:hAnsi="Arial" w:cs="Arial"/>
                <w:b/>
                <w:bCs/>
                <w:sz w:val="13"/>
                <w:szCs w:val="13"/>
              </w:rPr>
            </w:pPr>
            <w:bookmarkStart w:id="0" w:name="RANGE!A1:A16"/>
            <w:r w:rsidRPr="008B11E7">
              <w:rPr>
                <w:rFonts w:ascii="Arial" w:hAnsi="Arial" w:cs="Arial"/>
                <w:b/>
                <w:bCs/>
                <w:sz w:val="13"/>
                <w:szCs w:val="13"/>
              </w:rPr>
              <w:t>#</w:t>
            </w:r>
            <w:bookmarkEnd w:id="0"/>
          </w:p>
        </w:tc>
        <w:tc>
          <w:tcPr>
            <w:tcW w:w="992" w:type="dxa"/>
            <w:noWrap/>
            <w:vAlign w:val="center"/>
            <w:hideMark/>
          </w:tcPr>
          <w:p w14:paraId="30A93D6A" w14:textId="1351D047" w:rsidR="00744A51" w:rsidRPr="008B11E7" w:rsidRDefault="008335A0" w:rsidP="008B11E7">
            <w:pPr>
              <w:jc w:val="center"/>
              <w:rPr>
                <w:rFonts w:ascii="Arial" w:hAnsi="Arial" w:cs="Arial"/>
                <w:b/>
                <w:bCs/>
                <w:sz w:val="13"/>
                <w:szCs w:val="13"/>
              </w:rPr>
            </w:pPr>
            <w:r w:rsidRPr="008B11E7">
              <w:rPr>
                <w:rFonts w:ascii="Arial" w:hAnsi="Arial" w:cs="Arial"/>
                <w:b/>
                <w:bCs/>
                <w:sz w:val="13"/>
                <w:szCs w:val="13"/>
              </w:rPr>
              <w:t>ARTICLE</w:t>
            </w:r>
          </w:p>
        </w:tc>
        <w:tc>
          <w:tcPr>
            <w:tcW w:w="956" w:type="dxa"/>
            <w:noWrap/>
            <w:vAlign w:val="center"/>
            <w:hideMark/>
          </w:tcPr>
          <w:p w14:paraId="67A5D84F" w14:textId="67FF36CB" w:rsidR="00744A51" w:rsidRPr="008B11E7" w:rsidRDefault="00744A51" w:rsidP="008B11E7">
            <w:pPr>
              <w:jc w:val="center"/>
              <w:rPr>
                <w:rFonts w:ascii="Arial" w:hAnsi="Arial" w:cs="Arial"/>
                <w:b/>
                <w:bCs/>
                <w:sz w:val="13"/>
                <w:szCs w:val="13"/>
              </w:rPr>
            </w:pPr>
            <w:r w:rsidRPr="008B11E7">
              <w:rPr>
                <w:rFonts w:ascii="Arial" w:hAnsi="Arial" w:cs="Arial"/>
                <w:b/>
                <w:bCs/>
                <w:sz w:val="13"/>
                <w:szCs w:val="13"/>
              </w:rPr>
              <w:t>ENGLISH</w:t>
            </w:r>
          </w:p>
        </w:tc>
        <w:tc>
          <w:tcPr>
            <w:tcW w:w="957" w:type="dxa"/>
            <w:noWrap/>
            <w:vAlign w:val="center"/>
            <w:hideMark/>
          </w:tcPr>
          <w:p w14:paraId="60682F81" w14:textId="59505263" w:rsidR="00744A51" w:rsidRPr="008B11E7" w:rsidRDefault="00DF4B0C" w:rsidP="008B11E7">
            <w:pPr>
              <w:jc w:val="center"/>
              <w:rPr>
                <w:rFonts w:ascii="Arial" w:hAnsi="Arial" w:cs="Arial"/>
                <w:b/>
                <w:bCs/>
                <w:sz w:val="13"/>
                <w:szCs w:val="13"/>
              </w:rPr>
            </w:pPr>
            <w:r w:rsidRPr="008B11E7">
              <w:rPr>
                <w:rFonts w:ascii="Arial" w:hAnsi="Arial" w:cs="Arial"/>
                <w:b/>
                <w:bCs/>
                <w:sz w:val="13"/>
                <w:szCs w:val="13"/>
              </w:rPr>
              <w:t>FULL-TEXT AVAILABLE</w:t>
            </w:r>
          </w:p>
        </w:tc>
        <w:tc>
          <w:tcPr>
            <w:tcW w:w="957" w:type="dxa"/>
            <w:noWrap/>
            <w:vAlign w:val="center"/>
            <w:hideMark/>
          </w:tcPr>
          <w:p w14:paraId="17F35BC8" w14:textId="1874D7EE" w:rsidR="00744A51" w:rsidRPr="008B11E7" w:rsidRDefault="00DF4B0C" w:rsidP="008B11E7">
            <w:pPr>
              <w:jc w:val="center"/>
              <w:rPr>
                <w:rFonts w:ascii="Arial" w:hAnsi="Arial" w:cs="Arial"/>
                <w:b/>
                <w:bCs/>
                <w:sz w:val="13"/>
                <w:szCs w:val="13"/>
              </w:rPr>
            </w:pPr>
            <w:r w:rsidRPr="008B11E7">
              <w:rPr>
                <w:rFonts w:ascii="Arial" w:hAnsi="Arial" w:cs="Arial"/>
                <w:b/>
                <w:bCs/>
                <w:sz w:val="13"/>
                <w:szCs w:val="13"/>
              </w:rPr>
              <w:t>ORIGINAL</w:t>
            </w:r>
          </w:p>
        </w:tc>
        <w:tc>
          <w:tcPr>
            <w:tcW w:w="957" w:type="dxa"/>
            <w:noWrap/>
            <w:vAlign w:val="center"/>
            <w:hideMark/>
          </w:tcPr>
          <w:p w14:paraId="6E14BB0E" w14:textId="3AD201B5" w:rsidR="00744A51" w:rsidRPr="008B11E7" w:rsidRDefault="00DF4B0C" w:rsidP="008B11E7">
            <w:pPr>
              <w:jc w:val="center"/>
              <w:rPr>
                <w:rFonts w:ascii="Arial" w:hAnsi="Arial" w:cs="Arial"/>
                <w:b/>
                <w:bCs/>
                <w:sz w:val="13"/>
                <w:szCs w:val="13"/>
              </w:rPr>
            </w:pPr>
            <w:r w:rsidRPr="008B11E7">
              <w:rPr>
                <w:rFonts w:ascii="Arial" w:hAnsi="Arial" w:cs="Arial"/>
                <w:b/>
                <w:bCs/>
                <w:sz w:val="13"/>
                <w:szCs w:val="13"/>
              </w:rPr>
              <w:t>POPULATION</w:t>
            </w:r>
          </w:p>
        </w:tc>
        <w:tc>
          <w:tcPr>
            <w:tcW w:w="956" w:type="dxa"/>
            <w:noWrap/>
            <w:vAlign w:val="center"/>
            <w:hideMark/>
          </w:tcPr>
          <w:p w14:paraId="2C58F927" w14:textId="59B1CA08" w:rsidR="00744A51" w:rsidRPr="008B11E7" w:rsidRDefault="00DF4B0C" w:rsidP="008B11E7">
            <w:pPr>
              <w:jc w:val="center"/>
              <w:rPr>
                <w:rFonts w:ascii="Arial" w:hAnsi="Arial" w:cs="Arial"/>
                <w:b/>
                <w:bCs/>
                <w:sz w:val="13"/>
                <w:szCs w:val="13"/>
              </w:rPr>
            </w:pPr>
            <w:r w:rsidRPr="008B11E7">
              <w:rPr>
                <w:rFonts w:ascii="Arial" w:hAnsi="Arial" w:cs="Arial"/>
                <w:b/>
                <w:bCs/>
                <w:sz w:val="13"/>
                <w:szCs w:val="13"/>
              </w:rPr>
              <w:t>INTERVENTION</w:t>
            </w:r>
          </w:p>
        </w:tc>
        <w:tc>
          <w:tcPr>
            <w:tcW w:w="957" w:type="dxa"/>
            <w:noWrap/>
            <w:vAlign w:val="center"/>
            <w:hideMark/>
          </w:tcPr>
          <w:p w14:paraId="6C5B2AC0" w14:textId="34DB960C" w:rsidR="00744A51" w:rsidRPr="008B11E7" w:rsidRDefault="00325300" w:rsidP="008B11E7">
            <w:pPr>
              <w:jc w:val="center"/>
              <w:rPr>
                <w:rFonts w:ascii="Arial" w:hAnsi="Arial" w:cs="Arial"/>
                <w:b/>
                <w:bCs/>
                <w:sz w:val="13"/>
                <w:szCs w:val="13"/>
              </w:rPr>
            </w:pPr>
            <w:r w:rsidRPr="008B11E7">
              <w:rPr>
                <w:rFonts w:ascii="Arial" w:hAnsi="Arial" w:cs="Arial"/>
                <w:b/>
                <w:bCs/>
                <w:sz w:val="13"/>
                <w:szCs w:val="13"/>
              </w:rPr>
              <w:t>O</w:t>
            </w:r>
            <w:r w:rsidR="00E92AEF" w:rsidRPr="008B11E7">
              <w:rPr>
                <w:rFonts w:ascii="Arial" w:hAnsi="Arial" w:cs="Arial"/>
                <w:b/>
                <w:bCs/>
                <w:sz w:val="13"/>
                <w:szCs w:val="13"/>
              </w:rPr>
              <w:t>UTCOME</w:t>
            </w:r>
          </w:p>
        </w:tc>
        <w:tc>
          <w:tcPr>
            <w:tcW w:w="957" w:type="dxa"/>
            <w:noWrap/>
            <w:vAlign w:val="center"/>
            <w:hideMark/>
          </w:tcPr>
          <w:p w14:paraId="008402F0" w14:textId="3DC2D35B" w:rsidR="00744A51" w:rsidRPr="008B11E7" w:rsidRDefault="00744A51" w:rsidP="008B11E7">
            <w:pPr>
              <w:jc w:val="center"/>
              <w:rPr>
                <w:rFonts w:ascii="Arial" w:hAnsi="Arial" w:cs="Arial"/>
                <w:b/>
                <w:bCs/>
                <w:sz w:val="13"/>
                <w:szCs w:val="13"/>
              </w:rPr>
            </w:pPr>
            <w:r w:rsidRPr="008B11E7">
              <w:rPr>
                <w:rFonts w:ascii="Arial" w:hAnsi="Arial" w:cs="Arial"/>
                <w:b/>
                <w:bCs/>
                <w:sz w:val="13"/>
                <w:szCs w:val="13"/>
              </w:rPr>
              <w:t>NON-DUPLICAT</w:t>
            </w:r>
            <w:r w:rsidR="00DD0341" w:rsidRPr="008B11E7">
              <w:rPr>
                <w:rFonts w:ascii="Arial" w:hAnsi="Arial" w:cs="Arial"/>
                <w:b/>
                <w:bCs/>
                <w:sz w:val="13"/>
                <w:szCs w:val="13"/>
              </w:rPr>
              <w:t>E</w:t>
            </w:r>
          </w:p>
        </w:tc>
        <w:tc>
          <w:tcPr>
            <w:tcW w:w="957" w:type="dxa"/>
            <w:noWrap/>
            <w:vAlign w:val="center"/>
            <w:hideMark/>
          </w:tcPr>
          <w:p w14:paraId="0DFC38C8" w14:textId="3B3A3B1D" w:rsidR="00744A51" w:rsidRPr="008B11E7" w:rsidRDefault="00744A51" w:rsidP="008B11E7">
            <w:pPr>
              <w:jc w:val="center"/>
              <w:rPr>
                <w:rFonts w:ascii="Arial" w:hAnsi="Arial" w:cs="Arial"/>
                <w:b/>
                <w:bCs/>
                <w:sz w:val="13"/>
                <w:szCs w:val="13"/>
              </w:rPr>
            </w:pPr>
            <w:r w:rsidRPr="008B11E7">
              <w:rPr>
                <w:rFonts w:ascii="Arial" w:hAnsi="Arial" w:cs="Arial"/>
                <w:b/>
                <w:bCs/>
                <w:sz w:val="13"/>
                <w:szCs w:val="13"/>
              </w:rPr>
              <w:t>INCLUDE</w:t>
            </w:r>
          </w:p>
        </w:tc>
      </w:tr>
      <w:tr w:rsidR="00744A51" w:rsidRPr="008B11E7" w14:paraId="0A90D7DA" w14:textId="77777777" w:rsidTr="008074F7">
        <w:trPr>
          <w:trHeight w:val="552"/>
        </w:trPr>
        <w:tc>
          <w:tcPr>
            <w:tcW w:w="421" w:type="dxa"/>
            <w:noWrap/>
            <w:vAlign w:val="center"/>
            <w:hideMark/>
          </w:tcPr>
          <w:p w14:paraId="49716764"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1</w:t>
            </w:r>
          </w:p>
        </w:tc>
        <w:tc>
          <w:tcPr>
            <w:tcW w:w="992" w:type="dxa"/>
            <w:vAlign w:val="center"/>
            <w:hideMark/>
          </w:tcPr>
          <w:p w14:paraId="1E984870" w14:textId="67642344" w:rsidR="00744A51" w:rsidRPr="008B11E7" w:rsidRDefault="00744A51" w:rsidP="008B11E7">
            <w:pPr>
              <w:jc w:val="center"/>
              <w:rPr>
                <w:rFonts w:ascii="Arial" w:hAnsi="Arial" w:cs="Arial"/>
                <w:sz w:val="15"/>
                <w:szCs w:val="15"/>
              </w:rPr>
            </w:pPr>
            <w:r w:rsidRPr="008B11E7">
              <w:rPr>
                <w:rFonts w:ascii="Arial" w:hAnsi="Arial" w:cs="Arial"/>
                <w:sz w:val="15"/>
                <w:szCs w:val="15"/>
              </w:rPr>
              <w:t>Amaro (2010)</w:t>
            </w:r>
          </w:p>
        </w:tc>
        <w:tc>
          <w:tcPr>
            <w:tcW w:w="956" w:type="dxa"/>
            <w:shd w:val="clear" w:color="auto" w:fill="DDFFDA"/>
            <w:noWrap/>
            <w:vAlign w:val="center"/>
            <w:hideMark/>
          </w:tcPr>
          <w:p w14:paraId="531FB3BF" w14:textId="0CAD347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23F9609" w14:textId="73505FA9"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5C6B7D1B" w14:textId="68E4A5A8"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2AB6A9A" w14:textId="66D07747"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FFB1AE"/>
            <w:noWrap/>
            <w:vAlign w:val="center"/>
            <w:hideMark/>
          </w:tcPr>
          <w:p w14:paraId="25254EBE" w14:textId="14A8D38A"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noWrap/>
            <w:vAlign w:val="center"/>
            <w:hideMark/>
          </w:tcPr>
          <w:p w14:paraId="234A9CBA" w14:textId="26854D78" w:rsidR="00744A51" w:rsidRPr="008B11E7" w:rsidRDefault="00744A51" w:rsidP="008B11E7">
            <w:pPr>
              <w:jc w:val="center"/>
              <w:rPr>
                <w:rFonts w:ascii="Arial" w:hAnsi="Arial" w:cs="Arial"/>
                <w:sz w:val="16"/>
                <w:szCs w:val="16"/>
              </w:rPr>
            </w:pPr>
          </w:p>
        </w:tc>
        <w:tc>
          <w:tcPr>
            <w:tcW w:w="957" w:type="dxa"/>
            <w:noWrap/>
            <w:vAlign w:val="center"/>
            <w:hideMark/>
          </w:tcPr>
          <w:p w14:paraId="006B4CE9" w14:textId="62F9BFBF" w:rsidR="00744A51" w:rsidRPr="008B11E7" w:rsidRDefault="00744A51" w:rsidP="008B11E7">
            <w:pPr>
              <w:jc w:val="center"/>
              <w:rPr>
                <w:rFonts w:ascii="Arial" w:hAnsi="Arial" w:cs="Arial"/>
                <w:sz w:val="16"/>
                <w:szCs w:val="16"/>
              </w:rPr>
            </w:pPr>
          </w:p>
        </w:tc>
        <w:tc>
          <w:tcPr>
            <w:tcW w:w="957" w:type="dxa"/>
            <w:shd w:val="clear" w:color="auto" w:fill="FFB1AE"/>
            <w:noWrap/>
            <w:vAlign w:val="center"/>
            <w:hideMark/>
          </w:tcPr>
          <w:p w14:paraId="4E6B6F12" w14:textId="4DF4FEED"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7F4CE013" w14:textId="77777777" w:rsidTr="008074F7">
        <w:trPr>
          <w:trHeight w:val="552"/>
        </w:trPr>
        <w:tc>
          <w:tcPr>
            <w:tcW w:w="421" w:type="dxa"/>
            <w:noWrap/>
            <w:vAlign w:val="center"/>
            <w:hideMark/>
          </w:tcPr>
          <w:p w14:paraId="71B57AF1"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2</w:t>
            </w:r>
          </w:p>
        </w:tc>
        <w:tc>
          <w:tcPr>
            <w:tcW w:w="992" w:type="dxa"/>
            <w:vAlign w:val="center"/>
            <w:hideMark/>
          </w:tcPr>
          <w:p w14:paraId="5A3A6AF5" w14:textId="45E40735" w:rsidR="00744A51" w:rsidRPr="008B11E7" w:rsidRDefault="00744A51" w:rsidP="008B11E7">
            <w:pPr>
              <w:jc w:val="center"/>
              <w:rPr>
                <w:rFonts w:ascii="Arial" w:hAnsi="Arial" w:cs="Arial"/>
                <w:sz w:val="15"/>
                <w:szCs w:val="15"/>
              </w:rPr>
            </w:pPr>
            <w:r w:rsidRPr="008B11E7">
              <w:rPr>
                <w:rFonts w:ascii="Arial" w:hAnsi="Arial" w:cs="Arial"/>
                <w:sz w:val="15"/>
                <w:szCs w:val="15"/>
              </w:rPr>
              <w:t>Dawson (2009)</w:t>
            </w:r>
          </w:p>
        </w:tc>
        <w:tc>
          <w:tcPr>
            <w:tcW w:w="956" w:type="dxa"/>
            <w:shd w:val="clear" w:color="auto" w:fill="DDFFDA"/>
            <w:noWrap/>
            <w:vAlign w:val="center"/>
            <w:hideMark/>
          </w:tcPr>
          <w:p w14:paraId="0E261924" w14:textId="242B2F23"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669F2F46" w14:textId="5E8A765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3E58F4A" w14:textId="479C14A4"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18B6AADB" w14:textId="64B2045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32C5440A" w14:textId="3F3098CB"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54CFFB1D" w14:textId="482E7B0E"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9E16C50" w14:textId="6C81141E"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776454A" w14:textId="6CD4DA3D"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r>
      <w:tr w:rsidR="00744A51" w:rsidRPr="008B11E7" w14:paraId="237FFC9B" w14:textId="77777777" w:rsidTr="008074F7">
        <w:trPr>
          <w:trHeight w:val="552"/>
        </w:trPr>
        <w:tc>
          <w:tcPr>
            <w:tcW w:w="421" w:type="dxa"/>
            <w:noWrap/>
            <w:vAlign w:val="center"/>
            <w:hideMark/>
          </w:tcPr>
          <w:p w14:paraId="433D41F2"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3</w:t>
            </w:r>
          </w:p>
        </w:tc>
        <w:tc>
          <w:tcPr>
            <w:tcW w:w="992" w:type="dxa"/>
            <w:vAlign w:val="center"/>
            <w:hideMark/>
          </w:tcPr>
          <w:p w14:paraId="2017C34C" w14:textId="0B2996E9" w:rsidR="00744A51" w:rsidRPr="008B11E7" w:rsidRDefault="00744A51" w:rsidP="008B11E7">
            <w:pPr>
              <w:jc w:val="center"/>
              <w:rPr>
                <w:rFonts w:ascii="Arial" w:hAnsi="Arial" w:cs="Arial"/>
                <w:sz w:val="15"/>
                <w:szCs w:val="15"/>
              </w:rPr>
            </w:pPr>
            <w:r w:rsidRPr="008B11E7">
              <w:rPr>
                <w:rFonts w:ascii="Arial" w:hAnsi="Arial" w:cs="Arial"/>
                <w:sz w:val="15"/>
                <w:szCs w:val="15"/>
              </w:rPr>
              <w:t>Ganji (2021)</w:t>
            </w:r>
          </w:p>
        </w:tc>
        <w:tc>
          <w:tcPr>
            <w:tcW w:w="956" w:type="dxa"/>
            <w:shd w:val="clear" w:color="auto" w:fill="DDFFDA"/>
            <w:noWrap/>
            <w:vAlign w:val="center"/>
            <w:hideMark/>
          </w:tcPr>
          <w:p w14:paraId="4AAC010B" w14:textId="5E913B67"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3B0D2F2" w14:textId="25172A29"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7199607B" w14:textId="4CB6DA5D"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4175555" w14:textId="4F1C1094"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FFB1AE"/>
            <w:noWrap/>
            <w:vAlign w:val="center"/>
            <w:hideMark/>
          </w:tcPr>
          <w:p w14:paraId="2E316117" w14:textId="71A2E5BE"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noWrap/>
            <w:vAlign w:val="center"/>
            <w:hideMark/>
          </w:tcPr>
          <w:p w14:paraId="37668693" w14:textId="3B478275" w:rsidR="00744A51" w:rsidRPr="008B11E7" w:rsidRDefault="00744A51" w:rsidP="008B11E7">
            <w:pPr>
              <w:jc w:val="center"/>
              <w:rPr>
                <w:rFonts w:ascii="Arial" w:hAnsi="Arial" w:cs="Arial"/>
                <w:sz w:val="16"/>
                <w:szCs w:val="16"/>
              </w:rPr>
            </w:pPr>
          </w:p>
        </w:tc>
        <w:tc>
          <w:tcPr>
            <w:tcW w:w="957" w:type="dxa"/>
            <w:noWrap/>
            <w:vAlign w:val="center"/>
            <w:hideMark/>
          </w:tcPr>
          <w:p w14:paraId="7345795C" w14:textId="41649407" w:rsidR="00744A51" w:rsidRPr="008B11E7" w:rsidRDefault="00744A51" w:rsidP="008B11E7">
            <w:pPr>
              <w:jc w:val="center"/>
              <w:rPr>
                <w:rFonts w:ascii="Arial" w:hAnsi="Arial" w:cs="Arial"/>
                <w:sz w:val="16"/>
                <w:szCs w:val="16"/>
              </w:rPr>
            </w:pPr>
          </w:p>
        </w:tc>
        <w:tc>
          <w:tcPr>
            <w:tcW w:w="957" w:type="dxa"/>
            <w:shd w:val="clear" w:color="auto" w:fill="FFB1AE"/>
            <w:noWrap/>
            <w:vAlign w:val="center"/>
            <w:hideMark/>
          </w:tcPr>
          <w:p w14:paraId="7F24027A" w14:textId="748424AA"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78184EAC" w14:textId="77777777" w:rsidTr="008074F7">
        <w:trPr>
          <w:trHeight w:val="552"/>
        </w:trPr>
        <w:tc>
          <w:tcPr>
            <w:tcW w:w="421" w:type="dxa"/>
            <w:noWrap/>
            <w:vAlign w:val="center"/>
            <w:hideMark/>
          </w:tcPr>
          <w:p w14:paraId="000A8A93"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4</w:t>
            </w:r>
          </w:p>
        </w:tc>
        <w:tc>
          <w:tcPr>
            <w:tcW w:w="992" w:type="dxa"/>
            <w:vAlign w:val="center"/>
            <w:hideMark/>
          </w:tcPr>
          <w:p w14:paraId="2F72C8B9" w14:textId="201620FD" w:rsidR="00744A51" w:rsidRPr="008B11E7" w:rsidRDefault="00744A51" w:rsidP="008B11E7">
            <w:pPr>
              <w:jc w:val="center"/>
              <w:rPr>
                <w:rFonts w:ascii="Arial" w:hAnsi="Arial" w:cs="Arial"/>
                <w:sz w:val="15"/>
                <w:szCs w:val="15"/>
              </w:rPr>
            </w:pPr>
            <w:r w:rsidRPr="008B11E7">
              <w:rPr>
                <w:rFonts w:ascii="Arial" w:hAnsi="Arial" w:cs="Arial"/>
                <w:sz w:val="15"/>
                <w:szCs w:val="15"/>
              </w:rPr>
              <w:t>Higgins (2014)</w:t>
            </w:r>
          </w:p>
        </w:tc>
        <w:tc>
          <w:tcPr>
            <w:tcW w:w="956" w:type="dxa"/>
            <w:shd w:val="clear" w:color="auto" w:fill="DDFFDA"/>
            <w:noWrap/>
            <w:vAlign w:val="center"/>
            <w:hideMark/>
          </w:tcPr>
          <w:p w14:paraId="618B3833" w14:textId="16CDA623"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34F7DF95" w14:textId="2FEF04F3"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44935EA" w14:textId="5C3DBBA7"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7A6233B" w14:textId="1E1663F7"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2BA26461" w14:textId="657C84EF"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FF19DD4" w14:textId="51E7FC2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3409785" w14:textId="4828387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7AF3DAA8" w14:textId="3C81F3A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r>
      <w:tr w:rsidR="00744A51" w:rsidRPr="008B11E7" w14:paraId="50F45508" w14:textId="77777777" w:rsidTr="008074F7">
        <w:trPr>
          <w:trHeight w:val="552"/>
        </w:trPr>
        <w:tc>
          <w:tcPr>
            <w:tcW w:w="421" w:type="dxa"/>
            <w:noWrap/>
            <w:vAlign w:val="center"/>
            <w:hideMark/>
          </w:tcPr>
          <w:p w14:paraId="578F0F0C"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5</w:t>
            </w:r>
          </w:p>
        </w:tc>
        <w:tc>
          <w:tcPr>
            <w:tcW w:w="992" w:type="dxa"/>
            <w:vAlign w:val="center"/>
            <w:hideMark/>
          </w:tcPr>
          <w:p w14:paraId="26413539" w14:textId="09DFA254" w:rsidR="00744A51" w:rsidRPr="008B11E7" w:rsidRDefault="00744A51" w:rsidP="008B11E7">
            <w:pPr>
              <w:jc w:val="center"/>
              <w:rPr>
                <w:rFonts w:ascii="Arial" w:hAnsi="Arial" w:cs="Arial"/>
                <w:sz w:val="15"/>
                <w:szCs w:val="15"/>
              </w:rPr>
            </w:pPr>
            <w:r w:rsidRPr="008B11E7">
              <w:rPr>
                <w:rFonts w:ascii="Arial" w:hAnsi="Arial" w:cs="Arial"/>
                <w:sz w:val="15"/>
                <w:szCs w:val="15"/>
              </w:rPr>
              <w:t>Khan (2008)</w:t>
            </w:r>
          </w:p>
        </w:tc>
        <w:tc>
          <w:tcPr>
            <w:tcW w:w="956" w:type="dxa"/>
            <w:shd w:val="clear" w:color="auto" w:fill="DDFFDA"/>
            <w:noWrap/>
            <w:vAlign w:val="center"/>
            <w:hideMark/>
          </w:tcPr>
          <w:p w14:paraId="2EA39AD5" w14:textId="433A414E"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5577B006" w14:textId="6313C56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6BA8BD6E" w14:textId="22307958"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3780A57" w14:textId="3558EB0B"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6F317C4D" w14:textId="6FCC1541"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587A87DD" w14:textId="6CCD910A"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6FBB06B8" w14:textId="7551CFD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30C7BC0" w14:textId="59456E01"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r>
      <w:tr w:rsidR="00744A51" w:rsidRPr="008B11E7" w14:paraId="7DFE1043" w14:textId="77777777" w:rsidTr="008074F7">
        <w:trPr>
          <w:trHeight w:val="552"/>
        </w:trPr>
        <w:tc>
          <w:tcPr>
            <w:tcW w:w="421" w:type="dxa"/>
            <w:noWrap/>
            <w:vAlign w:val="center"/>
            <w:hideMark/>
          </w:tcPr>
          <w:p w14:paraId="486EFD68"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6</w:t>
            </w:r>
          </w:p>
        </w:tc>
        <w:tc>
          <w:tcPr>
            <w:tcW w:w="992" w:type="dxa"/>
            <w:vAlign w:val="center"/>
            <w:hideMark/>
          </w:tcPr>
          <w:p w14:paraId="64FC4F07" w14:textId="2CC6C82F" w:rsidR="00744A51" w:rsidRPr="008B11E7" w:rsidRDefault="00744A51" w:rsidP="008B11E7">
            <w:pPr>
              <w:jc w:val="center"/>
              <w:rPr>
                <w:rFonts w:ascii="Arial" w:hAnsi="Arial" w:cs="Arial"/>
                <w:sz w:val="15"/>
                <w:szCs w:val="15"/>
              </w:rPr>
            </w:pPr>
            <w:r w:rsidRPr="008B11E7">
              <w:rPr>
                <w:rFonts w:ascii="Arial" w:hAnsi="Arial" w:cs="Arial"/>
                <w:sz w:val="15"/>
                <w:szCs w:val="15"/>
              </w:rPr>
              <w:t>Li (2021)</w:t>
            </w:r>
          </w:p>
        </w:tc>
        <w:tc>
          <w:tcPr>
            <w:tcW w:w="956" w:type="dxa"/>
            <w:shd w:val="clear" w:color="auto" w:fill="DDFFDA"/>
            <w:noWrap/>
            <w:vAlign w:val="center"/>
            <w:hideMark/>
          </w:tcPr>
          <w:p w14:paraId="3E70ADFD" w14:textId="4FD8FBE5"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3CF92B6" w14:textId="220E044A"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D3C14C0" w14:textId="0ED80844"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14F4F247" w14:textId="77D97A53"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13FF502F" w14:textId="68D66E49"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FFB1AE"/>
            <w:noWrap/>
            <w:vAlign w:val="center"/>
            <w:hideMark/>
          </w:tcPr>
          <w:p w14:paraId="44B3CC01" w14:textId="4F9AA2E7"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noWrap/>
            <w:vAlign w:val="center"/>
            <w:hideMark/>
          </w:tcPr>
          <w:p w14:paraId="40A60D4B" w14:textId="02605C1C" w:rsidR="00744A51" w:rsidRPr="008B11E7" w:rsidRDefault="00744A51" w:rsidP="008B11E7">
            <w:pPr>
              <w:jc w:val="center"/>
              <w:rPr>
                <w:rFonts w:ascii="Arial" w:hAnsi="Arial" w:cs="Arial"/>
                <w:sz w:val="16"/>
                <w:szCs w:val="16"/>
              </w:rPr>
            </w:pPr>
          </w:p>
        </w:tc>
        <w:tc>
          <w:tcPr>
            <w:tcW w:w="957" w:type="dxa"/>
            <w:shd w:val="clear" w:color="auto" w:fill="FFB1AE"/>
            <w:noWrap/>
            <w:vAlign w:val="center"/>
            <w:hideMark/>
          </w:tcPr>
          <w:p w14:paraId="1122C577" w14:textId="30231277"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5A48D15A" w14:textId="77777777" w:rsidTr="008074F7">
        <w:trPr>
          <w:trHeight w:val="552"/>
        </w:trPr>
        <w:tc>
          <w:tcPr>
            <w:tcW w:w="421" w:type="dxa"/>
            <w:noWrap/>
            <w:vAlign w:val="center"/>
            <w:hideMark/>
          </w:tcPr>
          <w:p w14:paraId="16C2D6B9"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7</w:t>
            </w:r>
          </w:p>
        </w:tc>
        <w:tc>
          <w:tcPr>
            <w:tcW w:w="992" w:type="dxa"/>
            <w:vAlign w:val="center"/>
            <w:hideMark/>
          </w:tcPr>
          <w:p w14:paraId="4BB43EC3" w14:textId="40FA2CC4" w:rsidR="00744A51" w:rsidRPr="008B11E7" w:rsidRDefault="00744A51" w:rsidP="008B11E7">
            <w:pPr>
              <w:jc w:val="center"/>
              <w:rPr>
                <w:rFonts w:ascii="Arial" w:hAnsi="Arial" w:cs="Arial"/>
                <w:sz w:val="15"/>
                <w:szCs w:val="15"/>
              </w:rPr>
            </w:pPr>
            <w:r w:rsidRPr="008B11E7">
              <w:rPr>
                <w:rFonts w:ascii="Arial" w:hAnsi="Arial" w:cs="Arial"/>
                <w:sz w:val="15"/>
                <w:szCs w:val="15"/>
              </w:rPr>
              <w:t>Lu (2016)</w:t>
            </w:r>
          </w:p>
        </w:tc>
        <w:tc>
          <w:tcPr>
            <w:tcW w:w="956" w:type="dxa"/>
            <w:shd w:val="clear" w:color="auto" w:fill="DDFFDA"/>
            <w:noWrap/>
            <w:vAlign w:val="center"/>
            <w:hideMark/>
          </w:tcPr>
          <w:p w14:paraId="5CD8AA96" w14:textId="3672DA19"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7F151DF8" w14:textId="142C3C58"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682BBF5B" w14:textId="11FE8EE5"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71590775" w14:textId="78276A34"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FFB1AE"/>
            <w:noWrap/>
            <w:vAlign w:val="center"/>
            <w:hideMark/>
          </w:tcPr>
          <w:p w14:paraId="7F8007F0" w14:textId="2557E59E"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noWrap/>
            <w:vAlign w:val="center"/>
            <w:hideMark/>
          </w:tcPr>
          <w:p w14:paraId="6DBD8CBA" w14:textId="15A1F897" w:rsidR="00744A51" w:rsidRPr="008B11E7" w:rsidRDefault="00744A51" w:rsidP="008B11E7">
            <w:pPr>
              <w:jc w:val="center"/>
              <w:rPr>
                <w:rFonts w:ascii="Arial" w:hAnsi="Arial" w:cs="Arial"/>
                <w:sz w:val="16"/>
                <w:szCs w:val="16"/>
              </w:rPr>
            </w:pPr>
          </w:p>
        </w:tc>
        <w:tc>
          <w:tcPr>
            <w:tcW w:w="957" w:type="dxa"/>
            <w:noWrap/>
            <w:vAlign w:val="center"/>
            <w:hideMark/>
          </w:tcPr>
          <w:p w14:paraId="1BCCB63B" w14:textId="01CA66DE" w:rsidR="00744A51" w:rsidRPr="008B11E7" w:rsidRDefault="00744A51" w:rsidP="008B11E7">
            <w:pPr>
              <w:jc w:val="center"/>
              <w:rPr>
                <w:rFonts w:ascii="Arial" w:hAnsi="Arial" w:cs="Arial"/>
                <w:sz w:val="16"/>
                <w:szCs w:val="16"/>
              </w:rPr>
            </w:pPr>
          </w:p>
        </w:tc>
        <w:tc>
          <w:tcPr>
            <w:tcW w:w="957" w:type="dxa"/>
            <w:shd w:val="clear" w:color="auto" w:fill="FFB1AE"/>
            <w:noWrap/>
            <w:vAlign w:val="center"/>
            <w:hideMark/>
          </w:tcPr>
          <w:p w14:paraId="66976D4B" w14:textId="02E8BC46"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1343171C" w14:textId="77777777" w:rsidTr="008074F7">
        <w:trPr>
          <w:trHeight w:val="552"/>
        </w:trPr>
        <w:tc>
          <w:tcPr>
            <w:tcW w:w="421" w:type="dxa"/>
            <w:noWrap/>
            <w:vAlign w:val="center"/>
            <w:hideMark/>
          </w:tcPr>
          <w:p w14:paraId="3694543F"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8</w:t>
            </w:r>
          </w:p>
        </w:tc>
        <w:tc>
          <w:tcPr>
            <w:tcW w:w="992" w:type="dxa"/>
            <w:vAlign w:val="center"/>
            <w:hideMark/>
          </w:tcPr>
          <w:p w14:paraId="7370B399" w14:textId="74F008A2" w:rsidR="00744A51" w:rsidRPr="008B11E7" w:rsidRDefault="00744A51" w:rsidP="008B11E7">
            <w:pPr>
              <w:jc w:val="center"/>
              <w:rPr>
                <w:rFonts w:ascii="Arial" w:hAnsi="Arial" w:cs="Arial"/>
                <w:sz w:val="15"/>
                <w:szCs w:val="15"/>
              </w:rPr>
            </w:pPr>
            <w:r w:rsidRPr="008B11E7">
              <w:rPr>
                <w:rFonts w:ascii="Arial" w:hAnsi="Arial" w:cs="Arial"/>
                <w:sz w:val="15"/>
                <w:szCs w:val="15"/>
              </w:rPr>
              <w:t>Muir (2008)</w:t>
            </w:r>
          </w:p>
        </w:tc>
        <w:tc>
          <w:tcPr>
            <w:tcW w:w="956" w:type="dxa"/>
            <w:shd w:val="clear" w:color="auto" w:fill="DDFFDA"/>
            <w:noWrap/>
            <w:vAlign w:val="center"/>
            <w:hideMark/>
          </w:tcPr>
          <w:p w14:paraId="45A6F60F" w14:textId="60EA3407"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313A727E" w14:textId="4F3BF91D"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A472BD5" w14:textId="4183E19E"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7695EFA" w14:textId="0E5E7D3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706D5311" w14:textId="784D3A60"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D18A07F" w14:textId="3FB9B99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4D20294" w14:textId="630AB0D5"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17E6FB4A" w14:textId="029C01B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r>
      <w:tr w:rsidR="00744A51" w:rsidRPr="008B11E7" w14:paraId="4E49E416" w14:textId="77777777" w:rsidTr="008074F7">
        <w:trPr>
          <w:trHeight w:val="552"/>
        </w:trPr>
        <w:tc>
          <w:tcPr>
            <w:tcW w:w="421" w:type="dxa"/>
            <w:noWrap/>
            <w:vAlign w:val="center"/>
            <w:hideMark/>
          </w:tcPr>
          <w:p w14:paraId="0FDA3CC1"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9</w:t>
            </w:r>
          </w:p>
        </w:tc>
        <w:tc>
          <w:tcPr>
            <w:tcW w:w="992" w:type="dxa"/>
            <w:vAlign w:val="center"/>
            <w:hideMark/>
          </w:tcPr>
          <w:p w14:paraId="425978B4" w14:textId="338C4C15" w:rsidR="00744A51" w:rsidRPr="008B11E7" w:rsidRDefault="00744A51" w:rsidP="008B11E7">
            <w:pPr>
              <w:jc w:val="center"/>
              <w:rPr>
                <w:rFonts w:ascii="Arial" w:hAnsi="Arial" w:cs="Arial"/>
                <w:sz w:val="15"/>
                <w:szCs w:val="15"/>
              </w:rPr>
            </w:pPr>
            <w:r w:rsidRPr="008B11E7">
              <w:rPr>
                <w:rFonts w:ascii="Arial" w:hAnsi="Arial" w:cs="Arial"/>
                <w:sz w:val="15"/>
                <w:szCs w:val="15"/>
              </w:rPr>
              <w:t>Naganuma (2018)</w:t>
            </w:r>
          </w:p>
        </w:tc>
        <w:tc>
          <w:tcPr>
            <w:tcW w:w="956" w:type="dxa"/>
            <w:shd w:val="clear" w:color="auto" w:fill="DDFFDA"/>
            <w:noWrap/>
            <w:vAlign w:val="center"/>
            <w:hideMark/>
          </w:tcPr>
          <w:p w14:paraId="7D785AE4" w14:textId="16711997"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D43E44D" w14:textId="7B18CE81"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09A210A" w14:textId="69D3EA2A"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33F21F8D" w14:textId="6FB52D0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FFB1AE"/>
            <w:noWrap/>
            <w:vAlign w:val="center"/>
            <w:hideMark/>
          </w:tcPr>
          <w:p w14:paraId="6AB1306C" w14:textId="53702C62"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noWrap/>
            <w:vAlign w:val="center"/>
            <w:hideMark/>
          </w:tcPr>
          <w:p w14:paraId="2A9BA086" w14:textId="3A152A99" w:rsidR="00744A51" w:rsidRPr="008B11E7" w:rsidRDefault="00744A51" w:rsidP="008B11E7">
            <w:pPr>
              <w:jc w:val="center"/>
              <w:rPr>
                <w:rFonts w:ascii="Arial" w:hAnsi="Arial" w:cs="Arial"/>
                <w:sz w:val="16"/>
                <w:szCs w:val="16"/>
              </w:rPr>
            </w:pPr>
          </w:p>
        </w:tc>
        <w:tc>
          <w:tcPr>
            <w:tcW w:w="957" w:type="dxa"/>
            <w:noWrap/>
            <w:vAlign w:val="center"/>
            <w:hideMark/>
          </w:tcPr>
          <w:p w14:paraId="2F6A0B86" w14:textId="590FF976" w:rsidR="00744A51" w:rsidRPr="008B11E7" w:rsidRDefault="00744A51" w:rsidP="008B11E7">
            <w:pPr>
              <w:jc w:val="center"/>
              <w:rPr>
                <w:rFonts w:ascii="Arial" w:hAnsi="Arial" w:cs="Arial"/>
                <w:sz w:val="16"/>
                <w:szCs w:val="16"/>
              </w:rPr>
            </w:pPr>
          </w:p>
        </w:tc>
        <w:tc>
          <w:tcPr>
            <w:tcW w:w="957" w:type="dxa"/>
            <w:shd w:val="clear" w:color="auto" w:fill="FFB1AE"/>
            <w:noWrap/>
            <w:vAlign w:val="center"/>
            <w:hideMark/>
          </w:tcPr>
          <w:p w14:paraId="100C98AD" w14:textId="37976708"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0DA2E16E" w14:textId="77777777" w:rsidTr="008074F7">
        <w:trPr>
          <w:trHeight w:val="552"/>
        </w:trPr>
        <w:tc>
          <w:tcPr>
            <w:tcW w:w="421" w:type="dxa"/>
            <w:noWrap/>
            <w:vAlign w:val="center"/>
            <w:hideMark/>
          </w:tcPr>
          <w:p w14:paraId="03C00586"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10</w:t>
            </w:r>
          </w:p>
        </w:tc>
        <w:tc>
          <w:tcPr>
            <w:tcW w:w="992" w:type="dxa"/>
            <w:vAlign w:val="center"/>
            <w:hideMark/>
          </w:tcPr>
          <w:p w14:paraId="78A09DDF" w14:textId="3E5500AE" w:rsidR="00744A51" w:rsidRPr="008B11E7" w:rsidRDefault="00744A51" w:rsidP="008B11E7">
            <w:pPr>
              <w:jc w:val="center"/>
              <w:rPr>
                <w:rFonts w:ascii="Arial" w:hAnsi="Arial" w:cs="Arial"/>
                <w:sz w:val="15"/>
                <w:szCs w:val="15"/>
              </w:rPr>
            </w:pPr>
            <w:r w:rsidRPr="008B11E7">
              <w:rPr>
                <w:rFonts w:ascii="Arial" w:hAnsi="Arial" w:cs="Arial"/>
                <w:sz w:val="15"/>
                <w:szCs w:val="15"/>
              </w:rPr>
              <w:t>Nihei (1989)</w:t>
            </w:r>
          </w:p>
        </w:tc>
        <w:tc>
          <w:tcPr>
            <w:tcW w:w="956" w:type="dxa"/>
            <w:shd w:val="clear" w:color="auto" w:fill="DDFFDA"/>
            <w:noWrap/>
            <w:vAlign w:val="center"/>
            <w:hideMark/>
          </w:tcPr>
          <w:p w14:paraId="44D57D0E" w14:textId="236AD104"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FFB1AE"/>
            <w:noWrap/>
            <w:vAlign w:val="center"/>
            <w:hideMark/>
          </w:tcPr>
          <w:p w14:paraId="4D2B6477" w14:textId="4D7860F3"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noWrap/>
            <w:vAlign w:val="center"/>
          </w:tcPr>
          <w:p w14:paraId="14BA1608" w14:textId="04A85DD8" w:rsidR="00744A51" w:rsidRPr="008B11E7" w:rsidRDefault="00744A51" w:rsidP="008B11E7">
            <w:pPr>
              <w:jc w:val="center"/>
              <w:rPr>
                <w:rFonts w:ascii="Arial" w:hAnsi="Arial" w:cs="Arial"/>
                <w:sz w:val="16"/>
                <w:szCs w:val="16"/>
              </w:rPr>
            </w:pPr>
          </w:p>
        </w:tc>
        <w:tc>
          <w:tcPr>
            <w:tcW w:w="957" w:type="dxa"/>
            <w:noWrap/>
            <w:vAlign w:val="center"/>
          </w:tcPr>
          <w:p w14:paraId="41EBDA7E" w14:textId="4343372C" w:rsidR="00744A51" w:rsidRPr="008B11E7" w:rsidRDefault="00744A51" w:rsidP="008B11E7">
            <w:pPr>
              <w:jc w:val="center"/>
              <w:rPr>
                <w:rFonts w:ascii="Arial" w:hAnsi="Arial" w:cs="Arial"/>
                <w:sz w:val="16"/>
                <w:szCs w:val="16"/>
              </w:rPr>
            </w:pPr>
          </w:p>
        </w:tc>
        <w:tc>
          <w:tcPr>
            <w:tcW w:w="956" w:type="dxa"/>
            <w:noWrap/>
            <w:vAlign w:val="center"/>
          </w:tcPr>
          <w:p w14:paraId="1029E659" w14:textId="01660E67" w:rsidR="00744A51" w:rsidRPr="008B11E7" w:rsidRDefault="00744A51" w:rsidP="008B11E7">
            <w:pPr>
              <w:jc w:val="center"/>
              <w:rPr>
                <w:rFonts w:ascii="Arial" w:hAnsi="Arial" w:cs="Arial"/>
                <w:sz w:val="16"/>
                <w:szCs w:val="16"/>
              </w:rPr>
            </w:pPr>
          </w:p>
        </w:tc>
        <w:tc>
          <w:tcPr>
            <w:tcW w:w="957" w:type="dxa"/>
            <w:noWrap/>
            <w:vAlign w:val="center"/>
          </w:tcPr>
          <w:p w14:paraId="32769E41" w14:textId="5484B023" w:rsidR="00744A51" w:rsidRPr="008B11E7" w:rsidRDefault="00744A51" w:rsidP="008B11E7">
            <w:pPr>
              <w:jc w:val="center"/>
              <w:rPr>
                <w:rFonts w:ascii="Arial" w:hAnsi="Arial" w:cs="Arial"/>
                <w:sz w:val="16"/>
                <w:szCs w:val="16"/>
              </w:rPr>
            </w:pPr>
          </w:p>
        </w:tc>
        <w:tc>
          <w:tcPr>
            <w:tcW w:w="957" w:type="dxa"/>
            <w:noWrap/>
            <w:vAlign w:val="center"/>
          </w:tcPr>
          <w:p w14:paraId="0BA1E6C1" w14:textId="201EB14E" w:rsidR="00744A51" w:rsidRPr="008B11E7" w:rsidRDefault="00744A51" w:rsidP="008B11E7">
            <w:pPr>
              <w:jc w:val="center"/>
              <w:rPr>
                <w:rFonts w:ascii="Arial" w:hAnsi="Arial" w:cs="Arial"/>
                <w:sz w:val="16"/>
                <w:szCs w:val="16"/>
              </w:rPr>
            </w:pPr>
          </w:p>
        </w:tc>
        <w:tc>
          <w:tcPr>
            <w:tcW w:w="957" w:type="dxa"/>
            <w:shd w:val="clear" w:color="auto" w:fill="FFB1AE"/>
            <w:noWrap/>
            <w:vAlign w:val="center"/>
            <w:hideMark/>
          </w:tcPr>
          <w:p w14:paraId="6857DC14" w14:textId="4CE1491E"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699B4D31" w14:textId="77777777" w:rsidTr="008074F7">
        <w:trPr>
          <w:trHeight w:val="552"/>
        </w:trPr>
        <w:tc>
          <w:tcPr>
            <w:tcW w:w="421" w:type="dxa"/>
            <w:noWrap/>
            <w:vAlign w:val="center"/>
            <w:hideMark/>
          </w:tcPr>
          <w:p w14:paraId="3CAEFD99"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11</w:t>
            </w:r>
          </w:p>
        </w:tc>
        <w:tc>
          <w:tcPr>
            <w:tcW w:w="992" w:type="dxa"/>
            <w:vAlign w:val="center"/>
            <w:hideMark/>
          </w:tcPr>
          <w:p w14:paraId="204398BF" w14:textId="2B6F627D" w:rsidR="00744A51" w:rsidRPr="008B11E7" w:rsidRDefault="00744A51" w:rsidP="008B11E7">
            <w:pPr>
              <w:jc w:val="center"/>
              <w:rPr>
                <w:rFonts w:ascii="Arial" w:hAnsi="Arial" w:cs="Arial"/>
                <w:sz w:val="15"/>
                <w:szCs w:val="15"/>
              </w:rPr>
            </w:pPr>
            <w:r w:rsidRPr="008B11E7">
              <w:rPr>
                <w:rFonts w:ascii="Arial" w:hAnsi="Arial" w:cs="Arial"/>
                <w:sz w:val="15"/>
                <w:szCs w:val="15"/>
              </w:rPr>
              <w:t>Taheraghdam (2014)</w:t>
            </w:r>
          </w:p>
        </w:tc>
        <w:tc>
          <w:tcPr>
            <w:tcW w:w="956" w:type="dxa"/>
            <w:shd w:val="clear" w:color="auto" w:fill="DDFFDA"/>
            <w:noWrap/>
            <w:vAlign w:val="center"/>
            <w:hideMark/>
          </w:tcPr>
          <w:p w14:paraId="5C4799C6" w14:textId="02920FF9"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1E31839" w14:textId="483830DF"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0250DA3" w14:textId="6A808203"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6888F244" w14:textId="696DD80E"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68C3028D" w14:textId="169090F1"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1C45D1FD" w14:textId="05D1BD3D"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3D958691" w14:textId="4962A223"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E3F332E" w14:textId="48C6F50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r>
      <w:tr w:rsidR="00744A51" w:rsidRPr="008B11E7" w14:paraId="52B1FA0E" w14:textId="77777777" w:rsidTr="008074F7">
        <w:trPr>
          <w:trHeight w:val="552"/>
        </w:trPr>
        <w:tc>
          <w:tcPr>
            <w:tcW w:w="421" w:type="dxa"/>
            <w:noWrap/>
            <w:vAlign w:val="center"/>
            <w:hideMark/>
          </w:tcPr>
          <w:p w14:paraId="05ED36B5"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12</w:t>
            </w:r>
          </w:p>
        </w:tc>
        <w:tc>
          <w:tcPr>
            <w:tcW w:w="992" w:type="dxa"/>
            <w:vAlign w:val="center"/>
            <w:hideMark/>
          </w:tcPr>
          <w:p w14:paraId="7858726D" w14:textId="77FB8BD7" w:rsidR="00744A51" w:rsidRPr="008B11E7" w:rsidRDefault="00744A51" w:rsidP="008B11E7">
            <w:pPr>
              <w:jc w:val="center"/>
              <w:rPr>
                <w:rFonts w:ascii="Arial" w:hAnsi="Arial" w:cs="Arial"/>
                <w:sz w:val="15"/>
                <w:szCs w:val="15"/>
              </w:rPr>
            </w:pPr>
            <w:r w:rsidRPr="008B11E7">
              <w:rPr>
                <w:rFonts w:ascii="Arial" w:hAnsi="Arial" w:cs="Arial"/>
                <w:sz w:val="15"/>
                <w:szCs w:val="15"/>
              </w:rPr>
              <w:t>Wang (2022)</w:t>
            </w:r>
          </w:p>
        </w:tc>
        <w:tc>
          <w:tcPr>
            <w:tcW w:w="956" w:type="dxa"/>
            <w:shd w:val="clear" w:color="auto" w:fill="DDFFDA"/>
            <w:noWrap/>
            <w:vAlign w:val="center"/>
            <w:hideMark/>
          </w:tcPr>
          <w:p w14:paraId="742AB409" w14:textId="7469F4C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549A173" w14:textId="1C525F3B"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14C38D13" w14:textId="1450FE2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D07D2A4" w14:textId="0DFE9D73"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2028B506" w14:textId="016AD0F9"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FFB1AE"/>
            <w:noWrap/>
            <w:vAlign w:val="center"/>
            <w:hideMark/>
          </w:tcPr>
          <w:p w14:paraId="54B559AE" w14:textId="0F6F1E31"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noWrap/>
            <w:vAlign w:val="center"/>
            <w:hideMark/>
          </w:tcPr>
          <w:p w14:paraId="4C3E5262" w14:textId="7D5E93F5" w:rsidR="00744A51" w:rsidRPr="008B11E7" w:rsidRDefault="00744A51" w:rsidP="008B11E7">
            <w:pPr>
              <w:jc w:val="center"/>
              <w:rPr>
                <w:rFonts w:ascii="Arial" w:hAnsi="Arial" w:cs="Arial"/>
                <w:sz w:val="16"/>
                <w:szCs w:val="16"/>
              </w:rPr>
            </w:pPr>
          </w:p>
        </w:tc>
        <w:tc>
          <w:tcPr>
            <w:tcW w:w="957" w:type="dxa"/>
            <w:shd w:val="clear" w:color="auto" w:fill="FFB1AE"/>
            <w:noWrap/>
            <w:vAlign w:val="center"/>
            <w:hideMark/>
          </w:tcPr>
          <w:p w14:paraId="1A232E40" w14:textId="772362E8"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0A8AFD64" w14:textId="77777777" w:rsidTr="008074F7">
        <w:trPr>
          <w:trHeight w:val="552"/>
        </w:trPr>
        <w:tc>
          <w:tcPr>
            <w:tcW w:w="421" w:type="dxa"/>
            <w:noWrap/>
            <w:vAlign w:val="center"/>
            <w:hideMark/>
          </w:tcPr>
          <w:p w14:paraId="10D2DCC1"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13</w:t>
            </w:r>
          </w:p>
        </w:tc>
        <w:tc>
          <w:tcPr>
            <w:tcW w:w="992" w:type="dxa"/>
            <w:vAlign w:val="center"/>
            <w:hideMark/>
          </w:tcPr>
          <w:p w14:paraId="046BA0A6" w14:textId="0DF72315" w:rsidR="00744A51" w:rsidRPr="008B11E7" w:rsidRDefault="00744A51" w:rsidP="008B11E7">
            <w:pPr>
              <w:jc w:val="center"/>
              <w:rPr>
                <w:rFonts w:ascii="Arial" w:hAnsi="Arial" w:cs="Arial"/>
                <w:sz w:val="15"/>
                <w:szCs w:val="15"/>
              </w:rPr>
            </w:pPr>
            <w:r w:rsidRPr="008B11E7">
              <w:rPr>
                <w:rFonts w:ascii="Arial" w:hAnsi="Arial" w:cs="Arial"/>
                <w:sz w:val="15"/>
                <w:szCs w:val="15"/>
              </w:rPr>
              <w:t>Zhang (2023)</w:t>
            </w:r>
          </w:p>
        </w:tc>
        <w:tc>
          <w:tcPr>
            <w:tcW w:w="956" w:type="dxa"/>
            <w:shd w:val="clear" w:color="auto" w:fill="DDFFDA"/>
            <w:noWrap/>
            <w:vAlign w:val="center"/>
            <w:hideMark/>
          </w:tcPr>
          <w:p w14:paraId="2FFEAD30" w14:textId="3A5389D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5846DCB5" w14:textId="548AD05E"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318DF687" w14:textId="02C03F08"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E376CAA" w14:textId="1678D506"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1F508483" w14:textId="37F87BB2"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FFB1AE"/>
            <w:noWrap/>
            <w:vAlign w:val="center"/>
            <w:hideMark/>
          </w:tcPr>
          <w:p w14:paraId="6EF84564" w14:textId="00F6BFA7"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noWrap/>
            <w:vAlign w:val="center"/>
            <w:hideMark/>
          </w:tcPr>
          <w:p w14:paraId="458B092F" w14:textId="49E34259" w:rsidR="00744A51" w:rsidRPr="008B11E7" w:rsidRDefault="00744A51" w:rsidP="008B11E7">
            <w:pPr>
              <w:jc w:val="center"/>
              <w:rPr>
                <w:rFonts w:ascii="Arial" w:hAnsi="Arial" w:cs="Arial"/>
                <w:sz w:val="16"/>
                <w:szCs w:val="16"/>
              </w:rPr>
            </w:pPr>
          </w:p>
        </w:tc>
        <w:tc>
          <w:tcPr>
            <w:tcW w:w="957" w:type="dxa"/>
            <w:shd w:val="clear" w:color="auto" w:fill="FFB1AE"/>
            <w:noWrap/>
            <w:vAlign w:val="center"/>
            <w:hideMark/>
          </w:tcPr>
          <w:p w14:paraId="5D8676DE" w14:textId="7BE32B7C"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6AE9A04F" w14:textId="77777777" w:rsidTr="008074F7">
        <w:trPr>
          <w:trHeight w:val="552"/>
        </w:trPr>
        <w:tc>
          <w:tcPr>
            <w:tcW w:w="421" w:type="dxa"/>
            <w:noWrap/>
            <w:vAlign w:val="center"/>
            <w:hideMark/>
          </w:tcPr>
          <w:p w14:paraId="1127AE89"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14</w:t>
            </w:r>
          </w:p>
        </w:tc>
        <w:tc>
          <w:tcPr>
            <w:tcW w:w="992" w:type="dxa"/>
            <w:vAlign w:val="center"/>
            <w:hideMark/>
          </w:tcPr>
          <w:p w14:paraId="3A5F8301" w14:textId="7F3A38E6" w:rsidR="00744A51" w:rsidRPr="008B11E7" w:rsidRDefault="00744A51" w:rsidP="008B11E7">
            <w:pPr>
              <w:jc w:val="center"/>
              <w:rPr>
                <w:rFonts w:ascii="Arial" w:hAnsi="Arial" w:cs="Arial"/>
                <w:sz w:val="15"/>
                <w:szCs w:val="15"/>
              </w:rPr>
            </w:pPr>
            <w:proofErr w:type="spellStart"/>
            <w:r w:rsidRPr="008B11E7">
              <w:rPr>
                <w:rFonts w:ascii="Arial" w:hAnsi="Arial" w:cs="Arial"/>
                <w:sz w:val="15"/>
                <w:szCs w:val="15"/>
              </w:rPr>
              <w:t>Isrctn</w:t>
            </w:r>
            <w:proofErr w:type="spellEnd"/>
            <w:r w:rsidRPr="008B11E7">
              <w:rPr>
                <w:rFonts w:ascii="Arial" w:hAnsi="Arial" w:cs="Arial"/>
                <w:sz w:val="15"/>
                <w:szCs w:val="15"/>
              </w:rPr>
              <w:t xml:space="preserve"> (2025)</w:t>
            </w:r>
          </w:p>
        </w:tc>
        <w:tc>
          <w:tcPr>
            <w:tcW w:w="956" w:type="dxa"/>
            <w:shd w:val="clear" w:color="auto" w:fill="DDFFDA"/>
            <w:noWrap/>
            <w:vAlign w:val="center"/>
            <w:hideMark/>
          </w:tcPr>
          <w:p w14:paraId="7D3190E8" w14:textId="1B3F4F7D"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7191026C" w14:textId="3737421F"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6316E9E2" w14:textId="6EF7F9E1"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1177EAA" w14:textId="63F215B2"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7D62E106" w14:textId="37EA03E2"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555F95E5" w14:textId="52AB60B2"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FFB1AE"/>
            <w:noWrap/>
            <w:vAlign w:val="center"/>
            <w:hideMark/>
          </w:tcPr>
          <w:p w14:paraId="4F065B04" w14:textId="661E8567"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shd w:val="clear" w:color="auto" w:fill="FFB1AE"/>
            <w:noWrap/>
            <w:vAlign w:val="center"/>
            <w:hideMark/>
          </w:tcPr>
          <w:p w14:paraId="10E2E14A" w14:textId="060EF63B"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28D066B9" w14:textId="77777777" w:rsidTr="008074F7">
        <w:trPr>
          <w:trHeight w:val="552"/>
        </w:trPr>
        <w:tc>
          <w:tcPr>
            <w:tcW w:w="421" w:type="dxa"/>
            <w:noWrap/>
            <w:vAlign w:val="center"/>
            <w:hideMark/>
          </w:tcPr>
          <w:p w14:paraId="1FB7DB08"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15</w:t>
            </w:r>
          </w:p>
        </w:tc>
        <w:tc>
          <w:tcPr>
            <w:tcW w:w="992" w:type="dxa"/>
            <w:vAlign w:val="center"/>
            <w:hideMark/>
          </w:tcPr>
          <w:p w14:paraId="6B5A7DC6" w14:textId="2DBAFD31" w:rsidR="00744A51" w:rsidRPr="008B11E7" w:rsidRDefault="00744A51" w:rsidP="008B11E7">
            <w:pPr>
              <w:jc w:val="center"/>
              <w:rPr>
                <w:rFonts w:ascii="Arial" w:hAnsi="Arial" w:cs="Arial"/>
                <w:sz w:val="15"/>
                <w:szCs w:val="15"/>
              </w:rPr>
            </w:pPr>
            <w:r w:rsidRPr="008B11E7">
              <w:rPr>
                <w:rFonts w:ascii="Arial" w:hAnsi="Arial" w:cs="Arial"/>
                <w:sz w:val="15"/>
                <w:szCs w:val="15"/>
              </w:rPr>
              <w:t>Wong (2022)</w:t>
            </w:r>
          </w:p>
        </w:tc>
        <w:tc>
          <w:tcPr>
            <w:tcW w:w="956" w:type="dxa"/>
            <w:shd w:val="clear" w:color="auto" w:fill="DDFFDA"/>
            <w:noWrap/>
            <w:vAlign w:val="center"/>
            <w:hideMark/>
          </w:tcPr>
          <w:p w14:paraId="0997F3CB" w14:textId="77A4319E"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5706493" w14:textId="1F8CDF82"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63CF2D39" w14:textId="6709B41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1E06CB09" w14:textId="5540EC7C"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05A7DE42" w14:textId="12C9D0A4"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1406301E" w14:textId="6DC395CB"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FFB1AE"/>
            <w:noWrap/>
            <w:vAlign w:val="center"/>
            <w:hideMark/>
          </w:tcPr>
          <w:p w14:paraId="4C70B3D5" w14:textId="1C93465E"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c>
          <w:tcPr>
            <w:tcW w:w="957" w:type="dxa"/>
            <w:shd w:val="clear" w:color="auto" w:fill="FFB1AE"/>
            <w:noWrap/>
            <w:vAlign w:val="center"/>
            <w:hideMark/>
          </w:tcPr>
          <w:p w14:paraId="65DB4AC5" w14:textId="7628BB41" w:rsidR="00744A51" w:rsidRPr="008B11E7" w:rsidRDefault="00744A51" w:rsidP="008B11E7">
            <w:pPr>
              <w:jc w:val="center"/>
              <w:rPr>
                <w:rFonts w:ascii="Arial" w:hAnsi="Arial" w:cs="Arial"/>
                <w:sz w:val="16"/>
                <w:szCs w:val="16"/>
              </w:rPr>
            </w:pPr>
            <w:r w:rsidRPr="008B11E7">
              <w:rPr>
                <w:rFonts w:ascii="Arial" w:hAnsi="Arial" w:cs="Arial"/>
                <w:sz w:val="16"/>
                <w:szCs w:val="16"/>
              </w:rPr>
              <w:t>N</w:t>
            </w:r>
          </w:p>
        </w:tc>
      </w:tr>
      <w:tr w:rsidR="00744A51" w:rsidRPr="008B11E7" w14:paraId="79FF904D" w14:textId="77777777" w:rsidTr="008074F7">
        <w:trPr>
          <w:trHeight w:val="552"/>
        </w:trPr>
        <w:tc>
          <w:tcPr>
            <w:tcW w:w="421" w:type="dxa"/>
            <w:noWrap/>
            <w:vAlign w:val="center"/>
            <w:hideMark/>
          </w:tcPr>
          <w:p w14:paraId="5E01840C" w14:textId="77777777" w:rsidR="00744A51" w:rsidRPr="008B11E7" w:rsidRDefault="00744A51" w:rsidP="008B11E7">
            <w:pPr>
              <w:jc w:val="center"/>
              <w:rPr>
                <w:rFonts w:ascii="Arial" w:hAnsi="Arial" w:cs="Arial"/>
                <w:sz w:val="16"/>
                <w:szCs w:val="16"/>
              </w:rPr>
            </w:pPr>
            <w:r w:rsidRPr="008B11E7">
              <w:rPr>
                <w:rFonts w:ascii="Arial" w:hAnsi="Arial" w:cs="Arial"/>
                <w:sz w:val="16"/>
                <w:szCs w:val="16"/>
              </w:rPr>
              <w:t>16</w:t>
            </w:r>
          </w:p>
        </w:tc>
        <w:tc>
          <w:tcPr>
            <w:tcW w:w="992" w:type="dxa"/>
            <w:vAlign w:val="center"/>
            <w:hideMark/>
          </w:tcPr>
          <w:p w14:paraId="7B33AD14" w14:textId="5D569BB9" w:rsidR="00744A51" w:rsidRPr="008B11E7" w:rsidRDefault="00744A51" w:rsidP="008B11E7">
            <w:pPr>
              <w:jc w:val="center"/>
              <w:rPr>
                <w:rFonts w:ascii="Arial" w:hAnsi="Arial" w:cs="Arial"/>
                <w:sz w:val="15"/>
                <w:szCs w:val="15"/>
              </w:rPr>
            </w:pPr>
            <w:r w:rsidRPr="008B11E7">
              <w:rPr>
                <w:rFonts w:ascii="Arial" w:hAnsi="Arial" w:cs="Arial"/>
                <w:sz w:val="15"/>
                <w:szCs w:val="15"/>
              </w:rPr>
              <w:t>Dawson (2023)</w:t>
            </w:r>
          </w:p>
        </w:tc>
        <w:tc>
          <w:tcPr>
            <w:tcW w:w="956" w:type="dxa"/>
            <w:shd w:val="clear" w:color="auto" w:fill="DDFFDA"/>
            <w:noWrap/>
            <w:vAlign w:val="center"/>
            <w:hideMark/>
          </w:tcPr>
          <w:p w14:paraId="0883C79D" w14:textId="209E02F1"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28D825D" w14:textId="0169C2E5"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49CF09B1" w14:textId="6172B62F"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26B3B853" w14:textId="65BE7980"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6" w:type="dxa"/>
            <w:shd w:val="clear" w:color="auto" w:fill="DDFFDA"/>
            <w:noWrap/>
            <w:vAlign w:val="center"/>
            <w:hideMark/>
          </w:tcPr>
          <w:p w14:paraId="57B306A4" w14:textId="043B5154"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A12AE27" w14:textId="3EA99631"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09AFC937" w14:textId="3E925BB0"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c>
          <w:tcPr>
            <w:tcW w:w="957" w:type="dxa"/>
            <w:shd w:val="clear" w:color="auto" w:fill="DDFFDA"/>
            <w:noWrap/>
            <w:vAlign w:val="center"/>
            <w:hideMark/>
          </w:tcPr>
          <w:p w14:paraId="67AD2F61" w14:textId="7DF66377" w:rsidR="00744A51" w:rsidRPr="008B11E7" w:rsidRDefault="00744A51" w:rsidP="008B11E7">
            <w:pPr>
              <w:jc w:val="center"/>
              <w:rPr>
                <w:rFonts w:ascii="Arial" w:hAnsi="Arial" w:cs="Arial"/>
                <w:sz w:val="16"/>
                <w:szCs w:val="16"/>
              </w:rPr>
            </w:pPr>
            <w:r w:rsidRPr="008B11E7">
              <w:rPr>
                <w:rFonts w:ascii="Arial" w:hAnsi="Arial" w:cs="Arial"/>
                <w:sz w:val="16"/>
                <w:szCs w:val="16"/>
              </w:rPr>
              <w:t>Y</w:t>
            </w:r>
          </w:p>
        </w:tc>
      </w:tr>
    </w:tbl>
    <w:p w14:paraId="0171A3F2" w14:textId="77777777" w:rsidR="00B87E91" w:rsidRPr="008B11E7" w:rsidRDefault="00B87E91" w:rsidP="008B11E7">
      <w:pPr>
        <w:rPr>
          <w:rFonts w:ascii="Arial" w:hAnsi="Arial" w:cs="Arial"/>
          <w:sz w:val="20"/>
          <w:szCs w:val="20"/>
        </w:rPr>
      </w:pPr>
    </w:p>
    <w:p w14:paraId="3D879EDE" w14:textId="77777777" w:rsidR="00B87E91" w:rsidRPr="008B11E7" w:rsidRDefault="00B87E91" w:rsidP="008B11E7">
      <w:pPr>
        <w:rPr>
          <w:rFonts w:ascii="Arial" w:hAnsi="Arial" w:cs="Arial"/>
          <w:sz w:val="20"/>
          <w:szCs w:val="20"/>
        </w:rPr>
      </w:pPr>
    </w:p>
    <w:p w14:paraId="5DFB937B" w14:textId="77777777" w:rsidR="009A12F0" w:rsidRPr="008B11E7" w:rsidRDefault="009A12F0" w:rsidP="008B11E7">
      <w:pPr>
        <w:rPr>
          <w:rFonts w:ascii="Arial" w:hAnsi="Arial" w:cs="Arial"/>
          <w:b/>
          <w:bCs/>
        </w:rPr>
      </w:pPr>
    </w:p>
    <w:p w14:paraId="5046764E" w14:textId="77777777" w:rsidR="009A12F0" w:rsidRPr="008B11E7" w:rsidRDefault="009A12F0" w:rsidP="008B11E7">
      <w:pPr>
        <w:rPr>
          <w:rFonts w:ascii="Arial" w:hAnsi="Arial" w:cs="Arial"/>
          <w:b/>
          <w:bCs/>
        </w:rPr>
      </w:pPr>
    </w:p>
    <w:p w14:paraId="2D35402B" w14:textId="77777777" w:rsidR="009A12F0" w:rsidRPr="008B11E7" w:rsidRDefault="009A12F0" w:rsidP="008B11E7">
      <w:pPr>
        <w:rPr>
          <w:rFonts w:ascii="Arial" w:hAnsi="Arial" w:cs="Arial"/>
          <w:b/>
          <w:bCs/>
        </w:rPr>
      </w:pPr>
    </w:p>
    <w:p w14:paraId="5BEAAFB4" w14:textId="77777777" w:rsidR="009A12F0" w:rsidRPr="008B11E7" w:rsidRDefault="009A12F0" w:rsidP="008B11E7">
      <w:pPr>
        <w:rPr>
          <w:rFonts w:ascii="Arial" w:hAnsi="Arial" w:cs="Arial"/>
          <w:b/>
          <w:bCs/>
        </w:rPr>
      </w:pPr>
    </w:p>
    <w:p w14:paraId="63BCDB6E" w14:textId="77777777" w:rsidR="009A12F0" w:rsidRPr="008B11E7" w:rsidRDefault="009A12F0" w:rsidP="008B11E7">
      <w:pPr>
        <w:rPr>
          <w:rFonts w:ascii="Arial" w:hAnsi="Arial" w:cs="Arial"/>
          <w:b/>
          <w:bCs/>
        </w:rPr>
      </w:pPr>
    </w:p>
    <w:p w14:paraId="4584BCAE" w14:textId="77777777" w:rsidR="009A12F0" w:rsidRPr="008B11E7" w:rsidRDefault="009A12F0" w:rsidP="008B11E7">
      <w:pPr>
        <w:rPr>
          <w:rFonts w:ascii="Arial" w:hAnsi="Arial" w:cs="Arial"/>
          <w:b/>
          <w:bCs/>
        </w:rPr>
      </w:pPr>
    </w:p>
    <w:p w14:paraId="18810C98" w14:textId="77777777" w:rsidR="009A12F0" w:rsidRPr="008B11E7" w:rsidRDefault="009A12F0" w:rsidP="008B11E7">
      <w:pPr>
        <w:rPr>
          <w:rFonts w:ascii="Arial" w:hAnsi="Arial" w:cs="Arial"/>
          <w:b/>
          <w:bCs/>
        </w:rPr>
      </w:pPr>
    </w:p>
    <w:p w14:paraId="57960C80" w14:textId="779C7B1D" w:rsidR="00186FE9" w:rsidRPr="008B11E7" w:rsidRDefault="00186FE9" w:rsidP="008B11E7">
      <w:pPr>
        <w:pStyle w:val="ListParagraph"/>
        <w:numPr>
          <w:ilvl w:val="0"/>
          <w:numId w:val="3"/>
        </w:numPr>
        <w:rPr>
          <w:rFonts w:ascii="Arial" w:hAnsi="Arial" w:cs="Arial"/>
          <w:b/>
          <w:bCs/>
        </w:rPr>
      </w:pPr>
      <w:r w:rsidRPr="008B11E7">
        <w:rPr>
          <w:rFonts w:ascii="Arial" w:hAnsi="Arial" w:cs="Arial"/>
          <w:b/>
          <w:bCs/>
        </w:rPr>
        <w:lastRenderedPageBreak/>
        <w:t>SUMMARY OF INCLUDED STUDIES</w:t>
      </w:r>
    </w:p>
    <w:p w14:paraId="34152F2A" w14:textId="77777777" w:rsidR="00897C49" w:rsidRPr="008B11E7" w:rsidRDefault="00897C49" w:rsidP="008B11E7">
      <w:pPr>
        <w:rPr>
          <w:rFonts w:ascii="Arial" w:hAnsi="Arial" w:cs="Arial"/>
          <w:sz w:val="20"/>
          <w:szCs w:val="20"/>
        </w:rPr>
      </w:pPr>
    </w:p>
    <w:p w14:paraId="268D63CB" w14:textId="7516EB01" w:rsidR="00973CA3" w:rsidRPr="008B11E7" w:rsidRDefault="00973CA3" w:rsidP="008B11E7">
      <w:pPr>
        <w:spacing w:line="360" w:lineRule="auto"/>
        <w:rPr>
          <w:rFonts w:ascii="Arial" w:hAnsi="Arial" w:cs="Arial"/>
          <w:sz w:val="20"/>
          <w:szCs w:val="20"/>
        </w:rPr>
      </w:pPr>
      <w:r w:rsidRPr="008B11E7">
        <w:rPr>
          <w:rFonts w:ascii="Arial" w:hAnsi="Arial" w:cs="Arial"/>
          <w:b/>
          <w:bCs/>
          <w:sz w:val="20"/>
          <w:szCs w:val="20"/>
        </w:rPr>
        <w:t xml:space="preserve">Supplementary Item </w:t>
      </w:r>
      <w:r w:rsidR="00BA7CC0" w:rsidRPr="008B11E7">
        <w:rPr>
          <w:rFonts w:ascii="Arial" w:hAnsi="Arial" w:cs="Arial"/>
          <w:b/>
          <w:bCs/>
          <w:sz w:val="20"/>
          <w:szCs w:val="20"/>
        </w:rPr>
        <w:t>S</w:t>
      </w:r>
      <w:r w:rsidR="00535A22" w:rsidRPr="008B11E7">
        <w:rPr>
          <w:rFonts w:ascii="Arial" w:hAnsi="Arial" w:cs="Arial"/>
          <w:b/>
          <w:bCs/>
          <w:sz w:val="20"/>
          <w:szCs w:val="20"/>
        </w:rPr>
        <w:t>5</w:t>
      </w:r>
      <w:r w:rsidRPr="008B11E7">
        <w:rPr>
          <w:rFonts w:ascii="Arial" w:hAnsi="Arial" w:cs="Arial"/>
          <w:b/>
          <w:bCs/>
          <w:sz w:val="20"/>
          <w:szCs w:val="20"/>
        </w:rPr>
        <w:t xml:space="preserve">. </w:t>
      </w:r>
      <w:r w:rsidR="00F26D78" w:rsidRPr="008B11E7">
        <w:rPr>
          <w:rFonts w:ascii="Arial" w:hAnsi="Arial" w:cs="Arial"/>
          <w:sz w:val="20"/>
          <w:szCs w:val="20"/>
        </w:rPr>
        <w:t xml:space="preserve">A table </w:t>
      </w:r>
      <w:r w:rsidR="0028561B" w:rsidRPr="008B11E7">
        <w:rPr>
          <w:rFonts w:ascii="Arial" w:hAnsi="Arial" w:cs="Arial"/>
          <w:sz w:val="20"/>
          <w:szCs w:val="20"/>
        </w:rPr>
        <w:t xml:space="preserve">illustrating the </w:t>
      </w:r>
      <w:r w:rsidR="00484773" w:rsidRPr="008B11E7">
        <w:rPr>
          <w:rFonts w:ascii="Arial" w:hAnsi="Arial" w:cs="Arial"/>
          <w:sz w:val="20"/>
          <w:szCs w:val="20"/>
        </w:rPr>
        <w:t xml:space="preserve">specific parameters of each of the six included studies, including </w:t>
      </w:r>
      <w:r w:rsidR="00B94D0A" w:rsidRPr="008B11E7">
        <w:rPr>
          <w:rFonts w:ascii="Arial" w:hAnsi="Arial" w:cs="Arial"/>
          <w:sz w:val="20"/>
          <w:szCs w:val="20"/>
        </w:rPr>
        <w:t xml:space="preserve">population, </w:t>
      </w:r>
      <w:r w:rsidR="007432C8" w:rsidRPr="008B11E7">
        <w:rPr>
          <w:rFonts w:ascii="Arial" w:hAnsi="Arial" w:cs="Arial"/>
          <w:sz w:val="20"/>
          <w:szCs w:val="20"/>
        </w:rPr>
        <w:t xml:space="preserve">medication, </w:t>
      </w:r>
      <w:r w:rsidR="006B4E63" w:rsidRPr="008B11E7">
        <w:rPr>
          <w:rFonts w:ascii="Arial" w:hAnsi="Arial" w:cs="Arial"/>
          <w:sz w:val="20"/>
          <w:szCs w:val="20"/>
        </w:rPr>
        <w:t xml:space="preserve">dosage, duration, and timing post-stroke. </w:t>
      </w:r>
      <w:r w:rsidRPr="008B11E7">
        <w:rPr>
          <w:rFonts w:ascii="Arial" w:hAnsi="Arial" w:cs="Arial"/>
          <w:sz w:val="20"/>
          <w:szCs w:val="20"/>
        </w:rPr>
        <w:t xml:space="preserve"> </w:t>
      </w:r>
    </w:p>
    <w:p w14:paraId="5C22373B" w14:textId="77777777" w:rsidR="004B2E3D" w:rsidRPr="008B11E7" w:rsidRDefault="004B2E3D" w:rsidP="008B11E7">
      <w:pPr>
        <w:spacing w:line="360" w:lineRule="auto"/>
        <w:rPr>
          <w:rFonts w:ascii="Arial" w:hAnsi="Arial" w:cs="Arial"/>
          <w:sz w:val="20"/>
          <w:szCs w:val="20"/>
        </w:rPr>
      </w:pPr>
    </w:p>
    <w:tbl>
      <w:tblPr>
        <w:tblStyle w:val="TableGrid"/>
        <w:tblW w:w="9072" w:type="dxa"/>
        <w:tblInd w:w="-5" w:type="dxa"/>
        <w:tblLook w:val="04A0" w:firstRow="1" w:lastRow="0" w:firstColumn="1" w:lastColumn="0" w:noHBand="0" w:noVBand="1"/>
      </w:tblPr>
      <w:tblGrid>
        <w:gridCol w:w="1773"/>
        <w:gridCol w:w="1534"/>
        <w:gridCol w:w="1501"/>
        <w:gridCol w:w="971"/>
        <w:gridCol w:w="1289"/>
        <w:gridCol w:w="2004"/>
      </w:tblGrid>
      <w:tr w:rsidR="003555BF" w:rsidRPr="008B11E7" w14:paraId="46A198D1" w14:textId="77777777" w:rsidTr="003555BF">
        <w:tc>
          <w:tcPr>
            <w:tcW w:w="1773" w:type="dxa"/>
            <w:vMerge w:val="restart"/>
            <w:vAlign w:val="center"/>
          </w:tcPr>
          <w:p w14:paraId="367930F2" w14:textId="4FC22239"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Publication</w:t>
            </w:r>
          </w:p>
        </w:tc>
        <w:tc>
          <w:tcPr>
            <w:tcW w:w="1534" w:type="dxa"/>
            <w:vMerge w:val="restart"/>
            <w:vAlign w:val="center"/>
          </w:tcPr>
          <w:p w14:paraId="625774CD" w14:textId="1A687799"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Study Details</w:t>
            </w:r>
          </w:p>
        </w:tc>
        <w:tc>
          <w:tcPr>
            <w:tcW w:w="5765" w:type="dxa"/>
            <w:gridSpan w:val="4"/>
            <w:vAlign w:val="center"/>
          </w:tcPr>
          <w:p w14:paraId="5028C1DA" w14:textId="77777777"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Intervention Specifics</w:t>
            </w:r>
          </w:p>
        </w:tc>
      </w:tr>
      <w:tr w:rsidR="003555BF" w:rsidRPr="008B11E7" w14:paraId="6B2B299A" w14:textId="77777777" w:rsidTr="003555BF">
        <w:tc>
          <w:tcPr>
            <w:tcW w:w="1773" w:type="dxa"/>
            <w:vMerge/>
            <w:vAlign w:val="center"/>
          </w:tcPr>
          <w:p w14:paraId="407074D9" w14:textId="19A0FACC"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p>
        </w:tc>
        <w:tc>
          <w:tcPr>
            <w:tcW w:w="1534" w:type="dxa"/>
            <w:vMerge/>
            <w:vAlign w:val="center"/>
          </w:tcPr>
          <w:p w14:paraId="353F8A64" w14:textId="3DD551CB"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p>
        </w:tc>
        <w:tc>
          <w:tcPr>
            <w:tcW w:w="1501" w:type="dxa"/>
            <w:vAlign w:val="center"/>
          </w:tcPr>
          <w:p w14:paraId="61ACE4D5" w14:textId="77777777"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Medication</w:t>
            </w:r>
          </w:p>
        </w:tc>
        <w:tc>
          <w:tcPr>
            <w:tcW w:w="971" w:type="dxa"/>
            <w:vAlign w:val="center"/>
          </w:tcPr>
          <w:p w14:paraId="40D3BCA9" w14:textId="77777777"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Dose</w:t>
            </w:r>
          </w:p>
        </w:tc>
        <w:tc>
          <w:tcPr>
            <w:tcW w:w="1289" w:type="dxa"/>
            <w:vAlign w:val="center"/>
          </w:tcPr>
          <w:p w14:paraId="15F96DD9" w14:textId="77777777"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Duration</w:t>
            </w:r>
          </w:p>
        </w:tc>
        <w:tc>
          <w:tcPr>
            <w:tcW w:w="2004" w:type="dxa"/>
            <w:vAlign w:val="center"/>
          </w:tcPr>
          <w:p w14:paraId="1CF7D821" w14:textId="77777777" w:rsidR="003555BF" w:rsidRPr="008B11E7" w:rsidRDefault="003555BF"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Timing Post-Stroke</w:t>
            </w:r>
          </w:p>
        </w:tc>
      </w:tr>
      <w:tr w:rsidR="00B30A63" w:rsidRPr="008B11E7" w14:paraId="243384F4" w14:textId="77777777" w:rsidTr="003555BF">
        <w:tc>
          <w:tcPr>
            <w:tcW w:w="1773" w:type="dxa"/>
            <w:vAlign w:val="center"/>
          </w:tcPr>
          <w:p w14:paraId="71E7DAF3"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Dawson et al., 2009</w:t>
            </w:r>
          </w:p>
        </w:tc>
        <w:tc>
          <w:tcPr>
            <w:tcW w:w="1534" w:type="dxa"/>
            <w:vAlign w:val="center"/>
          </w:tcPr>
          <w:p w14:paraId="66C78C98"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RCT with 45 patients, aged &gt;18. Also excluded patients with &gt;70% ICA stenosis.</w:t>
            </w:r>
          </w:p>
          <w:p w14:paraId="106987DA"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Mean age = 58.3</w:t>
            </w:r>
          </w:p>
        </w:tc>
        <w:tc>
          <w:tcPr>
            <w:tcW w:w="1501" w:type="dxa"/>
            <w:vAlign w:val="center"/>
          </w:tcPr>
          <w:p w14:paraId="3B8D6780"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Allopurinol vs placebo</w:t>
            </w:r>
          </w:p>
        </w:tc>
        <w:tc>
          <w:tcPr>
            <w:tcW w:w="971" w:type="dxa"/>
            <w:vAlign w:val="center"/>
          </w:tcPr>
          <w:p w14:paraId="3AC860E8"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300 mg, once daily</w:t>
            </w:r>
          </w:p>
        </w:tc>
        <w:tc>
          <w:tcPr>
            <w:tcW w:w="1289" w:type="dxa"/>
            <w:vAlign w:val="center"/>
          </w:tcPr>
          <w:p w14:paraId="343A8218"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3-month course</w:t>
            </w:r>
          </w:p>
        </w:tc>
        <w:tc>
          <w:tcPr>
            <w:tcW w:w="2004" w:type="dxa"/>
            <w:vAlign w:val="center"/>
          </w:tcPr>
          <w:p w14:paraId="439D9614"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2 weeks to 6 months</w:t>
            </w:r>
          </w:p>
          <w:p w14:paraId="0F93626C"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(0.5-6 months)</w:t>
            </w:r>
          </w:p>
        </w:tc>
      </w:tr>
      <w:tr w:rsidR="00B30A63" w:rsidRPr="008B11E7" w14:paraId="0963299F" w14:textId="77777777" w:rsidTr="003555BF">
        <w:tc>
          <w:tcPr>
            <w:tcW w:w="1773" w:type="dxa"/>
            <w:vAlign w:val="center"/>
          </w:tcPr>
          <w:p w14:paraId="67805590"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Dawson et al., 2023</w:t>
            </w:r>
          </w:p>
        </w:tc>
        <w:tc>
          <w:tcPr>
            <w:tcW w:w="1534" w:type="dxa"/>
            <w:vAlign w:val="center"/>
          </w:tcPr>
          <w:p w14:paraId="415F55BF" w14:textId="6D18A206"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RCT with 464 participants, with 372 analysed</w:t>
            </w:r>
          </w:p>
          <w:p w14:paraId="01695177" w14:textId="650CB1EB"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Aged &gt;50</w:t>
            </w:r>
          </w:p>
          <w:p w14:paraId="4066E3E0"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Included TIA patients</w:t>
            </w:r>
          </w:p>
        </w:tc>
        <w:tc>
          <w:tcPr>
            <w:tcW w:w="1501" w:type="dxa"/>
            <w:vAlign w:val="center"/>
          </w:tcPr>
          <w:p w14:paraId="4640D135"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Allopurinol vs placebo</w:t>
            </w:r>
          </w:p>
        </w:tc>
        <w:tc>
          <w:tcPr>
            <w:tcW w:w="971" w:type="dxa"/>
            <w:vAlign w:val="center"/>
          </w:tcPr>
          <w:p w14:paraId="3FA6B279"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300 mg, twice daily</w:t>
            </w:r>
          </w:p>
        </w:tc>
        <w:tc>
          <w:tcPr>
            <w:tcW w:w="1289" w:type="dxa"/>
            <w:vAlign w:val="center"/>
          </w:tcPr>
          <w:p w14:paraId="7919AC16"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104 weeks – 2 years</w:t>
            </w:r>
          </w:p>
        </w:tc>
        <w:tc>
          <w:tcPr>
            <w:tcW w:w="2004" w:type="dxa"/>
            <w:vAlign w:val="center"/>
          </w:tcPr>
          <w:p w14:paraId="68EBC9EA"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Within 30 days</w:t>
            </w:r>
          </w:p>
          <w:p w14:paraId="38AE14DD"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(1 month)</w:t>
            </w:r>
          </w:p>
        </w:tc>
      </w:tr>
      <w:tr w:rsidR="00B30A63" w:rsidRPr="008B11E7" w14:paraId="639366E0" w14:textId="77777777" w:rsidTr="003555BF">
        <w:tc>
          <w:tcPr>
            <w:tcW w:w="1773" w:type="dxa"/>
            <w:vAlign w:val="center"/>
          </w:tcPr>
          <w:p w14:paraId="3C40693E"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Higgins et al., 2014</w:t>
            </w:r>
          </w:p>
        </w:tc>
        <w:tc>
          <w:tcPr>
            <w:tcW w:w="1534" w:type="dxa"/>
            <w:vAlign w:val="center"/>
          </w:tcPr>
          <w:p w14:paraId="0E123702"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RCT with 80 participates, mean age of 67.8.</w:t>
            </w:r>
          </w:p>
          <w:p w14:paraId="6BD50624" w14:textId="33127A3C"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Aged &gt;18</w:t>
            </w:r>
          </w:p>
          <w:p w14:paraId="665978AE"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p>
        </w:tc>
        <w:tc>
          <w:tcPr>
            <w:tcW w:w="1501" w:type="dxa"/>
            <w:vAlign w:val="center"/>
          </w:tcPr>
          <w:p w14:paraId="117790BE"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Allopurinol vs placebo</w:t>
            </w:r>
          </w:p>
        </w:tc>
        <w:tc>
          <w:tcPr>
            <w:tcW w:w="971" w:type="dxa"/>
            <w:vAlign w:val="center"/>
          </w:tcPr>
          <w:p w14:paraId="32F88139"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300 mg daily</w:t>
            </w:r>
          </w:p>
        </w:tc>
        <w:tc>
          <w:tcPr>
            <w:tcW w:w="1289" w:type="dxa"/>
            <w:vAlign w:val="center"/>
          </w:tcPr>
          <w:p w14:paraId="02822407"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12 months</w:t>
            </w:r>
          </w:p>
        </w:tc>
        <w:tc>
          <w:tcPr>
            <w:tcW w:w="2004" w:type="dxa"/>
            <w:vAlign w:val="center"/>
          </w:tcPr>
          <w:p w14:paraId="55ACDC7C"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Within 12 months</w:t>
            </w:r>
          </w:p>
        </w:tc>
      </w:tr>
      <w:tr w:rsidR="00B30A63" w:rsidRPr="008B11E7" w14:paraId="19CBDBBC" w14:textId="77777777" w:rsidTr="003555BF">
        <w:tc>
          <w:tcPr>
            <w:tcW w:w="1773" w:type="dxa"/>
            <w:vAlign w:val="center"/>
          </w:tcPr>
          <w:p w14:paraId="28DE8A73"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Khan et al., 2008</w:t>
            </w:r>
          </w:p>
        </w:tc>
        <w:tc>
          <w:tcPr>
            <w:tcW w:w="1534" w:type="dxa"/>
            <w:vAlign w:val="center"/>
          </w:tcPr>
          <w:p w14:paraId="7C7226E7"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RCT with 30 patients with high urate (&gt;0.38 mmol/L)</w:t>
            </w:r>
          </w:p>
          <w:p w14:paraId="424B76E9"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p>
          <w:p w14:paraId="641DA062"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28 analysed</w:t>
            </w:r>
          </w:p>
        </w:tc>
        <w:tc>
          <w:tcPr>
            <w:tcW w:w="1501" w:type="dxa"/>
            <w:vAlign w:val="center"/>
          </w:tcPr>
          <w:p w14:paraId="5F9EC457"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Allopurinol vs placebo</w:t>
            </w:r>
          </w:p>
        </w:tc>
        <w:tc>
          <w:tcPr>
            <w:tcW w:w="971" w:type="dxa"/>
            <w:vAlign w:val="center"/>
          </w:tcPr>
          <w:p w14:paraId="68DF174B"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300 mg daily</w:t>
            </w:r>
          </w:p>
        </w:tc>
        <w:tc>
          <w:tcPr>
            <w:tcW w:w="1289" w:type="dxa"/>
            <w:vAlign w:val="center"/>
          </w:tcPr>
          <w:p w14:paraId="518D8258"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8 weeks</w:t>
            </w:r>
          </w:p>
        </w:tc>
        <w:tc>
          <w:tcPr>
            <w:tcW w:w="2004" w:type="dxa"/>
            <w:vAlign w:val="center"/>
          </w:tcPr>
          <w:p w14:paraId="3CCE4B9A"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 xml:space="preserve">Average time was 138 </w:t>
            </w:r>
            <m:oMath>
              <m:r>
                <w:rPr>
                  <w:rFonts w:ascii="Cambria Math" w:eastAsia="Times New Roman" w:hAnsi="Cambria Math" w:cs="Arial"/>
                  <w:color w:val="000000"/>
                  <w:kern w:val="0"/>
                  <w:sz w:val="20"/>
                  <w:szCs w:val="20"/>
                  <w14:ligatures w14:val="none"/>
                </w:rPr>
                <m:t>±</m:t>
              </m:r>
            </m:oMath>
            <w:r w:rsidRPr="008B11E7">
              <w:rPr>
                <w:rFonts w:ascii="Arial" w:eastAsia="Times New Roman" w:hAnsi="Arial" w:cs="Arial"/>
                <w:color w:val="000000"/>
                <w:kern w:val="0"/>
                <w:sz w:val="20"/>
                <w:szCs w:val="20"/>
                <w14:ligatures w14:val="none"/>
              </w:rPr>
              <w:t xml:space="preserve"> 94 weeks and 145 </w:t>
            </w:r>
            <m:oMath>
              <m:r>
                <w:rPr>
                  <w:rFonts w:ascii="Cambria Math" w:eastAsia="Times New Roman" w:hAnsi="Cambria Math" w:cs="Arial"/>
                  <w:color w:val="000000"/>
                  <w:kern w:val="0"/>
                  <w:sz w:val="20"/>
                  <w:szCs w:val="20"/>
                  <w14:ligatures w14:val="none"/>
                </w:rPr>
                <m:t>±</m:t>
              </m:r>
            </m:oMath>
            <w:r w:rsidRPr="008B11E7">
              <w:rPr>
                <w:rFonts w:ascii="Arial" w:eastAsia="Times New Roman" w:hAnsi="Arial" w:cs="Arial"/>
                <w:color w:val="000000"/>
                <w:kern w:val="0"/>
                <w:sz w:val="20"/>
                <w:szCs w:val="20"/>
                <w14:ligatures w14:val="none"/>
              </w:rPr>
              <w:t xml:space="preserve">  101 weeks in the allopurinol and placebo group, respectively.</w:t>
            </w:r>
          </w:p>
          <w:p w14:paraId="5137206C"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Allopurinol: 11-58 months</w:t>
            </w:r>
          </w:p>
          <w:p w14:paraId="4AE3A208"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Placebo: 11-61.5 months</w:t>
            </w:r>
          </w:p>
        </w:tc>
      </w:tr>
      <w:tr w:rsidR="00B30A63" w:rsidRPr="008B11E7" w14:paraId="40EDFE0D" w14:textId="77777777" w:rsidTr="003555BF">
        <w:tc>
          <w:tcPr>
            <w:tcW w:w="1773" w:type="dxa"/>
            <w:vAlign w:val="center"/>
          </w:tcPr>
          <w:p w14:paraId="3CB97212"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Muir et al., 2008</w:t>
            </w:r>
          </w:p>
        </w:tc>
        <w:tc>
          <w:tcPr>
            <w:tcW w:w="1534" w:type="dxa"/>
            <w:vAlign w:val="center"/>
          </w:tcPr>
          <w:p w14:paraId="3159EDEA"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RCT with 50 patients</w:t>
            </w:r>
          </w:p>
          <w:p w14:paraId="6208E786"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Mean age of 70 years</w:t>
            </w:r>
          </w:p>
        </w:tc>
        <w:tc>
          <w:tcPr>
            <w:tcW w:w="1501" w:type="dxa"/>
            <w:vAlign w:val="center"/>
          </w:tcPr>
          <w:p w14:paraId="0AA6DE65"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High dose (300 mg) allopurinol vs low dose (100 mg) vs placebo.</w:t>
            </w:r>
          </w:p>
        </w:tc>
        <w:tc>
          <w:tcPr>
            <w:tcW w:w="971" w:type="dxa"/>
            <w:vAlign w:val="center"/>
          </w:tcPr>
          <w:p w14:paraId="3EAE6C95"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300 mg daily for high dose</w:t>
            </w:r>
          </w:p>
          <w:p w14:paraId="44886A31"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 xml:space="preserve">100 mg daily for </w:t>
            </w:r>
            <w:r w:rsidRPr="008B11E7">
              <w:rPr>
                <w:rFonts w:ascii="Arial" w:eastAsia="Times New Roman" w:hAnsi="Arial" w:cs="Arial"/>
                <w:color w:val="000000"/>
                <w:kern w:val="0"/>
                <w:sz w:val="20"/>
                <w:szCs w:val="20"/>
                <w14:ligatures w14:val="none"/>
              </w:rPr>
              <w:lastRenderedPageBreak/>
              <w:t>low dose</w:t>
            </w:r>
          </w:p>
        </w:tc>
        <w:tc>
          <w:tcPr>
            <w:tcW w:w="1289" w:type="dxa"/>
            <w:vAlign w:val="center"/>
          </w:tcPr>
          <w:p w14:paraId="405EC061"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lastRenderedPageBreak/>
              <w:t>6 weeks</w:t>
            </w:r>
          </w:p>
        </w:tc>
        <w:tc>
          <w:tcPr>
            <w:tcW w:w="2004" w:type="dxa"/>
            <w:vAlign w:val="center"/>
          </w:tcPr>
          <w:p w14:paraId="0E071645"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Within 72 hours</w:t>
            </w:r>
          </w:p>
        </w:tc>
      </w:tr>
      <w:tr w:rsidR="00B30A63" w:rsidRPr="008B11E7" w14:paraId="547035FD" w14:textId="77777777" w:rsidTr="003555BF">
        <w:tc>
          <w:tcPr>
            <w:tcW w:w="1773" w:type="dxa"/>
            <w:vAlign w:val="center"/>
          </w:tcPr>
          <w:p w14:paraId="05382047" w14:textId="66E81EEB"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hAnsi="Arial" w:cs="Arial"/>
                <w:sz w:val="20"/>
                <w:szCs w:val="20"/>
              </w:rPr>
              <w:t>Taheraghdam et al., 2014</w:t>
            </w:r>
          </w:p>
        </w:tc>
        <w:tc>
          <w:tcPr>
            <w:tcW w:w="1534" w:type="dxa"/>
            <w:vAlign w:val="center"/>
          </w:tcPr>
          <w:p w14:paraId="553AF851"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RCT with 70 patients</w:t>
            </w:r>
          </w:p>
          <w:p w14:paraId="525521ED"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Mean age of 68.9 years</w:t>
            </w:r>
          </w:p>
        </w:tc>
        <w:tc>
          <w:tcPr>
            <w:tcW w:w="1501" w:type="dxa"/>
            <w:vAlign w:val="center"/>
          </w:tcPr>
          <w:p w14:paraId="27036D85"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Allopurinol vs placebo</w:t>
            </w:r>
          </w:p>
        </w:tc>
        <w:tc>
          <w:tcPr>
            <w:tcW w:w="971" w:type="dxa"/>
            <w:vAlign w:val="center"/>
          </w:tcPr>
          <w:p w14:paraId="498D5AC9"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200 mg daily</w:t>
            </w:r>
          </w:p>
        </w:tc>
        <w:tc>
          <w:tcPr>
            <w:tcW w:w="1289" w:type="dxa"/>
            <w:vAlign w:val="center"/>
          </w:tcPr>
          <w:p w14:paraId="4EE0B832"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3 months</w:t>
            </w:r>
          </w:p>
        </w:tc>
        <w:tc>
          <w:tcPr>
            <w:tcW w:w="2004" w:type="dxa"/>
            <w:vAlign w:val="center"/>
          </w:tcPr>
          <w:p w14:paraId="1E073493" w14:textId="77777777" w:rsidR="004B2E3D" w:rsidRPr="008B11E7"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Patients were admitted to hospital within first 24 hours of symptom initiation</w:t>
            </w:r>
          </w:p>
          <w:p w14:paraId="1578C026" w14:textId="77777777" w:rsidR="004B2E3D" w:rsidRPr="00CE65FD" w:rsidRDefault="004B2E3D" w:rsidP="00CE65FD">
            <w:pPr>
              <w:spacing w:before="100" w:beforeAutospacing="1" w:after="100" w:afterAutospacing="1"/>
              <w:jc w:val="center"/>
              <w:rPr>
                <w:rFonts w:ascii="Arial" w:eastAsia="Times New Roman" w:hAnsi="Arial" w:cs="Arial"/>
                <w:color w:val="000000"/>
                <w:kern w:val="0"/>
                <w:sz w:val="20"/>
                <w:szCs w:val="20"/>
                <w14:ligatures w14:val="none"/>
              </w:rPr>
            </w:pPr>
            <w:r w:rsidRPr="00CE65FD">
              <w:rPr>
                <w:rFonts w:ascii="Arial" w:eastAsia="Times New Roman" w:hAnsi="Arial" w:cs="Arial"/>
                <w:color w:val="000000"/>
                <w:kern w:val="0"/>
                <w:sz w:val="20"/>
                <w:szCs w:val="20"/>
                <w14:ligatures w14:val="none"/>
              </w:rPr>
              <w:t>Dosing began a day after baseline assessment (occurring on day of admission)</w:t>
            </w:r>
          </w:p>
        </w:tc>
      </w:tr>
    </w:tbl>
    <w:p w14:paraId="2D1EE4A7" w14:textId="77777777" w:rsidR="00B30A63" w:rsidRPr="008B11E7" w:rsidRDefault="00B30A63" w:rsidP="008B11E7">
      <w:pPr>
        <w:rPr>
          <w:rFonts w:ascii="Arial" w:hAnsi="Arial" w:cs="Arial"/>
          <w:sz w:val="20"/>
          <w:szCs w:val="20"/>
        </w:rPr>
      </w:pPr>
    </w:p>
    <w:p w14:paraId="47711125" w14:textId="77777777" w:rsidR="00F06566" w:rsidRDefault="00F06566" w:rsidP="008B11E7">
      <w:pPr>
        <w:rPr>
          <w:rFonts w:ascii="Arial" w:hAnsi="Arial" w:cs="Arial"/>
          <w:sz w:val="20"/>
          <w:szCs w:val="20"/>
        </w:rPr>
      </w:pPr>
    </w:p>
    <w:p w14:paraId="4592BE31" w14:textId="77777777" w:rsidR="001E7D6A" w:rsidRPr="008B11E7" w:rsidRDefault="001E7D6A" w:rsidP="008B11E7">
      <w:pPr>
        <w:rPr>
          <w:rFonts w:ascii="Arial" w:hAnsi="Arial" w:cs="Arial"/>
          <w:sz w:val="20"/>
          <w:szCs w:val="20"/>
        </w:rPr>
      </w:pPr>
    </w:p>
    <w:p w14:paraId="53F81935" w14:textId="3C327677" w:rsidR="00146BCA" w:rsidRPr="008B11E7" w:rsidRDefault="00550DF5" w:rsidP="008B11E7">
      <w:pPr>
        <w:pStyle w:val="ListParagraph"/>
        <w:numPr>
          <w:ilvl w:val="0"/>
          <w:numId w:val="3"/>
        </w:numPr>
        <w:rPr>
          <w:rFonts w:ascii="Arial" w:hAnsi="Arial" w:cs="Arial"/>
          <w:b/>
          <w:bCs/>
        </w:rPr>
      </w:pPr>
      <w:r w:rsidRPr="008B11E7">
        <w:rPr>
          <w:rFonts w:ascii="Arial" w:hAnsi="Arial" w:cs="Arial"/>
          <w:b/>
          <w:bCs/>
        </w:rPr>
        <w:t>SYNTHESISED RESULTS</w:t>
      </w:r>
    </w:p>
    <w:p w14:paraId="477C64D4" w14:textId="77777777" w:rsidR="00146BCA" w:rsidRPr="008B11E7" w:rsidRDefault="00146BCA" w:rsidP="008B11E7">
      <w:pPr>
        <w:rPr>
          <w:rFonts w:ascii="Arial" w:hAnsi="Arial" w:cs="Arial"/>
          <w:sz w:val="20"/>
          <w:szCs w:val="20"/>
        </w:rPr>
      </w:pPr>
    </w:p>
    <w:p w14:paraId="0209FA69" w14:textId="421B690E" w:rsidR="00F06566" w:rsidRPr="008B11E7" w:rsidRDefault="00F06566" w:rsidP="008B11E7">
      <w:pPr>
        <w:spacing w:line="360" w:lineRule="auto"/>
        <w:rPr>
          <w:rFonts w:ascii="Arial" w:hAnsi="Arial" w:cs="Arial"/>
          <w:sz w:val="20"/>
          <w:szCs w:val="20"/>
        </w:rPr>
      </w:pPr>
      <w:r w:rsidRPr="008B11E7">
        <w:rPr>
          <w:rFonts w:ascii="Arial" w:hAnsi="Arial" w:cs="Arial"/>
          <w:b/>
          <w:bCs/>
          <w:sz w:val="20"/>
          <w:szCs w:val="20"/>
        </w:rPr>
        <w:t>Supplementary Item S</w:t>
      </w:r>
      <w:r w:rsidR="00934208" w:rsidRPr="008B11E7">
        <w:rPr>
          <w:rFonts w:ascii="Arial" w:hAnsi="Arial" w:cs="Arial"/>
          <w:b/>
          <w:bCs/>
          <w:sz w:val="20"/>
          <w:szCs w:val="20"/>
        </w:rPr>
        <w:t>6</w:t>
      </w:r>
      <w:r w:rsidRPr="008B11E7">
        <w:rPr>
          <w:rFonts w:ascii="Arial" w:hAnsi="Arial" w:cs="Arial"/>
          <w:b/>
          <w:bCs/>
          <w:sz w:val="20"/>
          <w:szCs w:val="20"/>
        </w:rPr>
        <w:t xml:space="preserve">. </w:t>
      </w:r>
      <w:r w:rsidRPr="008B11E7">
        <w:rPr>
          <w:rFonts w:ascii="Arial" w:hAnsi="Arial" w:cs="Arial"/>
          <w:sz w:val="20"/>
          <w:szCs w:val="20"/>
        </w:rPr>
        <w:t xml:space="preserve">A table illustrating </w:t>
      </w:r>
      <w:r w:rsidR="00513C15" w:rsidRPr="008B11E7">
        <w:rPr>
          <w:rFonts w:ascii="Arial" w:hAnsi="Arial" w:cs="Arial"/>
          <w:sz w:val="20"/>
          <w:szCs w:val="20"/>
        </w:rPr>
        <w:t xml:space="preserve">the results </w:t>
      </w:r>
      <w:r w:rsidR="00AA0BA9" w:rsidRPr="008B11E7">
        <w:rPr>
          <w:rFonts w:ascii="Arial" w:hAnsi="Arial" w:cs="Arial"/>
          <w:sz w:val="20"/>
          <w:szCs w:val="20"/>
        </w:rPr>
        <w:t xml:space="preserve">and key findings of each of the included studies, </w:t>
      </w:r>
      <w:r w:rsidR="00313060" w:rsidRPr="008B11E7">
        <w:rPr>
          <w:rFonts w:ascii="Arial" w:hAnsi="Arial" w:cs="Arial"/>
          <w:sz w:val="20"/>
          <w:szCs w:val="20"/>
        </w:rPr>
        <w:t xml:space="preserve">synthesised from the dual independent screening and extraction of articles. </w:t>
      </w:r>
    </w:p>
    <w:p w14:paraId="6B117AED" w14:textId="77777777" w:rsidR="00B30A63" w:rsidRPr="008B11E7" w:rsidRDefault="00B30A63" w:rsidP="008B11E7">
      <w:pPr>
        <w:spacing w:line="360" w:lineRule="auto"/>
        <w:rPr>
          <w:rFonts w:ascii="Arial" w:hAnsi="Arial" w:cs="Arial"/>
          <w:sz w:val="20"/>
          <w:szCs w:val="20"/>
        </w:rPr>
      </w:pPr>
    </w:p>
    <w:tbl>
      <w:tblPr>
        <w:tblStyle w:val="TableGrid"/>
        <w:tblW w:w="9072" w:type="dxa"/>
        <w:tblInd w:w="-5" w:type="dxa"/>
        <w:tblLook w:val="04A0" w:firstRow="1" w:lastRow="0" w:firstColumn="1" w:lastColumn="0" w:noHBand="0" w:noVBand="1"/>
      </w:tblPr>
      <w:tblGrid>
        <w:gridCol w:w="1826"/>
        <w:gridCol w:w="7246"/>
      </w:tblGrid>
      <w:tr w:rsidR="00817109" w:rsidRPr="008B11E7" w14:paraId="71A7B980" w14:textId="77777777" w:rsidTr="00B96B78">
        <w:tc>
          <w:tcPr>
            <w:tcW w:w="1826" w:type="dxa"/>
            <w:vAlign w:val="center"/>
          </w:tcPr>
          <w:p w14:paraId="518DE8AC" w14:textId="258FF551" w:rsidR="00817109" w:rsidRPr="008B11E7" w:rsidRDefault="00770F75"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Article</w:t>
            </w:r>
          </w:p>
        </w:tc>
        <w:tc>
          <w:tcPr>
            <w:tcW w:w="7246" w:type="dxa"/>
            <w:vAlign w:val="center"/>
          </w:tcPr>
          <w:p w14:paraId="1ACAD059" w14:textId="77777777" w:rsidR="00817109" w:rsidRPr="008B11E7" w:rsidRDefault="00817109" w:rsidP="008B11E7">
            <w:pPr>
              <w:spacing w:before="100" w:beforeAutospacing="1" w:after="100" w:afterAutospacing="1"/>
              <w:jc w:val="center"/>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Results</w:t>
            </w:r>
          </w:p>
        </w:tc>
      </w:tr>
      <w:tr w:rsidR="00817109" w:rsidRPr="008B11E7" w14:paraId="34A17609" w14:textId="77777777" w:rsidTr="00D16C4A">
        <w:tc>
          <w:tcPr>
            <w:tcW w:w="1826" w:type="dxa"/>
            <w:vAlign w:val="center"/>
          </w:tcPr>
          <w:p w14:paraId="4A84552A" w14:textId="77777777" w:rsidR="00817109" w:rsidRPr="008B11E7" w:rsidRDefault="00817109" w:rsidP="008B11E7">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Dawson et al., 2009</w:t>
            </w:r>
          </w:p>
        </w:tc>
        <w:tc>
          <w:tcPr>
            <w:tcW w:w="7246" w:type="dxa"/>
            <w:vAlign w:val="center"/>
          </w:tcPr>
          <w:p w14:paraId="6B555A48" w14:textId="77777777" w:rsidR="00817109" w:rsidRPr="008B11E7" w:rsidRDefault="00817109" w:rsidP="008B11E7">
            <w:pPr>
              <w:spacing w:before="100" w:beforeAutospacing="1" w:after="100" w:afterAutospacing="1"/>
              <w:rPr>
                <w:rFonts w:ascii="Arial" w:hAnsi="Arial" w:cs="Arial"/>
                <w:color w:val="212121"/>
                <w:sz w:val="20"/>
                <w:szCs w:val="20"/>
                <w:shd w:val="clear" w:color="auto" w:fill="FFFFFF"/>
              </w:rPr>
            </w:pPr>
            <w:r w:rsidRPr="008B11E7">
              <w:rPr>
                <w:rFonts w:ascii="Arial" w:hAnsi="Arial" w:cs="Arial"/>
                <w:color w:val="212121"/>
                <w:sz w:val="20"/>
                <w:szCs w:val="20"/>
                <w:shd w:val="clear" w:color="auto" w:fill="FFFFFF"/>
              </w:rPr>
              <w:t>Cerebrovascular Reactivity (CVR) did not change following treatment with allopurinol [median CVR change 0.89% after allopurinol (n = 20) and -0.68% after placebo (n = 25).</w:t>
            </w:r>
          </w:p>
          <w:p w14:paraId="447570AB" w14:textId="77777777" w:rsidR="00817109" w:rsidRPr="008B11E7" w:rsidRDefault="00817109" w:rsidP="008B11E7">
            <w:pPr>
              <w:pStyle w:val="ListParagraph"/>
              <w:numPr>
                <w:ilvl w:val="0"/>
                <w:numId w:val="2"/>
              </w:numPr>
              <w:spacing w:before="100" w:beforeAutospacing="1" w:after="100" w:afterAutospacing="1" w:line="240" w:lineRule="auto"/>
              <w:rPr>
                <w:rFonts w:ascii="Arial" w:hAnsi="Arial" w:cs="Arial"/>
                <w:color w:val="212121"/>
                <w:sz w:val="20"/>
                <w:szCs w:val="20"/>
                <w:shd w:val="clear" w:color="auto" w:fill="FFFFFF"/>
              </w:rPr>
            </w:pPr>
            <w:r w:rsidRPr="008B11E7">
              <w:rPr>
                <w:rFonts w:ascii="Arial" w:hAnsi="Arial" w:cs="Arial"/>
                <w:color w:val="212121"/>
                <w:sz w:val="20"/>
                <w:szCs w:val="20"/>
                <w:shd w:val="clear" w:color="auto" w:fill="FFFFFF"/>
              </w:rPr>
              <w:t>CVR was defined as the percentage change in middle cerebral artery flow velocity following an intravenous injection of 15 mg kg−1 of acetazolamide.</w:t>
            </w:r>
          </w:p>
          <w:p w14:paraId="68703B57" w14:textId="77777777" w:rsidR="00817109" w:rsidRPr="008B11E7" w:rsidRDefault="00817109" w:rsidP="008B11E7">
            <w:pPr>
              <w:spacing w:before="100" w:beforeAutospacing="1" w:after="100" w:afterAutospacing="1"/>
              <w:rPr>
                <w:rFonts w:ascii="Arial" w:eastAsia="Times New Roman" w:hAnsi="Arial" w:cs="Arial"/>
                <w:b/>
                <w:bCs/>
                <w:color w:val="000000"/>
                <w:kern w:val="0"/>
                <w:sz w:val="20"/>
                <w:szCs w:val="20"/>
                <w14:ligatures w14:val="none"/>
              </w:rPr>
            </w:pPr>
            <w:r w:rsidRPr="008B11E7">
              <w:rPr>
                <w:rFonts w:ascii="Arial" w:eastAsia="Times New Roman" w:hAnsi="Arial" w:cs="Arial"/>
                <w:b/>
                <w:bCs/>
                <w:color w:val="000000"/>
                <w:kern w:val="0"/>
                <w:sz w:val="20"/>
                <w:szCs w:val="20"/>
                <w14:ligatures w14:val="none"/>
              </w:rPr>
              <w:t>No benefit was found in this study</w:t>
            </w:r>
          </w:p>
        </w:tc>
      </w:tr>
      <w:tr w:rsidR="00817109" w:rsidRPr="008B11E7" w14:paraId="349BA46D" w14:textId="77777777" w:rsidTr="00D16C4A">
        <w:tc>
          <w:tcPr>
            <w:tcW w:w="1826" w:type="dxa"/>
            <w:vAlign w:val="center"/>
          </w:tcPr>
          <w:p w14:paraId="313A13A8" w14:textId="77777777" w:rsidR="00817109" w:rsidRPr="008B11E7" w:rsidRDefault="00817109" w:rsidP="008B11E7">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Dawson et al., 2023</w:t>
            </w:r>
          </w:p>
        </w:tc>
        <w:tc>
          <w:tcPr>
            <w:tcW w:w="7246" w:type="dxa"/>
            <w:vAlign w:val="center"/>
          </w:tcPr>
          <w:p w14:paraId="607B251A" w14:textId="77777777" w:rsidR="00817109" w:rsidRPr="008B11E7" w:rsidRDefault="00817109" w:rsidP="008B11E7">
            <w:pPr>
              <w:spacing w:before="100" w:beforeAutospacing="1" w:after="100" w:afterAutospacing="1"/>
              <w:rPr>
                <w:rFonts w:ascii="Arial" w:hAnsi="Arial" w:cs="Arial"/>
                <w:color w:val="212121"/>
                <w:sz w:val="20"/>
                <w:szCs w:val="20"/>
                <w:shd w:val="clear" w:color="auto" w:fill="FFFFFF"/>
              </w:rPr>
            </w:pPr>
            <w:r w:rsidRPr="008B11E7">
              <w:rPr>
                <w:rFonts w:ascii="Arial" w:eastAsia="Times New Roman" w:hAnsi="Arial" w:cs="Arial"/>
                <w:color w:val="000000"/>
                <w:kern w:val="0"/>
                <w:sz w:val="20"/>
                <w:szCs w:val="20"/>
                <w14:ligatures w14:val="none"/>
              </w:rPr>
              <w:t xml:space="preserve">Volumetric assessment of </w:t>
            </w:r>
            <w:r w:rsidRPr="008B11E7">
              <w:rPr>
                <w:rFonts w:ascii="Arial" w:hAnsi="Arial" w:cs="Arial"/>
                <w:color w:val="212121"/>
                <w:sz w:val="20"/>
                <w:szCs w:val="20"/>
                <w:shd w:val="clear" w:color="auto" w:fill="FFFFFF"/>
              </w:rPr>
              <w:t>white matter hyperintensity (WMH) and calculation Rotterdam Progression Score (RPS) occurred at week 104.</w:t>
            </w:r>
          </w:p>
          <w:p w14:paraId="6F4B3EBE" w14:textId="77777777" w:rsidR="00817109" w:rsidRPr="008B11E7" w:rsidRDefault="00817109" w:rsidP="008B11E7">
            <w:pPr>
              <w:pStyle w:val="ListParagraph"/>
              <w:numPr>
                <w:ilvl w:val="0"/>
                <w:numId w:val="2"/>
              </w:numPr>
              <w:spacing w:before="100" w:beforeAutospacing="1" w:after="100" w:afterAutospacing="1" w:line="240" w:lineRule="auto"/>
              <w:rPr>
                <w:rFonts w:ascii="Arial" w:hAnsi="Arial" w:cs="Arial"/>
                <w:color w:val="212121"/>
                <w:sz w:val="20"/>
                <w:szCs w:val="20"/>
                <w:shd w:val="clear" w:color="auto" w:fill="FFFFFF"/>
              </w:rPr>
            </w:pPr>
            <w:r w:rsidRPr="008B11E7">
              <w:rPr>
                <w:rFonts w:ascii="Arial" w:hAnsi="Arial" w:cs="Arial"/>
                <w:color w:val="212121"/>
                <w:sz w:val="20"/>
                <w:szCs w:val="20"/>
                <w:shd w:val="clear" w:color="auto" w:fill="FFFFFF"/>
              </w:rPr>
              <w:t>WMH is a marker of cerebral small vessel disease and is present in 90% of people with ischaemic stroke. The degree of WMH progression over time are associated with higher rates of stroke, death, and cognitive and physical decline.</w:t>
            </w:r>
          </w:p>
          <w:p w14:paraId="34B2F93C" w14:textId="2628DEC4" w:rsidR="00817109" w:rsidRPr="008B11E7" w:rsidRDefault="00817109" w:rsidP="008B11E7">
            <w:pPr>
              <w:pStyle w:val="ListParagraph"/>
              <w:numPr>
                <w:ilvl w:val="0"/>
                <w:numId w:val="2"/>
              </w:numPr>
              <w:spacing w:before="100" w:beforeAutospacing="1" w:after="100" w:afterAutospacing="1" w:line="240" w:lineRule="auto"/>
              <w:rPr>
                <w:rFonts w:ascii="Arial" w:hAnsi="Arial" w:cs="Arial"/>
                <w:color w:val="212121"/>
                <w:sz w:val="20"/>
                <w:szCs w:val="20"/>
                <w:shd w:val="clear" w:color="auto" w:fill="FFFFFF"/>
              </w:rPr>
            </w:pPr>
            <w:r w:rsidRPr="008B11E7">
              <w:rPr>
                <w:rFonts w:ascii="Arial" w:hAnsi="Arial" w:cs="Arial"/>
                <w:color w:val="212121"/>
                <w:sz w:val="20"/>
                <w:szCs w:val="20"/>
                <w:shd w:val="clear" w:color="auto" w:fill="FFFFFF"/>
              </w:rPr>
              <w:t>RPS helps quantify progression of WMH over time</w:t>
            </w:r>
          </w:p>
          <w:p w14:paraId="5110302A" w14:textId="77777777" w:rsidR="00817109" w:rsidRPr="008B11E7" w:rsidRDefault="00817109" w:rsidP="008B11E7">
            <w:pPr>
              <w:spacing w:before="100" w:beforeAutospacing="1" w:after="100" w:afterAutospacing="1"/>
              <w:rPr>
                <w:rFonts w:ascii="Arial" w:hAnsi="Arial" w:cs="Arial"/>
                <w:color w:val="212121"/>
                <w:sz w:val="20"/>
                <w:szCs w:val="20"/>
                <w:shd w:val="clear" w:color="auto" w:fill="FFFFFF"/>
              </w:rPr>
            </w:pPr>
            <w:r w:rsidRPr="008B11E7">
              <w:rPr>
                <w:rFonts w:ascii="Arial" w:hAnsi="Arial" w:cs="Arial"/>
                <w:color w:val="212121"/>
                <w:sz w:val="20"/>
                <w:szCs w:val="20"/>
                <w:shd w:val="clear" w:color="auto" w:fill="FFFFFF"/>
              </w:rPr>
              <w:t>Results:</w:t>
            </w:r>
          </w:p>
          <w:p w14:paraId="75148C07" w14:textId="77777777" w:rsidR="00817109" w:rsidRPr="008B11E7" w:rsidRDefault="00817109" w:rsidP="008B11E7">
            <w:pPr>
              <w:spacing w:before="100" w:beforeAutospacing="1" w:after="100" w:afterAutospacing="1"/>
              <w:ind w:left="360"/>
              <w:rPr>
                <w:rFonts w:ascii="Arial" w:hAnsi="Arial" w:cs="Arial"/>
                <w:color w:val="212121"/>
                <w:sz w:val="20"/>
                <w:szCs w:val="20"/>
                <w:shd w:val="clear" w:color="auto" w:fill="FFFFFF"/>
              </w:rPr>
            </w:pPr>
            <w:r w:rsidRPr="008B11E7">
              <w:rPr>
                <w:rFonts w:ascii="Arial" w:hAnsi="Arial" w:cs="Arial"/>
                <w:color w:val="212121"/>
                <w:sz w:val="20"/>
                <w:szCs w:val="20"/>
                <w:shd w:val="clear" w:color="auto" w:fill="FFFFFF"/>
              </w:rPr>
              <w:t xml:space="preserve">The RPS at week 104 was </w:t>
            </w:r>
            <w:r w:rsidRPr="008B11E7">
              <w:rPr>
                <w:rFonts w:ascii="Arial" w:hAnsi="Arial" w:cs="Arial"/>
                <w:b/>
                <w:bCs/>
                <w:color w:val="212121"/>
                <w:sz w:val="20"/>
                <w:szCs w:val="20"/>
                <w:shd w:val="clear" w:color="auto" w:fill="FFFFFF"/>
              </w:rPr>
              <w:t>1.3 (SD 1.8) with allopurinol and 1.5 (SD 1.9) with placebo</w:t>
            </w:r>
            <w:r w:rsidRPr="008B11E7">
              <w:rPr>
                <w:rFonts w:ascii="Arial" w:hAnsi="Arial" w:cs="Arial"/>
                <w:color w:val="212121"/>
                <w:sz w:val="20"/>
                <w:szCs w:val="20"/>
                <w:shd w:val="clear" w:color="auto" w:fill="FFFFFF"/>
              </w:rPr>
              <w:t xml:space="preserve"> (between group difference -0.17, 95% CI -0.52 to 0.17, p = 0.33)</w:t>
            </w:r>
          </w:p>
          <w:p w14:paraId="304CE167" w14:textId="77777777" w:rsidR="00817109" w:rsidRPr="008B11E7" w:rsidRDefault="00817109" w:rsidP="008B11E7">
            <w:pPr>
              <w:spacing w:before="100" w:beforeAutospacing="1" w:after="100" w:afterAutospacing="1"/>
              <w:ind w:left="360"/>
              <w:rPr>
                <w:rFonts w:ascii="Arial" w:hAnsi="Arial" w:cs="Arial"/>
                <w:color w:val="212121"/>
                <w:sz w:val="20"/>
                <w:szCs w:val="20"/>
                <w:shd w:val="clear" w:color="auto" w:fill="FFFFFF"/>
              </w:rPr>
            </w:pPr>
            <w:r w:rsidRPr="008B11E7">
              <w:rPr>
                <w:rFonts w:ascii="Arial" w:hAnsi="Arial" w:cs="Arial"/>
                <w:color w:val="212121"/>
                <w:sz w:val="20"/>
                <w:szCs w:val="20"/>
                <w:shd w:val="clear" w:color="auto" w:fill="FFFFFF"/>
              </w:rPr>
              <w:t>No benefit was found in this study</w:t>
            </w:r>
          </w:p>
          <w:p w14:paraId="107005D0" w14:textId="77777777" w:rsidR="00817109" w:rsidRPr="008B11E7" w:rsidRDefault="00817109" w:rsidP="008B11E7">
            <w:pPr>
              <w:pStyle w:val="ListParagraph"/>
              <w:numPr>
                <w:ilvl w:val="0"/>
                <w:numId w:val="2"/>
              </w:numPr>
              <w:spacing w:before="100" w:beforeAutospacing="1" w:after="100" w:afterAutospacing="1" w:line="240" w:lineRule="auto"/>
              <w:rPr>
                <w:rFonts w:ascii="Arial" w:hAnsi="Arial" w:cs="Arial"/>
                <w:color w:val="212121"/>
                <w:sz w:val="20"/>
                <w:szCs w:val="20"/>
                <w:shd w:val="clear" w:color="auto" w:fill="FFFFFF"/>
              </w:rPr>
            </w:pPr>
            <w:r w:rsidRPr="008B11E7">
              <w:rPr>
                <w:rFonts w:ascii="Arial" w:hAnsi="Arial" w:cs="Arial"/>
                <w:color w:val="212121"/>
                <w:sz w:val="20"/>
                <w:szCs w:val="20"/>
                <w:shd w:val="clear" w:color="auto" w:fill="FFFFFF"/>
              </w:rPr>
              <w:t xml:space="preserve">Allopurinol use </w:t>
            </w:r>
            <w:r w:rsidRPr="008B11E7">
              <w:rPr>
                <w:rFonts w:ascii="Arial" w:hAnsi="Arial" w:cs="Arial"/>
                <w:b/>
                <w:bCs/>
                <w:color w:val="212121"/>
                <w:sz w:val="20"/>
                <w:szCs w:val="20"/>
                <w:shd w:val="clear" w:color="auto" w:fill="FFFFFF"/>
              </w:rPr>
              <w:t>did not reduce WMH progression in people with recent ischaemic stroke or TIA</w:t>
            </w:r>
            <w:r w:rsidRPr="008B11E7">
              <w:rPr>
                <w:rFonts w:ascii="Arial" w:hAnsi="Arial" w:cs="Arial"/>
                <w:color w:val="212121"/>
                <w:sz w:val="20"/>
                <w:szCs w:val="20"/>
                <w:shd w:val="clear" w:color="auto" w:fill="FFFFFF"/>
              </w:rPr>
              <w:t xml:space="preserve"> and is unlikely to reduce the risk of stroke in unselected people.</w:t>
            </w:r>
          </w:p>
        </w:tc>
      </w:tr>
      <w:tr w:rsidR="00817109" w:rsidRPr="008B11E7" w14:paraId="6A826BDE" w14:textId="77777777" w:rsidTr="00D16C4A">
        <w:tc>
          <w:tcPr>
            <w:tcW w:w="1826" w:type="dxa"/>
            <w:vAlign w:val="center"/>
          </w:tcPr>
          <w:p w14:paraId="51FFB559" w14:textId="77777777" w:rsidR="00817109" w:rsidRPr="008B11E7" w:rsidRDefault="00817109" w:rsidP="008B11E7">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Higgins et al., 2014</w:t>
            </w:r>
          </w:p>
        </w:tc>
        <w:tc>
          <w:tcPr>
            <w:tcW w:w="7246" w:type="dxa"/>
            <w:vAlign w:val="center"/>
          </w:tcPr>
          <w:p w14:paraId="2A20A6AB" w14:textId="77777777" w:rsidR="00817109" w:rsidRPr="008B11E7" w:rsidRDefault="00817109" w:rsidP="008B11E7">
            <w:pPr>
              <w:spacing w:before="100" w:beforeAutospacing="1" w:after="100" w:afterAutospacing="1"/>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Central blood pressure (CBP) and carotid intima-media thickness (CIMT) are surrogate measures of cardiovascular risk.</w:t>
            </w:r>
          </w:p>
          <w:p w14:paraId="41A6C3C4"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b/>
                <w:bCs/>
                <w:color w:val="000000"/>
                <w:kern w:val="0"/>
                <w:sz w:val="20"/>
                <w:szCs w:val="20"/>
                <w14:ligatures w14:val="none"/>
              </w:rPr>
              <w:lastRenderedPageBreak/>
              <w:t>Systolic CBP</w:t>
            </w:r>
            <w:r w:rsidRPr="008B11E7">
              <w:rPr>
                <w:rFonts w:ascii="Arial" w:eastAsia="Times New Roman" w:hAnsi="Arial" w:cs="Arial"/>
                <w:color w:val="000000"/>
                <w:kern w:val="0"/>
                <w:sz w:val="20"/>
                <w:szCs w:val="20"/>
                <w14:ligatures w14:val="none"/>
              </w:rPr>
              <w:t xml:space="preserve"> [-6.6 mm Hg (95% CI -13.0 to -0.3), p=0.042] and </w:t>
            </w:r>
            <w:r w:rsidRPr="008B11E7">
              <w:rPr>
                <w:rFonts w:ascii="Arial" w:eastAsia="Times New Roman" w:hAnsi="Arial" w:cs="Arial"/>
                <w:b/>
                <w:bCs/>
                <w:color w:val="000000"/>
                <w:kern w:val="0"/>
                <w:sz w:val="20"/>
                <w:szCs w:val="20"/>
                <w14:ligatures w14:val="none"/>
              </w:rPr>
              <w:t>augmentation index</w:t>
            </w:r>
            <w:r w:rsidRPr="008B11E7">
              <w:rPr>
                <w:rFonts w:ascii="Arial" w:eastAsia="Times New Roman" w:hAnsi="Arial" w:cs="Arial"/>
                <w:color w:val="000000"/>
                <w:kern w:val="0"/>
                <w:sz w:val="20"/>
                <w:szCs w:val="20"/>
                <w14:ligatures w14:val="none"/>
              </w:rPr>
              <w:t xml:space="preserve"> (measurement of arterial stiffness) [-4.4% (95% CI -7.9 to -1.0), p=0.013] were each </w:t>
            </w:r>
            <w:r w:rsidRPr="008B11E7">
              <w:rPr>
                <w:rFonts w:ascii="Arial" w:eastAsia="Times New Roman" w:hAnsi="Arial" w:cs="Arial"/>
                <w:i/>
                <w:iCs/>
                <w:color w:val="000000"/>
                <w:kern w:val="0"/>
                <w:sz w:val="20"/>
                <w:szCs w:val="20"/>
                <w:u w:val="single"/>
                <w14:ligatures w14:val="none"/>
              </w:rPr>
              <w:t>lower following allopurinol treatment</w:t>
            </w:r>
            <w:r w:rsidRPr="008B11E7">
              <w:rPr>
                <w:rFonts w:ascii="Arial" w:eastAsia="Times New Roman" w:hAnsi="Arial" w:cs="Arial"/>
                <w:color w:val="000000"/>
                <w:kern w:val="0"/>
                <w:sz w:val="20"/>
                <w:szCs w:val="20"/>
                <w14:ligatures w14:val="none"/>
              </w:rPr>
              <w:t xml:space="preserve"> compared with placebo at 12 months</w:t>
            </w:r>
          </w:p>
          <w:p w14:paraId="35B10148"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Progression in mean common CIMT at 1 year was less in allopurinol-treated patients compared with placebo [between-group difference [-0.097 mm (95% CI -0.175 to -0.019), p=0.015].</w:t>
            </w:r>
          </w:p>
          <w:p w14:paraId="628B0125" w14:textId="08F6B9BB"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 xml:space="preserve">Allopurinol </w:t>
            </w:r>
            <w:r w:rsidRPr="008B11E7">
              <w:rPr>
                <w:rFonts w:ascii="Arial" w:eastAsia="Times New Roman" w:hAnsi="Arial" w:cs="Arial"/>
                <w:b/>
                <w:bCs/>
                <w:color w:val="000000"/>
                <w:kern w:val="0"/>
                <w:sz w:val="20"/>
                <w:szCs w:val="20"/>
                <w14:ligatures w14:val="none"/>
              </w:rPr>
              <w:t>lowered CBP and reduced CIMT progression</w:t>
            </w:r>
            <w:r w:rsidRPr="008B11E7">
              <w:rPr>
                <w:rFonts w:ascii="Arial" w:eastAsia="Times New Roman" w:hAnsi="Arial" w:cs="Arial"/>
                <w:color w:val="000000"/>
                <w:kern w:val="0"/>
                <w:sz w:val="20"/>
                <w:szCs w:val="20"/>
                <w14:ligatures w14:val="none"/>
              </w:rPr>
              <w:t xml:space="preserve"> at 1 year</w:t>
            </w:r>
          </w:p>
          <w:p w14:paraId="09B7C80E"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No difference in measures of endothelial function</w:t>
            </w:r>
          </w:p>
        </w:tc>
      </w:tr>
      <w:tr w:rsidR="00817109" w:rsidRPr="008B11E7" w14:paraId="68677270" w14:textId="77777777" w:rsidTr="00D16C4A">
        <w:tc>
          <w:tcPr>
            <w:tcW w:w="1826" w:type="dxa"/>
            <w:vAlign w:val="center"/>
          </w:tcPr>
          <w:p w14:paraId="287118FD" w14:textId="77777777" w:rsidR="00817109" w:rsidRPr="008B11E7" w:rsidRDefault="00817109" w:rsidP="008B11E7">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lastRenderedPageBreak/>
              <w:t>Khan et al., 2008</w:t>
            </w:r>
          </w:p>
        </w:tc>
        <w:tc>
          <w:tcPr>
            <w:tcW w:w="7246" w:type="dxa"/>
            <w:vAlign w:val="center"/>
          </w:tcPr>
          <w:p w14:paraId="6AD9D174" w14:textId="77777777" w:rsidR="00817109" w:rsidRPr="008B11E7" w:rsidRDefault="00817109" w:rsidP="008B11E7">
            <w:pPr>
              <w:spacing w:before="100" w:beforeAutospacing="1" w:after="100" w:afterAutospacing="1"/>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Study measured the Augmentation index (AIx), a validated measure of vascular function</w:t>
            </w:r>
          </w:p>
          <w:p w14:paraId="41454D2C"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 xml:space="preserve">For patients treated with allopurinol, there was a </w:t>
            </w:r>
            <w:r w:rsidRPr="008B11E7">
              <w:rPr>
                <w:rFonts w:ascii="Arial" w:eastAsia="Times New Roman" w:hAnsi="Arial" w:cs="Arial"/>
                <w:b/>
                <w:bCs/>
                <w:color w:val="000000"/>
                <w:kern w:val="0"/>
                <w:sz w:val="20"/>
                <w:szCs w:val="20"/>
                <w14:ligatures w14:val="none"/>
              </w:rPr>
              <w:t>reduction in AIx</w:t>
            </w:r>
            <w:r w:rsidRPr="008B11E7">
              <w:rPr>
                <w:rFonts w:ascii="Arial" w:eastAsia="Times New Roman" w:hAnsi="Arial" w:cs="Arial"/>
                <w:color w:val="000000"/>
                <w:kern w:val="0"/>
                <w:sz w:val="20"/>
                <w:szCs w:val="20"/>
                <w14:ligatures w14:val="none"/>
              </w:rPr>
              <w:t xml:space="preserve"> from 26.08 +/- 3.31% to 20.15 +/- 2.23% </w:t>
            </w:r>
            <w:r w:rsidRPr="008B11E7">
              <w:rPr>
                <w:rFonts w:ascii="Arial" w:eastAsia="Times New Roman" w:hAnsi="Arial" w:cs="Arial"/>
                <w:b/>
                <w:bCs/>
                <w:color w:val="000000"/>
                <w:kern w:val="0"/>
                <w:sz w:val="20"/>
                <w:szCs w:val="20"/>
                <w14:ligatures w14:val="none"/>
              </w:rPr>
              <w:t>compared with an increase in the placebo group</w:t>
            </w:r>
            <w:r w:rsidRPr="008B11E7">
              <w:rPr>
                <w:rFonts w:ascii="Arial" w:eastAsia="Times New Roman" w:hAnsi="Arial" w:cs="Arial"/>
                <w:color w:val="000000"/>
                <w:kern w:val="0"/>
                <w:sz w:val="20"/>
                <w:szCs w:val="20"/>
                <w14:ligatures w14:val="none"/>
              </w:rPr>
              <w:t xml:space="preserve"> from 23.57 +/- 3.13% to 27.64 +/- 3.44% (P = 0.031, ANOVA).</w:t>
            </w:r>
          </w:p>
          <w:p w14:paraId="1AAE5865"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Demonstrated that allopurinol has beneficial effects on AIx, but such improvement was not correlated with lowering of uric acid.</w:t>
            </w:r>
          </w:p>
          <w:p w14:paraId="2D81D224"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Findings support known pharmacological actions of allopurinol in reducing superoxide anion-induced vascular stiffness.</w:t>
            </w:r>
          </w:p>
        </w:tc>
      </w:tr>
      <w:tr w:rsidR="00817109" w:rsidRPr="008B11E7" w14:paraId="7486BCBD" w14:textId="77777777" w:rsidTr="00D16C4A">
        <w:tc>
          <w:tcPr>
            <w:tcW w:w="1826" w:type="dxa"/>
            <w:vAlign w:val="center"/>
          </w:tcPr>
          <w:p w14:paraId="639E17D7" w14:textId="77777777" w:rsidR="00817109" w:rsidRPr="008B11E7" w:rsidRDefault="00817109" w:rsidP="008B11E7">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Muir et al., 2008</w:t>
            </w:r>
          </w:p>
        </w:tc>
        <w:tc>
          <w:tcPr>
            <w:tcW w:w="7246" w:type="dxa"/>
            <w:vAlign w:val="center"/>
          </w:tcPr>
          <w:p w14:paraId="436D835C" w14:textId="77777777" w:rsidR="00817109" w:rsidRPr="008B11E7" w:rsidRDefault="00817109" w:rsidP="008B11E7">
            <w:pPr>
              <w:spacing w:before="100" w:beforeAutospacing="1" w:after="100" w:afterAutospacing="1"/>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Sought to investigate levels of inflammatory markers (ICAM, C-reactive protein (CRP) and interleukin-6 (IL-6) levels) after ischaemic stroke</w:t>
            </w:r>
          </w:p>
          <w:p w14:paraId="5B5540DA"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 xml:space="preserve">Intercellular adhesion molecule-1 (ICAM-1) concentration (ng/mL) </w:t>
            </w:r>
            <w:r w:rsidRPr="008B11E7">
              <w:rPr>
                <w:rFonts w:ascii="Arial" w:eastAsia="Times New Roman" w:hAnsi="Arial" w:cs="Arial"/>
                <w:b/>
                <w:bCs/>
                <w:color w:val="000000"/>
                <w:kern w:val="0"/>
                <w:sz w:val="20"/>
                <w:szCs w:val="20"/>
                <w14:ligatures w14:val="none"/>
              </w:rPr>
              <w:t>rose by 51.2 in the placebo group</w:t>
            </w:r>
            <w:r w:rsidRPr="008B11E7">
              <w:rPr>
                <w:rFonts w:ascii="Arial" w:eastAsia="Times New Roman" w:hAnsi="Arial" w:cs="Arial"/>
                <w:color w:val="000000"/>
                <w:kern w:val="0"/>
                <w:sz w:val="20"/>
                <w:szCs w:val="20"/>
                <w14:ligatures w14:val="none"/>
              </w:rPr>
              <w:t xml:space="preserve">, </w:t>
            </w:r>
            <w:r w:rsidRPr="008B11E7">
              <w:rPr>
                <w:rFonts w:ascii="Arial" w:eastAsia="Times New Roman" w:hAnsi="Arial" w:cs="Arial"/>
                <w:b/>
                <w:bCs/>
                <w:color w:val="000000"/>
                <w:kern w:val="0"/>
                <w:sz w:val="20"/>
                <w:szCs w:val="20"/>
                <w14:ligatures w14:val="none"/>
              </w:rPr>
              <w:t>rose slightly (by 10.6) in the low-dose</w:t>
            </w:r>
            <w:r w:rsidRPr="008B11E7">
              <w:rPr>
                <w:rFonts w:ascii="Arial" w:eastAsia="Times New Roman" w:hAnsi="Arial" w:cs="Arial"/>
                <w:color w:val="000000"/>
                <w:kern w:val="0"/>
                <w:sz w:val="20"/>
                <w:szCs w:val="20"/>
                <w14:ligatures w14:val="none"/>
              </w:rPr>
              <w:t xml:space="preserve"> allopurinol group, </w:t>
            </w:r>
            <w:r w:rsidRPr="008B11E7">
              <w:rPr>
                <w:rFonts w:ascii="Arial" w:eastAsia="Times New Roman" w:hAnsi="Arial" w:cs="Arial"/>
                <w:b/>
                <w:bCs/>
                <w:color w:val="000000"/>
                <w:kern w:val="0"/>
                <w:sz w:val="20"/>
                <w:szCs w:val="20"/>
                <w14:ligatures w14:val="none"/>
              </w:rPr>
              <w:t>but fell in the high-dose group (by 2.6</w:t>
            </w:r>
            <w:r w:rsidRPr="008B11E7">
              <w:rPr>
                <w:rFonts w:ascii="Arial" w:eastAsia="Times New Roman" w:hAnsi="Arial" w:cs="Arial"/>
                <w:color w:val="000000"/>
                <w:kern w:val="0"/>
                <w:sz w:val="20"/>
                <w:szCs w:val="20"/>
                <w14:ligatures w14:val="none"/>
              </w:rPr>
              <w:t>; difference between groups P=0.012, Kruskal-Wallis test).</w:t>
            </w:r>
          </w:p>
          <w:p w14:paraId="70A5E2A1"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CRP and IL-6 levels did not change in any group and there were no significant differences between groups</w:t>
            </w:r>
          </w:p>
          <w:p w14:paraId="26F428DC"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300 mg daily dose was most effective</w:t>
            </w:r>
          </w:p>
          <w:p w14:paraId="7FD048D3"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b/>
                <w:bCs/>
                <w:color w:val="000000"/>
                <w:kern w:val="0"/>
                <w:sz w:val="20"/>
                <w:szCs w:val="20"/>
                <w14:ligatures w14:val="none"/>
              </w:rPr>
              <w:t>No significant difference in overall neurological recovery was noted</w:t>
            </w:r>
            <w:r w:rsidRPr="008B11E7">
              <w:rPr>
                <w:rFonts w:ascii="Arial" w:eastAsia="Times New Roman" w:hAnsi="Arial" w:cs="Arial"/>
                <w:color w:val="000000"/>
                <w:kern w:val="0"/>
                <w:sz w:val="20"/>
                <w:szCs w:val="20"/>
                <w14:ligatures w14:val="none"/>
              </w:rPr>
              <w:t xml:space="preserve"> between the groups</w:t>
            </w:r>
          </w:p>
        </w:tc>
      </w:tr>
      <w:tr w:rsidR="00817109" w:rsidRPr="008B11E7" w14:paraId="3A9EFC07" w14:textId="77777777" w:rsidTr="00D16C4A">
        <w:tc>
          <w:tcPr>
            <w:tcW w:w="1826" w:type="dxa"/>
            <w:vAlign w:val="center"/>
          </w:tcPr>
          <w:p w14:paraId="700382B0" w14:textId="7C3FFB12" w:rsidR="00817109" w:rsidRPr="008B11E7" w:rsidRDefault="00817109" w:rsidP="008B11E7">
            <w:pPr>
              <w:spacing w:before="100" w:beforeAutospacing="1" w:after="100" w:afterAutospacing="1"/>
              <w:jc w:val="center"/>
              <w:rPr>
                <w:rFonts w:ascii="Arial" w:eastAsia="Times New Roman" w:hAnsi="Arial" w:cs="Arial"/>
                <w:color w:val="000000"/>
                <w:kern w:val="0"/>
                <w:sz w:val="20"/>
                <w:szCs w:val="20"/>
                <w14:ligatures w14:val="none"/>
              </w:rPr>
            </w:pPr>
            <w:r w:rsidRPr="008B11E7">
              <w:rPr>
                <w:rFonts w:ascii="Arial" w:hAnsi="Arial" w:cs="Arial"/>
                <w:sz w:val="20"/>
                <w:szCs w:val="20"/>
              </w:rPr>
              <w:t>Taheraghdam et al., 2014</w:t>
            </w:r>
          </w:p>
        </w:tc>
        <w:tc>
          <w:tcPr>
            <w:tcW w:w="7246" w:type="dxa"/>
            <w:vAlign w:val="center"/>
          </w:tcPr>
          <w:p w14:paraId="3CB67B70" w14:textId="77777777" w:rsidR="00817109" w:rsidRPr="008B11E7" w:rsidRDefault="00817109" w:rsidP="008B11E7">
            <w:pPr>
              <w:spacing w:before="100" w:beforeAutospacing="1" w:after="100" w:afterAutospacing="1"/>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Sought to investigate functional status of patients after 3 months of treatment regimen, measured using the modified Rankin Scale (mRS), where 0 = no impairment, 6 = death. Scale assesses disability and functional independence after stroke.</w:t>
            </w:r>
          </w:p>
          <w:p w14:paraId="3FAA537A"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color w:val="000000"/>
                <w:kern w:val="0"/>
                <w:sz w:val="20"/>
                <w:szCs w:val="20"/>
                <w14:ligatures w14:val="none"/>
              </w:rPr>
              <w:t xml:space="preserve">The </w:t>
            </w:r>
            <w:r w:rsidRPr="008B11E7">
              <w:rPr>
                <w:rFonts w:ascii="Arial" w:eastAsia="Times New Roman" w:hAnsi="Arial" w:cs="Arial"/>
                <w:b/>
                <w:bCs/>
                <w:color w:val="000000"/>
                <w:kern w:val="0"/>
                <w:sz w:val="20"/>
                <w:szCs w:val="20"/>
                <w14:ligatures w14:val="none"/>
              </w:rPr>
              <w:t xml:space="preserve">final </w:t>
            </w:r>
            <w:proofErr w:type="spellStart"/>
            <w:r w:rsidRPr="008B11E7">
              <w:rPr>
                <w:rFonts w:ascii="Arial" w:eastAsia="Times New Roman" w:hAnsi="Arial" w:cs="Arial"/>
                <w:b/>
                <w:bCs/>
                <w:color w:val="000000"/>
                <w:kern w:val="0"/>
                <w:sz w:val="20"/>
                <w:szCs w:val="20"/>
                <w14:ligatures w14:val="none"/>
              </w:rPr>
              <w:t>favorable</w:t>
            </w:r>
            <w:proofErr w:type="spellEnd"/>
            <w:r w:rsidRPr="008B11E7">
              <w:rPr>
                <w:rFonts w:ascii="Arial" w:eastAsia="Times New Roman" w:hAnsi="Arial" w:cs="Arial"/>
                <w:b/>
                <w:bCs/>
                <w:color w:val="000000"/>
                <w:kern w:val="0"/>
                <w:sz w:val="20"/>
                <w:szCs w:val="20"/>
                <w14:ligatures w14:val="none"/>
              </w:rPr>
              <w:t xml:space="preserve"> functional status (defined as mRS = 0-2) was 23 (65.7%) and 14 (40.0%) in the treated and placebo groups</w:t>
            </w:r>
            <w:r w:rsidRPr="008B11E7">
              <w:rPr>
                <w:rFonts w:ascii="Arial" w:eastAsia="Times New Roman" w:hAnsi="Arial" w:cs="Arial"/>
                <w:color w:val="000000"/>
                <w:kern w:val="0"/>
                <w:sz w:val="20"/>
                <w:szCs w:val="20"/>
                <w14:ligatures w14:val="none"/>
              </w:rPr>
              <w:t xml:space="preserve">, </w:t>
            </w:r>
            <w:r w:rsidRPr="008B11E7">
              <w:rPr>
                <w:rFonts w:ascii="Arial" w:eastAsia="Times New Roman" w:hAnsi="Arial" w:cs="Arial"/>
                <w:b/>
                <w:bCs/>
                <w:color w:val="000000"/>
                <w:kern w:val="0"/>
                <w:sz w:val="20"/>
                <w:szCs w:val="20"/>
                <w14:ligatures w14:val="none"/>
              </w:rPr>
              <w:t>respectively</w:t>
            </w:r>
            <w:r w:rsidRPr="008B11E7">
              <w:rPr>
                <w:rFonts w:ascii="Arial" w:eastAsia="Times New Roman" w:hAnsi="Arial" w:cs="Arial"/>
                <w:color w:val="000000"/>
                <w:kern w:val="0"/>
                <w:sz w:val="20"/>
                <w:szCs w:val="20"/>
                <w14:ligatures w14:val="none"/>
              </w:rPr>
              <w:t>, which was strongly associated with allopurinol consumption (OR = 4.646, p = 0.014) and age ≤70 years (OR = 0.139, p = 0.005) in patients with ischemic stroke after adjusting for confounders</w:t>
            </w:r>
          </w:p>
          <w:p w14:paraId="0451365B" w14:textId="77777777" w:rsidR="00817109" w:rsidRPr="008B11E7" w:rsidRDefault="00817109" w:rsidP="008B11E7">
            <w:pPr>
              <w:pStyle w:val="ListParagraph"/>
              <w:numPr>
                <w:ilvl w:val="0"/>
                <w:numId w:val="2"/>
              </w:numPr>
              <w:spacing w:before="100" w:beforeAutospacing="1" w:after="100" w:afterAutospacing="1" w:line="240" w:lineRule="auto"/>
              <w:rPr>
                <w:rFonts w:ascii="Arial" w:eastAsia="Times New Roman" w:hAnsi="Arial" w:cs="Arial"/>
                <w:color w:val="000000"/>
                <w:kern w:val="0"/>
                <w:sz w:val="20"/>
                <w:szCs w:val="20"/>
                <w14:ligatures w14:val="none"/>
              </w:rPr>
            </w:pPr>
            <w:r w:rsidRPr="008B11E7">
              <w:rPr>
                <w:rFonts w:ascii="Arial" w:eastAsia="Times New Roman" w:hAnsi="Arial" w:cs="Arial"/>
                <w:b/>
                <w:bCs/>
                <w:color w:val="000000"/>
                <w:kern w:val="0"/>
                <w:sz w:val="20"/>
                <w:szCs w:val="20"/>
                <w14:ligatures w14:val="none"/>
              </w:rPr>
              <w:t>Allopurinol treatment improved the 3-month functional status of patients</w:t>
            </w:r>
            <w:r w:rsidRPr="008B11E7">
              <w:rPr>
                <w:rFonts w:ascii="Arial" w:eastAsia="Times New Roman" w:hAnsi="Arial" w:cs="Arial"/>
                <w:color w:val="000000"/>
                <w:kern w:val="0"/>
                <w:sz w:val="20"/>
                <w:szCs w:val="20"/>
                <w14:ligatures w14:val="none"/>
              </w:rPr>
              <w:t xml:space="preserve"> with acute ischemic stroke, as more treated patients had an mRS of 0-2 after three months</w:t>
            </w:r>
          </w:p>
        </w:tc>
      </w:tr>
    </w:tbl>
    <w:p w14:paraId="136C19F8" w14:textId="309A1754" w:rsidR="00B30A63" w:rsidRDefault="00B30A63" w:rsidP="008B11E7">
      <w:pPr>
        <w:rPr>
          <w:rFonts w:ascii="Arial" w:hAnsi="Arial" w:cs="Arial"/>
          <w:sz w:val="20"/>
          <w:szCs w:val="20"/>
        </w:rPr>
      </w:pPr>
    </w:p>
    <w:p w14:paraId="32E6EBCB" w14:textId="77777777" w:rsidR="00CE65FD" w:rsidRDefault="00CE65FD" w:rsidP="008B11E7">
      <w:pPr>
        <w:rPr>
          <w:rFonts w:ascii="Arial" w:hAnsi="Arial" w:cs="Arial"/>
          <w:sz w:val="20"/>
          <w:szCs w:val="20"/>
        </w:rPr>
      </w:pPr>
    </w:p>
    <w:p w14:paraId="2D62A61D" w14:textId="77777777" w:rsidR="00CE65FD" w:rsidRDefault="00CE65FD" w:rsidP="008B11E7">
      <w:pPr>
        <w:rPr>
          <w:rFonts w:ascii="Arial" w:hAnsi="Arial" w:cs="Arial"/>
          <w:sz w:val="20"/>
          <w:szCs w:val="20"/>
        </w:rPr>
      </w:pPr>
    </w:p>
    <w:p w14:paraId="4E613934" w14:textId="77777777" w:rsidR="00CE65FD" w:rsidRDefault="00CE65FD" w:rsidP="008B11E7">
      <w:pPr>
        <w:rPr>
          <w:rFonts w:ascii="Arial" w:hAnsi="Arial" w:cs="Arial"/>
          <w:sz w:val="20"/>
          <w:szCs w:val="20"/>
        </w:rPr>
      </w:pPr>
    </w:p>
    <w:p w14:paraId="5996762D" w14:textId="77777777" w:rsidR="00CE65FD" w:rsidRDefault="00CE65FD" w:rsidP="008B11E7">
      <w:pPr>
        <w:rPr>
          <w:rFonts w:ascii="Arial" w:hAnsi="Arial" w:cs="Arial"/>
          <w:sz w:val="20"/>
          <w:szCs w:val="20"/>
        </w:rPr>
      </w:pPr>
    </w:p>
    <w:p w14:paraId="4FA6FC40" w14:textId="77777777" w:rsidR="00CE65FD" w:rsidRDefault="00CE65FD" w:rsidP="008B11E7">
      <w:pPr>
        <w:rPr>
          <w:rFonts w:ascii="Arial" w:hAnsi="Arial" w:cs="Arial"/>
          <w:sz w:val="20"/>
          <w:szCs w:val="20"/>
        </w:rPr>
      </w:pPr>
    </w:p>
    <w:p w14:paraId="1E3EE05B" w14:textId="77777777" w:rsidR="00CE65FD" w:rsidRDefault="00CE65FD" w:rsidP="008B11E7">
      <w:pPr>
        <w:rPr>
          <w:rFonts w:ascii="Arial" w:hAnsi="Arial" w:cs="Arial"/>
          <w:sz w:val="20"/>
          <w:szCs w:val="20"/>
        </w:rPr>
      </w:pPr>
    </w:p>
    <w:p w14:paraId="29DAD8EC" w14:textId="77777777" w:rsidR="00CE65FD" w:rsidRPr="008B11E7" w:rsidRDefault="00CE65FD" w:rsidP="008B11E7">
      <w:pPr>
        <w:rPr>
          <w:rFonts w:ascii="Arial" w:hAnsi="Arial" w:cs="Arial"/>
          <w:sz w:val="20"/>
          <w:szCs w:val="20"/>
        </w:rPr>
      </w:pPr>
    </w:p>
    <w:p w14:paraId="21C393A0" w14:textId="251F9CCF" w:rsidR="00AD1CF7" w:rsidRPr="008B11E7" w:rsidRDefault="003E102D" w:rsidP="008B11E7">
      <w:pPr>
        <w:pStyle w:val="ListParagraph"/>
        <w:numPr>
          <w:ilvl w:val="0"/>
          <w:numId w:val="3"/>
        </w:numPr>
        <w:rPr>
          <w:rFonts w:ascii="Arial" w:hAnsi="Arial" w:cs="Arial"/>
          <w:b/>
          <w:bCs/>
        </w:rPr>
      </w:pPr>
      <w:r w:rsidRPr="008B11E7">
        <w:rPr>
          <w:rFonts w:ascii="Arial" w:hAnsi="Arial" w:cs="Arial"/>
          <w:b/>
          <w:bCs/>
        </w:rPr>
        <w:lastRenderedPageBreak/>
        <w:t>ASSESSMENT OF CERTAINTY OF EVIDENCE</w:t>
      </w:r>
    </w:p>
    <w:p w14:paraId="205A71DE" w14:textId="77777777" w:rsidR="00AD1CF7" w:rsidRPr="008B11E7" w:rsidRDefault="00AD1CF7" w:rsidP="008B11E7">
      <w:pPr>
        <w:rPr>
          <w:rFonts w:ascii="Arial" w:hAnsi="Arial" w:cs="Arial"/>
          <w:sz w:val="20"/>
          <w:szCs w:val="20"/>
        </w:rPr>
      </w:pPr>
    </w:p>
    <w:p w14:paraId="538931DF" w14:textId="31F70963" w:rsidR="003E102D" w:rsidRPr="00EE6D91" w:rsidRDefault="003E102D" w:rsidP="008B11E7">
      <w:pPr>
        <w:pStyle w:val="ListParagraph"/>
        <w:numPr>
          <w:ilvl w:val="0"/>
          <w:numId w:val="4"/>
        </w:numPr>
        <w:spacing w:after="0" w:line="360" w:lineRule="auto"/>
        <w:jc w:val="both"/>
        <w:rPr>
          <w:rFonts w:ascii="Arial" w:hAnsi="Arial" w:cs="Arial"/>
          <w:b/>
          <w:bCs/>
        </w:rPr>
      </w:pPr>
      <w:r w:rsidRPr="00EE6D91">
        <w:rPr>
          <w:rFonts w:ascii="Arial" w:hAnsi="Arial" w:cs="Arial"/>
          <w:b/>
          <w:bCs/>
        </w:rPr>
        <w:t xml:space="preserve">Functional outcome (mRS, Barthel Index) </w:t>
      </w:r>
      <w:r w:rsidR="00C00A9B">
        <w:rPr>
          <w:rFonts w:ascii="Arial" w:hAnsi="Arial" w:cs="Arial"/>
          <w:b/>
          <w:bCs/>
        </w:rPr>
        <w:t>LOW</w:t>
      </w:r>
    </w:p>
    <w:p w14:paraId="514B0962" w14:textId="77777777" w:rsidR="003E102D" w:rsidRPr="008B11E7" w:rsidRDefault="003E102D" w:rsidP="008B11E7">
      <w:pPr>
        <w:spacing w:line="360" w:lineRule="auto"/>
        <w:jc w:val="both"/>
        <w:rPr>
          <w:rFonts w:ascii="Arial" w:hAnsi="Arial" w:cs="Arial"/>
          <w:sz w:val="20"/>
          <w:szCs w:val="20"/>
        </w:rPr>
      </w:pPr>
      <w:r w:rsidRPr="008B11E7">
        <w:rPr>
          <w:rFonts w:ascii="Arial" w:hAnsi="Arial" w:cs="Arial"/>
          <w:sz w:val="20"/>
          <w:szCs w:val="20"/>
        </w:rPr>
        <w:t>Certainty of evidence for improving functional outcomes in stroke patients following allopurinol administration is low. While small, early phase trials (e.g. Taheraghdam et al.) suggest potential improvements when treatment is initiated within 24 hours of ischaemic stroke, such findings were inconsistent with results observed in larger trials involving subacute or chronic stroke patients. Further, study limitations such as small sample sizes, heterogeneity in timing and outcome measures, and imprecision in wide confidence intervals resulted in the downgrading of certainty for this outcome to Moderate.</w:t>
      </w:r>
    </w:p>
    <w:p w14:paraId="46B3D87B" w14:textId="77777777" w:rsidR="003E102D" w:rsidRPr="008B11E7" w:rsidRDefault="003E102D" w:rsidP="008B11E7">
      <w:pPr>
        <w:spacing w:line="360" w:lineRule="auto"/>
        <w:jc w:val="both"/>
        <w:rPr>
          <w:rFonts w:ascii="Arial" w:hAnsi="Arial" w:cs="Arial"/>
          <w:sz w:val="20"/>
          <w:szCs w:val="20"/>
        </w:rPr>
      </w:pPr>
    </w:p>
    <w:p w14:paraId="7C84C564" w14:textId="77777777" w:rsidR="003E102D" w:rsidRPr="00EE6D91" w:rsidRDefault="003E102D" w:rsidP="008B11E7">
      <w:pPr>
        <w:pStyle w:val="ListParagraph"/>
        <w:numPr>
          <w:ilvl w:val="0"/>
          <w:numId w:val="4"/>
        </w:numPr>
        <w:spacing w:after="0" w:line="360" w:lineRule="auto"/>
        <w:jc w:val="both"/>
        <w:rPr>
          <w:rFonts w:ascii="Arial" w:hAnsi="Arial" w:cs="Arial"/>
          <w:b/>
          <w:bCs/>
        </w:rPr>
      </w:pPr>
      <w:r w:rsidRPr="00EE6D91">
        <w:rPr>
          <w:rFonts w:ascii="Arial" w:hAnsi="Arial" w:cs="Arial"/>
          <w:b/>
          <w:bCs/>
        </w:rPr>
        <w:t>Neurological impairment (NIHSS) LOW</w:t>
      </w:r>
    </w:p>
    <w:p w14:paraId="0C957DF3" w14:textId="77777777" w:rsidR="003E102D" w:rsidRPr="008B11E7" w:rsidRDefault="003E102D" w:rsidP="008B11E7">
      <w:pPr>
        <w:spacing w:line="360" w:lineRule="auto"/>
        <w:jc w:val="both"/>
        <w:rPr>
          <w:rFonts w:ascii="Arial" w:hAnsi="Arial" w:cs="Arial"/>
          <w:sz w:val="20"/>
          <w:szCs w:val="20"/>
        </w:rPr>
      </w:pPr>
      <w:r w:rsidRPr="008B11E7">
        <w:rPr>
          <w:rFonts w:ascii="Arial" w:hAnsi="Arial" w:cs="Arial"/>
          <w:sz w:val="20"/>
          <w:szCs w:val="20"/>
        </w:rPr>
        <w:t>Some mechanistic improvements noted in early-phase trials, but overall data are limited and inconsistent. Risk of bias due to small sample size single-centre studies and also possibly due to variation in baseline severity levels (we don’t know whether there was baseline severity differences as not included in the method).</w:t>
      </w:r>
    </w:p>
    <w:p w14:paraId="18083A3D" w14:textId="77777777" w:rsidR="00132413" w:rsidRPr="008B11E7" w:rsidRDefault="00132413" w:rsidP="008B11E7">
      <w:pPr>
        <w:spacing w:line="360" w:lineRule="auto"/>
        <w:jc w:val="both"/>
        <w:rPr>
          <w:rFonts w:ascii="Arial" w:hAnsi="Arial" w:cs="Arial"/>
          <w:sz w:val="20"/>
          <w:szCs w:val="20"/>
        </w:rPr>
      </w:pPr>
    </w:p>
    <w:p w14:paraId="5E0D870D" w14:textId="77777777" w:rsidR="003E102D" w:rsidRPr="008B11E7" w:rsidRDefault="003E102D" w:rsidP="008B11E7">
      <w:pPr>
        <w:spacing w:line="360" w:lineRule="auto"/>
        <w:jc w:val="both"/>
        <w:rPr>
          <w:rFonts w:ascii="Arial" w:hAnsi="Arial" w:cs="Arial"/>
          <w:sz w:val="20"/>
          <w:szCs w:val="20"/>
        </w:rPr>
      </w:pPr>
      <w:r w:rsidRPr="008B11E7">
        <w:rPr>
          <w:rFonts w:ascii="Arial" w:hAnsi="Arial" w:cs="Arial"/>
          <w:sz w:val="20"/>
          <w:szCs w:val="20"/>
        </w:rPr>
        <w:t>Some early-phase randomised trials report improvements in neurological impairment, as measured via the NIHSS, suggesting potential positive effects of allopurinol in post-stroke treatment. However, the data is overall limited and inconsistent due to small sample sizes and single-centre studies, ultimately increasing risk of bias. Further methodological limitations include variations in baseline severity levels due to incomplete reporting between treatment groups. Hence, increased risk of bias and imprecision resulted in the grading of Low certainty regarding the true effect of allopurinol on improving neurological impairment after stroke.</w:t>
      </w:r>
    </w:p>
    <w:p w14:paraId="4802EB45" w14:textId="77777777" w:rsidR="003E102D" w:rsidRPr="008B11E7" w:rsidRDefault="003E102D" w:rsidP="008B11E7">
      <w:pPr>
        <w:spacing w:line="360" w:lineRule="auto"/>
        <w:jc w:val="both"/>
        <w:rPr>
          <w:rFonts w:ascii="Arial" w:hAnsi="Arial" w:cs="Arial"/>
          <w:sz w:val="20"/>
          <w:szCs w:val="20"/>
        </w:rPr>
      </w:pPr>
    </w:p>
    <w:p w14:paraId="33087EF9" w14:textId="6407913B" w:rsidR="003E102D" w:rsidRPr="00EE6D91" w:rsidRDefault="00664F1C" w:rsidP="008B11E7">
      <w:pPr>
        <w:pStyle w:val="ListParagraph"/>
        <w:numPr>
          <w:ilvl w:val="0"/>
          <w:numId w:val="4"/>
        </w:numPr>
        <w:spacing w:after="0" w:line="360" w:lineRule="auto"/>
        <w:jc w:val="both"/>
        <w:rPr>
          <w:rFonts w:ascii="Arial" w:hAnsi="Arial" w:cs="Arial"/>
          <w:b/>
          <w:bCs/>
        </w:rPr>
      </w:pPr>
      <w:r>
        <w:rPr>
          <w:rFonts w:ascii="Arial" w:hAnsi="Arial" w:cs="Arial"/>
          <w:b/>
          <w:bCs/>
        </w:rPr>
        <w:t>Cerebrovascular recurrence</w:t>
      </w:r>
      <w:r w:rsidR="003E102D" w:rsidRPr="00EE6D91">
        <w:rPr>
          <w:rFonts w:ascii="Arial" w:hAnsi="Arial" w:cs="Arial"/>
          <w:b/>
          <w:bCs/>
        </w:rPr>
        <w:t xml:space="preserve"> LOW</w:t>
      </w:r>
    </w:p>
    <w:p w14:paraId="67FBE62E" w14:textId="77777777" w:rsidR="003E102D" w:rsidRPr="008B11E7" w:rsidRDefault="003E102D" w:rsidP="008B11E7">
      <w:pPr>
        <w:spacing w:line="360" w:lineRule="auto"/>
        <w:jc w:val="both"/>
        <w:rPr>
          <w:rFonts w:ascii="Arial" w:hAnsi="Arial" w:cs="Arial"/>
          <w:sz w:val="20"/>
          <w:szCs w:val="20"/>
        </w:rPr>
      </w:pPr>
      <w:r w:rsidRPr="008B11E7">
        <w:rPr>
          <w:rFonts w:ascii="Arial" w:hAnsi="Arial" w:cs="Arial"/>
          <w:sz w:val="20"/>
          <w:szCs w:val="20"/>
        </w:rPr>
        <w:t>No trial demonstrated a statistically significant reduction. Evidence is limited by small sample sizes, low event rates, and short follow-up in most studies.</w:t>
      </w:r>
    </w:p>
    <w:p w14:paraId="6B7EB342" w14:textId="77777777" w:rsidR="00132413" w:rsidRPr="008B11E7" w:rsidRDefault="00132413" w:rsidP="008B11E7">
      <w:pPr>
        <w:spacing w:line="360" w:lineRule="auto"/>
        <w:jc w:val="both"/>
        <w:rPr>
          <w:rFonts w:ascii="Arial" w:hAnsi="Arial" w:cs="Arial"/>
          <w:sz w:val="20"/>
          <w:szCs w:val="20"/>
        </w:rPr>
      </w:pPr>
    </w:p>
    <w:p w14:paraId="45BA56BD" w14:textId="77777777" w:rsidR="003E102D" w:rsidRPr="008B11E7" w:rsidRDefault="003E102D" w:rsidP="008B11E7">
      <w:pPr>
        <w:spacing w:line="360" w:lineRule="auto"/>
        <w:jc w:val="both"/>
        <w:rPr>
          <w:rFonts w:ascii="Arial" w:hAnsi="Arial" w:cs="Arial"/>
          <w:sz w:val="20"/>
          <w:szCs w:val="20"/>
        </w:rPr>
      </w:pPr>
      <w:r w:rsidRPr="008B11E7">
        <w:rPr>
          <w:rFonts w:ascii="Arial" w:hAnsi="Arial" w:cs="Arial"/>
          <w:sz w:val="20"/>
          <w:szCs w:val="20"/>
        </w:rPr>
        <w:t>The certainty of evidence for the effect of allopurinol on reducing recurrent cerebrovascular events is low. Across the included randomised trials, none demonstrated a statistically significant reduction. The available evidence was limited by small sample sizes, low event rates and short follow-up periods. Additionally, many studies simply assessed this outcome as a secondary endpoint rather than a primary outcome, further worsening imprecision and indirectness.</w:t>
      </w:r>
    </w:p>
    <w:p w14:paraId="189E7D4F" w14:textId="77777777" w:rsidR="003E102D" w:rsidRPr="008B11E7" w:rsidRDefault="003E102D" w:rsidP="008B11E7">
      <w:pPr>
        <w:spacing w:line="360" w:lineRule="auto"/>
        <w:jc w:val="both"/>
        <w:rPr>
          <w:rFonts w:ascii="Arial" w:hAnsi="Arial" w:cs="Arial"/>
          <w:sz w:val="20"/>
          <w:szCs w:val="20"/>
        </w:rPr>
      </w:pPr>
    </w:p>
    <w:p w14:paraId="133A01B7" w14:textId="39949ACE" w:rsidR="003E102D" w:rsidRPr="00EE6D91" w:rsidRDefault="003E102D" w:rsidP="008B11E7">
      <w:pPr>
        <w:pStyle w:val="ListParagraph"/>
        <w:numPr>
          <w:ilvl w:val="0"/>
          <w:numId w:val="4"/>
        </w:numPr>
        <w:spacing w:after="0" w:line="360" w:lineRule="auto"/>
        <w:jc w:val="both"/>
        <w:rPr>
          <w:rFonts w:ascii="Arial" w:hAnsi="Arial" w:cs="Arial"/>
          <w:b/>
          <w:bCs/>
        </w:rPr>
      </w:pPr>
      <w:r w:rsidRPr="00EE6D91">
        <w:rPr>
          <w:rFonts w:ascii="Arial" w:hAnsi="Arial" w:cs="Arial"/>
          <w:b/>
          <w:bCs/>
        </w:rPr>
        <w:t>Mortality LOW</w:t>
      </w:r>
    </w:p>
    <w:p w14:paraId="52BDB0D6" w14:textId="5235E133" w:rsidR="00872C04" w:rsidRPr="008B11E7" w:rsidRDefault="003E102D" w:rsidP="008B11E7">
      <w:pPr>
        <w:spacing w:line="360" w:lineRule="auto"/>
        <w:jc w:val="both"/>
        <w:rPr>
          <w:rFonts w:ascii="Arial" w:hAnsi="Arial" w:cs="Arial"/>
          <w:sz w:val="20"/>
          <w:szCs w:val="20"/>
        </w:rPr>
      </w:pPr>
      <w:r w:rsidRPr="008B11E7">
        <w:rPr>
          <w:rFonts w:ascii="Arial" w:hAnsi="Arial" w:cs="Arial"/>
          <w:sz w:val="20"/>
          <w:szCs w:val="20"/>
        </w:rPr>
        <w:t>Across included studies, allopurinol had no demonstrable effect on mortality. Confidence is limited by sample size, low event rates, and heterogeneous follow-up periods.</w:t>
      </w:r>
    </w:p>
    <w:p w14:paraId="17CBF2FF" w14:textId="77777777" w:rsidR="003E102D" w:rsidRPr="008B11E7" w:rsidRDefault="003E102D" w:rsidP="008B11E7">
      <w:pPr>
        <w:spacing w:line="360" w:lineRule="auto"/>
        <w:jc w:val="both"/>
        <w:rPr>
          <w:rFonts w:ascii="Arial" w:hAnsi="Arial" w:cs="Arial"/>
          <w:sz w:val="20"/>
          <w:szCs w:val="20"/>
        </w:rPr>
      </w:pPr>
      <w:r w:rsidRPr="008B11E7">
        <w:rPr>
          <w:rFonts w:ascii="Arial" w:hAnsi="Arial" w:cs="Arial"/>
          <w:sz w:val="20"/>
          <w:szCs w:val="20"/>
        </w:rPr>
        <w:lastRenderedPageBreak/>
        <w:t>The certainty of evidence displaying allopurinol’s effect on mortality following a stroke event is low. This is due to the lack of demonstrable effect of allopurinol on vascular mortality in stroke survivors and limitations in small sample sizes, low number of death events and heterogeneity in the duration of follow-up periods between studies. Additionally, mortality was not investigated as a primary outcome in any studies, thereby limiting the certainty of evidence supporting the impact of allopurinol on this outcome.</w:t>
      </w:r>
    </w:p>
    <w:p w14:paraId="0635EAD2" w14:textId="77777777" w:rsidR="003E102D" w:rsidRPr="008B11E7" w:rsidRDefault="003E102D" w:rsidP="008B11E7">
      <w:pPr>
        <w:spacing w:line="360" w:lineRule="auto"/>
        <w:jc w:val="both"/>
        <w:rPr>
          <w:rFonts w:ascii="Arial" w:hAnsi="Arial" w:cs="Arial"/>
          <w:sz w:val="20"/>
          <w:szCs w:val="20"/>
        </w:rPr>
      </w:pPr>
    </w:p>
    <w:p w14:paraId="5D7E2705" w14:textId="689F10AC" w:rsidR="003E102D" w:rsidRPr="00EE6D91" w:rsidRDefault="003E102D" w:rsidP="008B11E7">
      <w:pPr>
        <w:pStyle w:val="ListParagraph"/>
        <w:numPr>
          <w:ilvl w:val="0"/>
          <w:numId w:val="4"/>
        </w:numPr>
        <w:spacing w:after="0" w:line="360" w:lineRule="auto"/>
        <w:jc w:val="both"/>
        <w:rPr>
          <w:rFonts w:ascii="Arial" w:hAnsi="Arial" w:cs="Arial"/>
          <w:b/>
          <w:bCs/>
        </w:rPr>
      </w:pPr>
      <w:r w:rsidRPr="00EE6D91">
        <w:rPr>
          <w:rFonts w:ascii="Arial" w:hAnsi="Arial" w:cs="Arial"/>
          <w:b/>
          <w:bCs/>
        </w:rPr>
        <w:t xml:space="preserve">Serum uric acid </w:t>
      </w:r>
      <w:r w:rsidR="0028260C">
        <w:rPr>
          <w:rFonts w:ascii="Arial" w:hAnsi="Arial" w:cs="Arial"/>
          <w:b/>
          <w:bCs/>
        </w:rPr>
        <w:t>concentration</w:t>
      </w:r>
      <w:r w:rsidRPr="00EE6D91">
        <w:rPr>
          <w:rFonts w:ascii="Arial" w:hAnsi="Arial" w:cs="Arial"/>
          <w:b/>
          <w:bCs/>
        </w:rPr>
        <w:t xml:space="preserve"> HIGH</w:t>
      </w:r>
    </w:p>
    <w:p w14:paraId="4BABD584" w14:textId="77777777" w:rsidR="003E102D" w:rsidRDefault="003E102D" w:rsidP="008B11E7">
      <w:pPr>
        <w:spacing w:line="360" w:lineRule="auto"/>
        <w:jc w:val="both"/>
        <w:rPr>
          <w:rFonts w:ascii="Arial" w:hAnsi="Arial" w:cs="Arial"/>
          <w:sz w:val="20"/>
          <w:szCs w:val="20"/>
        </w:rPr>
      </w:pPr>
      <w:r w:rsidRPr="008B11E7">
        <w:rPr>
          <w:rFonts w:ascii="Arial" w:hAnsi="Arial" w:cs="Arial"/>
          <w:sz w:val="20"/>
          <w:szCs w:val="20"/>
        </w:rPr>
        <w:t>All trials consistently demonstrated reductions in serum uric acid. Direct biochemical effect is robust, with minimal risk of bias. I think we can be pretty confident in this.</w:t>
      </w:r>
    </w:p>
    <w:p w14:paraId="02633AB7" w14:textId="77777777" w:rsidR="00872C04" w:rsidRPr="008B11E7" w:rsidRDefault="00872C04" w:rsidP="008B11E7">
      <w:pPr>
        <w:spacing w:line="360" w:lineRule="auto"/>
        <w:jc w:val="both"/>
        <w:rPr>
          <w:rFonts w:ascii="Arial" w:hAnsi="Arial" w:cs="Arial"/>
          <w:sz w:val="20"/>
          <w:szCs w:val="20"/>
        </w:rPr>
      </w:pPr>
    </w:p>
    <w:p w14:paraId="1A2AF59B" w14:textId="77777777" w:rsidR="003E102D" w:rsidRPr="008B11E7" w:rsidRDefault="003E102D" w:rsidP="008B11E7">
      <w:pPr>
        <w:spacing w:line="360" w:lineRule="auto"/>
        <w:jc w:val="both"/>
        <w:rPr>
          <w:rFonts w:ascii="Arial" w:hAnsi="Arial" w:cs="Arial"/>
          <w:sz w:val="20"/>
          <w:szCs w:val="20"/>
        </w:rPr>
      </w:pPr>
      <w:r w:rsidRPr="008B11E7">
        <w:rPr>
          <w:rFonts w:ascii="Arial" w:hAnsi="Arial" w:cs="Arial"/>
          <w:sz w:val="20"/>
          <w:szCs w:val="20"/>
        </w:rPr>
        <w:t>Due to universal demonstration of reduction in serum uric acid levels following allopurinol treatment across all studies, the certainty of evidence for this outcome is high. The repeatability of these findings across different study designs, treatment durations and demographics demonstrates a robust and reproducible biochemical effect of allopurinol on reducing serum uric acid. The large sample sizes between studies and reliable measurement of serum uric acid reiterate the high certainty of evidence for this outcome.</w:t>
      </w:r>
    </w:p>
    <w:p w14:paraId="7D1D0E2D" w14:textId="77777777" w:rsidR="003E102D" w:rsidRPr="008B11E7" w:rsidRDefault="003E102D" w:rsidP="008B11E7">
      <w:pPr>
        <w:spacing w:line="360" w:lineRule="auto"/>
        <w:jc w:val="both"/>
        <w:rPr>
          <w:rFonts w:ascii="Arial" w:hAnsi="Arial" w:cs="Arial"/>
          <w:sz w:val="20"/>
          <w:szCs w:val="20"/>
        </w:rPr>
      </w:pPr>
    </w:p>
    <w:p w14:paraId="5EB5D081" w14:textId="1A8FC4AE" w:rsidR="003E102D" w:rsidRPr="00D675B6" w:rsidRDefault="00515278" w:rsidP="008B11E7">
      <w:pPr>
        <w:pStyle w:val="ListParagraph"/>
        <w:numPr>
          <w:ilvl w:val="0"/>
          <w:numId w:val="4"/>
        </w:numPr>
        <w:spacing w:after="0" w:line="360" w:lineRule="auto"/>
        <w:jc w:val="both"/>
        <w:rPr>
          <w:rFonts w:ascii="Arial" w:hAnsi="Arial" w:cs="Arial"/>
          <w:b/>
          <w:bCs/>
        </w:rPr>
      </w:pPr>
      <w:r>
        <w:rPr>
          <w:rFonts w:ascii="Arial" w:hAnsi="Arial" w:cs="Arial"/>
          <w:b/>
          <w:bCs/>
        </w:rPr>
        <w:t>Safety and adverse</w:t>
      </w:r>
      <w:r w:rsidR="003E102D" w:rsidRPr="00D675B6">
        <w:rPr>
          <w:rFonts w:ascii="Arial" w:hAnsi="Arial" w:cs="Arial"/>
          <w:b/>
          <w:bCs/>
        </w:rPr>
        <w:t xml:space="preserve"> events MODERATE</w:t>
      </w:r>
    </w:p>
    <w:p w14:paraId="000CBDF5" w14:textId="724B1E84" w:rsidR="003E102D" w:rsidRDefault="003E102D" w:rsidP="008B11E7">
      <w:pPr>
        <w:spacing w:line="360" w:lineRule="auto"/>
        <w:jc w:val="both"/>
        <w:rPr>
          <w:rFonts w:ascii="Arial" w:hAnsi="Arial" w:cs="Arial"/>
          <w:sz w:val="20"/>
          <w:szCs w:val="20"/>
        </w:rPr>
      </w:pPr>
      <w:r w:rsidRPr="008B11E7">
        <w:rPr>
          <w:rFonts w:ascii="Arial" w:hAnsi="Arial" w:cs="Arial"/>
          <w:sz w:val="20"/>
          <w:szCs w:val="20"/>
        </w:rPr>
        <w:t>Allopurinol was well tolerated</w:t>
      </w:r>
      <w:r w:rsidR="006B2E20">
        <w:rPr>
          <w:rFonts w:ascii="Arial" w:hAnsi="Arial" w:cs="Arial"/>
          <w:sz w:val="20"/>
          <w:szCs w:val="20"/>
        </w:rPr>
        <w:t xml:space="preserve"> in general</w:t>
      </w:r>
      <w:r w:rsidRPr="008B11E7">
        <w:rPr>
          <w:rFonts w:ascii="Arial" w:hAnsi="Arial" w:cs="Arial"/>
          <w:sz w:val="20"/>
          <w:szCs w:val="20"/>
        </w:rPr>
        <w:t>; adverse events were comparable to placebo across</w:t>
      </w:r>
      <w:r w:rsidR="00E95DDC">
        <w:rPr>
          <w:rFonts w:ascii="Arial" w:hAnsi="Arial" w:cs="Arial"/>
          <w:sz w:val="20"/>
          <w:szCs w:val="20"/>
        </w:rPr>
        <w:t xml:space="preserve"> each of the</w:t>
      </w:r>
      <w:r w:rsidRPr="008B11E7">
        <w:rPr>
          <w:rFonts w:ascii="Arial" w:hAnsi="Arial" w:cs="Arial"/>
          <w:sz w:val="20"/>
          <w:szCs w:val="20"/>
        </w:rPr>
        <w:t xml:space="preserve"> acute, subacute, and long-term settings. Some studies did not systematically report adverse events, slightly reducing certainty.</w:t>
      </w:r>
    </w:p>
    <w:p w14:paraId="5C0A0DBE" w14:textId="77777777" w:rsidR="00872C04" w:rsidRPr="008B11E7" w:rsidRDefault="00872C04" w:rsidP="008B11E7">
      <w:pPr>
        <w:spacing w:line="360" w:lineRule="auto"/>
        <w:jc w:val="both"/>
        <w:rPr>
          <w:rFonts w:ascii="Arial" w:hAnsi="Arial" w:cs="Arial"/>
          <w:sz w:val="20"/>
          <w:szCs w:val="20"/>
        </w:rPr>
      </w:pPr>
    </w:p>
    <w:p w14:paraId="03E0125C" w14:textId="77777777" w:rsidR="003E102D" w:rsidRDefault="003E102D" w:rsidP="008B11E7">
      <w:pPr>
        <w:spacing w:line="360" w:lineRule="auto"/>
        <w:jc w:val="both"/>
        <w:rPr>
          <w:rFonts w:ascii="Arial" w:hAnsi="Arial" w:cs="Arial"/>
          <w:sz w:val="20"/>
          <w:szCs w:val="20"/>
        </w:rPr>
      </w:pPr>
      <w:r w:rsidRPr="008B11E7">
        <w:rPr>
          <w:rFonts w:ascii="Arial" w:hAnsi="Arial" w:cs="Arial"/>
          <w:sz w:val="20"/>
          <w:szCs w:val="20"/>
        </w:rPr>
        <w:t>The certainty of evidence for tolerability and safety of allopurinol is moderate. Most studies adequately reported that allopurinol was well-tolerated, and that the rate of adverse events was comparable to placebo in acute, subacute and long-term settings. Additionally, serious adverse events were uncommon. However, some studies failed to systematically report such adverse events, with others lacking detailed descriptions or classification of harms. Thus, the certainty was reduced to moderate.</w:t>
      </w:r>
    </w:p>
    <w:p w14:paraId="5C793C55" w14:textId="77777777" w:rsidR="006225F2" w:rsidRDefault="006225F2" w:rsidP="008B11E7">
      <w:pPr>
        <w:spacing w:line="360" w:lineRule="auto"/>
        <w:jc w:val="both"/>
        <w:rPr>
          <w:rFonts w:ascii="Arial" w:hAnsi="Arial" w:cs="Arial"/>
          <w:sz w:val="20"/>
          <w:szCs w:val="20"/>
        </w:rPr>
      </w:pPr>
    </w:p>
    <w:p w14:paraId="22DAD5D6" w14:textId="7DAE3B0F" w:rsidR="006225F2" w:rsidRPr="00D675B6" w:rsidRDefault="00206EF8" w:rsidP="006225F2">
      <w:pPr>
        <w:pStyle w:val="ListParagraph"/>
        <w:numPr>
          <w:ilvl w:val="0"/>
          <w:numId w:val="4"/>
        </w:numPr>
        <w:spacing w:after="0" w:line="360" w:lineRule="auto"/>
        <w:jc w:val="both"/>
        <w:rPr>
          <w:rFonts w:ascii="Arial" w:hAnsi="Arial" w:cs="Arial"/>
          <w:b/>
          <w:bCs/>
        </w:rPr>
      </w:pPr>
      <w:r>
        <w:rPr>
          <w:rFonts w:ascii="Arial" w:hAnsi="Arial" w:cs="Arial"/>
          <w:b/>
          <w:bCs/>
        </w:rPr>
        <w:t>Vascular and endothelial outcomes</w:t>
      </w:r>
      <w:r w:rsidR="006225F2" w:rsidRPr="00D675B6">
        <w:rPr>
          <w:rFonts w:ascii="Arial" w:hAnsi="Arial" w:cs="Arial"/>
          <w:b/>
          <w:bCs/>
        </w:rPr>
        <w:t xml:space="preserve"> MODERATE</w:t>
      </w:r>
    </w:p>
    <w:p w14:paraId="462D094C" w14:textId="44349B14" w:rsidR="003E102D" w:rsidRDefault="006225F2" w:rsidP="008B11E7">
      <w:pPr>
        <w:spacing w:line="360" w:lineRule="auto"/>
        <w:jc w:val="both"/>
        <w:rPr>
          <w:rFonts w:ascii="Arial" w:hAnsi="Arial" w:cs="Arial"/>
          <w:sz w:val="20"/>
          <w:szCs w:val="20"/>
        </w:rPr>
      </w:pPr>
      <w:r w:rsidRPr="006225F2">
        <w:rPr>
          <w:rFonts w:ascii="Arial" w:hAnsi="Arial" w:cs="Arial"/>
          <w:sz w:val="20"/>
          <w:szCs w:val="20"/>
        </w:rPr>
        <w:t xml:space="preserve">The certainty of evidence for the effect of allopurinol on </w:t>
      </w:r>
      <w:r w:rsidR="00206EF8">
        <w:rPr>
          <w:rFonts w:ascii="Arial" w:hAnsi="Arial" w:cs="Arial"/>
          <w:sz w:val="20"/>
          <w:szCs w:val="20"/>
        </w:rPr>
        <w:t>vascular and endothelial outcomes</w:t>
      </w:r>
      <w:r w:rsidRPr="006225F2">
        <w:rPr>
          <w:rFonts w:ascii="Arial" w:hAnsi="Arial" w:cs="Arial"/>
          <w:sz w:val="20"/>
          <w:szCs w:val="20"/>
        </w:rPr>
        <w:t xml:space="preserve"> is moderate. Several randomised controlled trials consistently demonstrated favourable effects on vascular and endothelial function, including reductions in central systolic blood pressure, arterial stiffness (augmentation index), carotid intima-media thickness progression, and circulating intercellular adhesion molecule-1 (ICAM-1). However, these improvements were not consistently replicated across all physiological outcomes, as larger trials found no significant benefit on cerebrovascular reactivity or white matter hyperintensity progression. Furthermore, substantial heterogeneity existed in the physiological endpoints assessed, treatment timing, and duration of follow-up, limiting direct comparison between studies. Consequently, although the overall evidence supports a reproducible biological effect of allopurinol on selected markers of vascular physiology, inconsistency across surrogate endpoints and imprecision reduced the certainty of evidence to moderate.</w:t>
      </w:r>
    </w:p>
    <w:p w14:paraId="268722E7" w14:textId="08EF981E" w:rsidR="00D03937" w:rsidRPr="00D03937" w:rsidRDefault="001D491D" w:rsidP="00D03937">
      <w:pPr>
        <w:spacing w:line="360" w:lineRule="auto"/>
        <w:jc w:val="both"/>
        <w:rPr>
          <w:rFonts w:ascii="Arial" w:hAnsi="Arial" w:cs="Arial"/>
          <w:i/>
          <w:iCs/>
          <w:sz w:val="20"/>
          <w:szCs w:val="20"/>
        </w:rPr>
      </w:pPr>
      <w:r w:rsidRPr="008B11E7">
        <w:rPr>
          <w:rFonts w:ascii="Arial" w:hAnsi="Arial" w:cs="Arial"/>
          <w:b/>
          <w:bCs/>
          <w:sz w:val="20"/>
          <w:szCs w:val="20"/>
        </w:rPr>
        <w:lastRenderedPageBreak/>
        <w:t>Supplementary Item S</w:t>
      </w:r>
      <w:r>
        <w:rPr>
          <w:rFonts w:ascii="Arial" w:hAnsi="Arial" w:cs="Arial"/>
          <w:b/>
          <w:bCs/>
          <w:sz w:val="20"/>
          <w:szCs w:val="20"/>
        </w:rPr>
        <w:t>7</w:t>
      </w:r>
      <w:r w:rsidRPr="008B11E7">
        <w:rPr>
          <w:rFonts w:ascii="Arial" w:hAnsi="Arial" w:cs="Arial"/>
          <w:b/>
          <w:bCs/>
          <w:sz w:val="20"/>
          <w:szCs w:val="20"/>
        </w:rPr>
        <w:t xml:space="preserve">. </w:t>
      </w:r>
      <w:r w:rsidR="00D03937" w:rsidRPr="008B11E7">
        <w:rPr>
          <w:rFonts w:ascii="Arial" w:hAnsi="Arial" w:cs="Arial"/>
          <w:sz w:val="20"/>
          <w:szCs w:val="20"/>
        </w:rPr>
        <w:t xml:space="preserve">A tabulated summary of the assessment of certainty within this systematic review, using the GRADE framework. </w:t>
      </w:r>
      <w:r w:rsidR="002F095A">
        <w:rPr>
          <w:rFonts w:ascii="Arial" w:hAnsi="Arial" w:cs="Arial"/>
          <w:i/>
          <w:iCs/>
          <w:sz w:val="20"/>
          <w:szCs w:val="20"/>
        </w:rPr>
        <w:t>Included</w:t>
      </w:r>
      <w:r w:rsidR="00D03937">
        <w:rPr>
          <w:rFonts w:ascii="Arial" w:hAnsi="Arial" w:cs="Arial"/>
          <w:i/>
          <w:iCs/>
          <w:sz w:val="20"/>
          <w:szCs w:val="20"/>
        </w:rPr>
        <w:t xml:space="preserve"> as Figure 3</w:t>
      </w:r>
      <w:r w:rsidR="00E83F78">
        <w:rPr>
          <w:rFonts w:ascii="Arial" w:hAnsi="Arial" w:cs="Arial"/>
          <w:i/>
          <w:iCs/>
          <w:sz w:val="20"/>
          <w:szCs w:val="20"/>
        </w:rPr>
        <w:t xml:space="preserve"> in </w:t>
      </w:r>
      <w:r w:rsidR="00D03937">
        <w:rPr>
          <w:rFonts w:ascii="Arial" w:hAnsi="Arial" w:cs="Arial"/>
          <w:i/>
          <w:iCs/>
          <w:sz w:val="20"/>
          <w:szCs w:val="20"/>
        </w:rPr>
        <w:t xml:space="preserve">the </w:t>
      </w:r>
      <w:r w:rsidR="00E64EDA">
        <w:rPr>
          <w:rFonts w:ascii="Arial" w:hAnsi="Arial" w:cs="Arial"/>
          <w:i/>
          <w:iCs/>
          <w:sz w:val="20"/>
          <w:szCs w:val="20"/>
        </w:rPr>
        <w:t>full</w:t>
      </w:r>
      <w:r w:rsidR="00FC5595">
        <w:rPr>
          <w:rFonts w:ascii="Arial" w:hAnsi="Arial" w:cs="Arial"/>
          <w:i/>
          <w:iCs/>
          <w:sz w:val="20"/>
          <w:szCs w:val="20"/>
        </w:rPr>
        <w:t xml:space="preserve"> </w:t>
      </w:r>
      <w:r w:rsidR="00D03937">
        <w:rPr>
          <w:rFonts w:ascii="Arial" w:hAnsi="Arial" w:cs="Arial"/>
          <w:i/>
          <w:iCs/>
          <w:sz w:val="20"/>
          <w:szCs w:val="20"/>
        </w:rPr>
        <w:t xml:space="preserve">manuscript. </w:t>
      </w:r>
    </w:p>
    <w:p w14:paraId="74C1A0CD" w14:textId="77777777" w:rsidR="008402FD" w:rsidRPr="008D34F9" w:rsidRDefault="008402FD" w:rsidP="008B11E7">
      <w:pPr>
        <w:spacing w:line="360" w:lineRule="auto"/>
        <w:jc w:val="both"/>
        <w:rPr>
          <w:rFonts w:ascii="Arial" w:hAnsi="Arial" w:cs="Arial"/>
          <w:sz w:val="8"/>
          <w:szCs w:val="8"/>
        </w:rPr>
      </w:pPr>
    </w:p>
    <w:tbl>
      <w:tblPr>
        <w:tblStyle w:val="TableGrid"/>
        <w:tblW w:w="9067" w:type="dxa"/>
        <w:tblLook w:val="04A0" w:firstRow="1" w:lastRow="0" w:firstColumn="1" w:lastColumn="0" w:noHBand="0" w:noVBand="1"/>
      </w:tblPr>
      <w:tblGrid>
        <w:gridCol w:w="2263"/>
        <w:gridCol w:w="4820"/>
        <w:gridCol w:w="1984"/>
      </w:tblGrid>
      <w:tr w:rsidR="00965DA6" w:rsidRPr="00965DA6" w14:paraId="7F051196" w14:textId="77777777" w:rsidTr="009866DA">
        <w:trPr>
          <w:trHeight w:val="492"/>
        </w:trPr>
        <w:tc>
          <w:tcPr>
            <w:tcW w:w="2263" w:type="dxa"/>
            <w:shd w:val="clear" w:color="auto" w:fill="F2F2F2" w:themeFill="background1" w:themeFillShade="F2"/>
            <w:vAlign w:val="center"/>
          </w:tcPr>
          <w:p w14:paraId="54A11929" w14:textId="77777777" w:rsidR="00965DA6" w:rsidRPr="00965DA6" w:rsidRDefault="00965DA6" w:rsidP="005A4FC3">
            <w:pPr>
              <w:jc w:val="center"/>
              <w:rPr>
                <w:rFonts w:ascii="Arial" w:hAnsi="Arial" w:cs="Arial"/>
                <w:b/>
                <w:bCs/>
                <w:sz w:val="20"/>
                <w:szCs w:val="20"/>
              </w:rPr>
            </w:pPr>
            <w:r w:rsidRPr="00965DA6">
              <w:rPr>
                <w:rFonts w:ascii="Arial" w:hAnsi="Arial" w:cs="Arial"/>
                <w:b/>
                <w:bCs/>
                <w:sz w:val="20"/>
                <w:szCs w:val="20"/>
              </w:rPr>
              <w:t>Outcome Domain</w:t>
            </w:r>
          </w:p>
        </w:tc>
        <w:tc>
          <w:tcPr>
            <w:tcW w:w="4820" w:type="dxa"/>
            <w:shd w:val="clear" w:color="auto" w:fill="F2F2F2" w:themeFill="background1" w:themeFillShade="F2"/>
            <w:vAlign w:val="center"/>
          </w:tcPr>
          <w:p w14:paraId="434F2AF6" w14:textId="71F049F0" w:rsidR="00965DA6" w:rsidRPr="00965DA6" w:rsidRDefault="00965DA6" w:rsidP="005A4FC3">
            <w:pPr>
              <w:jc w:val="center"/>
              <w:rPr>
                <w:rFonts w:ascii="Arial" w:hAnsi="Arial" w:cs="Arial"/>
                <w:b/>
                <w:bCs/>
                <w:sz w:val="20"/>
                <w:szCs w:val="20"/>
              </w:rPr>
            </w:pPr>
            <w:r w:rsidRPr="00965DA6">
              <w:rPr>
                <w:rFonts w:ascii="Arial" w:hAnsi="Arial" w:cs="Arial"/>
                <w:b/>
                <w:bCs/>
                <w:sz w:val="20"/>
                <w:szCs w:val="20"/>
              </w:rPr>
              <w:t>Included Studies</w:t>
            </w:r>
          </w:p>
        </w:tc>
        <w:tc>
          <w:tcPr>
            <w:tcW w:w="1984" w:type="dxa"/>
            <w:shd w:val="clear" w:color="auto" w:fill="F2F2F2" w:themeFill="background1" w:themeFillShade="F2"/>
            <w:vAlign w:val="center"/>
          </w:tcPr>
          <w:p w14:paraId="4F2FFCE1" w14:textId="4F8C50E2" w:rsidR="00965DA6" w:rsidRPr="00965DA6" w:rsidRDefault="00965DA6" w:rsidP="005A4FC3">
            <w:pPr>
              <w:jc w:val="center"/>
              <w:rPr>
                <w:rFonts w:ascii="Arial" w:hAnsi="Arial" w:cs="Arial"/>
                <w:b/>
                <w:bCs/>
                <w:sz w:val="20"/>
                <w:szCs w:val="20"/>
              </w:rPr>
            </w:pPr>
            <w:r w:rsidRPr="00965DA6">
              <w:rPr>
                <w:rFonts w:ascii="Arial" w:hAnsi="Arial" w:cs="Arial"/>
                <w:b/>
                <w:bCs/>
                <w:sz w:val="20"/>
                <w:szCs w:val="20"/>
              </w:rPr>
              <w:t>GRADE Rating</w:t>
            </w:r>
          </w:p>
        </w:tc>
      </w:tr>
      <w:tr w:rsidR="00965DA6" w:rsidRPr="00965DA6" w14:paraId="1A6170F4" w14:textId="77777777" w:rsidTr="009866DA">
        <w:trPr>
          <w:trHeight w:val="854"/>
        </w:trPr>
        <w:tc>
          <w:tcPr>
            <w:tcW w:w="2263" w:type="dxa"/>
            <w:vAlign w:val="center"/>
          </w:tcPr>
          <w:p w14:paraId="00809D22" w14:textId="1DA4C380" w:rsidR="00965DA6" w:rsidRPr="00965DA6" w:rsidRDefault="00965DA6" w:rsidP="005A4FC3">
            <w:pPr>
              <w:jc w:val="center"/>
              <w:rPr>
                <w:rFonts w:ascii="Arial" w:hAnsi="Arial" w:cs="Arial"/>
                <w:sz w:val="20"/>
                <w:szCs w:val="20"/>
              </w:rPr>
            </w:pPr>
            <w:r w:rsidRPr="00965DA6">
              <w:rPr>
                <w:rFonts w:ascii="Arial" w:hAnsi="Arial" w:cs="Arial"/>
                <w:sz w:val="20"/>
                <w:szCs w:val="20"/>
              </w:rPr>
              <w:t>Functional Outcomes</w:t>
            </w:r>
          </w:p>
        </w:tc>
        <w:tc>
          <w:tcPr>
            <w:tcW w:w="4820" w:type="dxa"/>
            <w:vAlign w:val="center"/>
          </w:tcPr>
          <w:p w14:paraId="6118DB92" w14:textId="0ABDFA14" w:rsidR="00965DA6" w:rsidRPr="00965DA6" w:rsidRDefault="00CB2152" w:rsidP="005A4FC3">
            <w:pPr>
              <w:jc w:val="center"/>
              <w:rPr>
                <w:rFonts w:ascii="Arial" w:hAnsi="Arial" w:cs="Arial"/>
                <w:sz w:val="20"/>
                <w:szCs w:val="20"/>
              </w:rPr>
            </w:pPr>
            <w:r w:rsidRPr="00CB2152">
              <w:rPr>
                <w:rFonts w:ascii="Arial" w:hAnsi="Arial" w:cs="Arial"/>
                <w:sz w:val="20"/>
                <w:szCs w:val="20"/>
              </w:rPr>
              <w:t>Taheraghdam et al. (2014)</w:t>
            </w:r>
          </w:p>
        </w:tc>
        <w:tc>
          <w:tcPr>
            <w:tcW w:w="1984" w:type="dxa"/>
            <w:vAlign w:val="center"/>
          </w:tcPr>
          <w:p w14:paraId="11AC4F0D" w14:textId="3CD0B1B3" w:rsidR="00965DA6" w:rsidRPr="00965DA6" w:rsidRDefault="00923FC2" w:rsidP="005A4FC3">
            <w:pPr>
              <w:jc w:val="center"/>
              <w:rPr>
                <w:rFonts w:ascii="Arial" w:hAnsi="Arial" w:cs="Arial"/>
                <w:sz w:val="20"/>
                <w:szCs w:val="20"/>
              </w:rPr>
            </w:pPr>
            <w:r>
              <w:rPr>
                <w:rFonts w:ascii="Arial" w:hAnsi="Arial" w:cs="Arial"/>
                <w:sz w:val="20"/>
                <w:szCs w:val="20"/>
              </w:rPr>
              <w:t>Low</w:t>
            </w:r>
          </w:p>
        </w:tc>
      </w:tr>
      <w:tr w:rsidR="00965DA6" w:rsidRPr="00965DA6" w14:paraId="11BC564F" w14:textId="77777777" w:rsidTr="009866DA">
        <w:trPr>
          <w:trHeight w:val="854"/>
        </w:trPr>
        <w:tc>
          <w:tcPr>
            <w:tcW w:w="2263" w:type="dxa"/>
            <w:shd w:val="clear" w:color="auto" w:fill="F9F9F9"/>
            <w:vAlign w:val="center"/>
          </w:tcPr>
          <w:p w14:paraId="27370234"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Neurological Impairment</w:t>
            </w:r>
          </w:p>
        </w:tc>
        <w:tc>
          <w:tcPr>
            <w:tcW w:w="4820" w:type="dxa"/>
            <w:shd w:val="clear" w:color="auto" w:fill="F9F9F9"/>
            <w:vAlign w:val="center"/>
          </w:tcPr>
          <w:p w14:paraId="045C5C43" w14:textId="05597F4C" w:rsidR="00965DA6" w:rsidRPr="00965DA6" w:rsidRDefault="00CB2152" w:rsidP="005A4FC3">
            <w:pPr>
              <w:jc w:val="center"/>
              <w:rPr>
                <w:rFonts w:ascii="Arial" w:hAnsi="Arial" w:cs="Arial"/>
                <w:sz w:val="20"/>
                <w:szCs w:val="20"/>
              </w:rPr>
            </w:pPr>
            <w:r w:rsidRPr="00CB2152">
              <w:rPr>
                <w:rFonts w:ascii="Arial" w:hAnsi="Arial" w:cs="Arial"/>
                <w:sz w:val="20"/>
                <w:szCs w:val="20"/>
              </w:rPr>
              <w:t>Muir et al. (2008)</w:t>
            </w:r>
          </w:p>
        </w:tc>
        <w:tc>
          <w:tcPr>
            <w:tcW w:w="1984" w:type="dxa"/>
            <w:shd w:val="clear" w:color="auto" w:fill="F9F9F9"/>
            <w:vAlign w:val="center"/>
          </w:tcPr>
          <w:p w14:paraId="664C21DF"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Low</w:t>
            </w:r>
          </w:p>
        </w:tc>
      </w:tr>
      <w:tr w:rsidR="00965DA6" w:rsidRPr="00965DA6" w14:paraId="034A7EE1" w14:textId="77777777" w:rsidTr="009866DA">
        <w:trPr>
          <w:trHeight w:val="854"/>
        </w:trPr>
        <w:tc>
          <w:tcPr>
            <w:tcW w:w="2263" w:type="dxa"/>
            <w:vAlign w:val="center"/>
          </w:tcPr>
          <w:p w14:paraId="0147D691"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Cerebrovascular Recurrence</w:t>
            </w:r>
          </w:p>
        </w:tc>
        <w:tc>
          <w:tcPr>
            <w:tcW w:w="4820" w:type="dxa"/>
            <w:vAlign w:val="center"/>
          </w:tcPr>
          <w:p w14:paraId="3BFF1F31" w14:textId="03874E0D" w:rsidR="00965DA6" w:rsidRPr="00965DA6" w:rsidRDefault="00CB2152" w:rsidP="005A4FC3">
            <w:pPr>
              <w:jc w:val="center"/>
              <w:rPr>
                <w:rFonts w:ascii="Arial" w:hAnsi="Arial" w:cs="Arial"/>
                <w:sz w:val="20"/>
                <w:szCs w:val="20"/>
              </w:rPr>
            </w:pPr>
            <w:r w:rsidRPr="00CB2152">
              <w:rPr>
                <w:rFonts w:ascii="Arial" w:hAnsi="Arial" w:cs="Arial"/>
                <w:sz w:val="20"/>
                <w:szCs w:val="20"/>
              </w:rPr>
              <w:t>Dawson et al. (2023); Higgins et al. (2014)</w:t>
            </w:r>
          </w:p>
        </w:tc>
        <w:tc>
          <w:tcPr>
            <w:tcW w:w="1984" w:type="dxa"/>
            <w:vAlign w:val="center"/>
          </w:tcPr>
          <w:p w14:paraId="455C5C37"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Low</w:t>
            </w:r>
          </w:p>
        </w:tc>
      </w:tr>
      <w:tr w:rsidR="00965DA6" w:rsidRPr="00965DA6" w14:paraId="2C6E5D2A" w14:textId="77777777" w:rsidTr="009866DA">
        <w:trPr>
          <w:trHeight w:val="854"/>
        </w:trPr>
        <w:tc>
          <w:tcPr>
            <w:tcW w:w="2263" w:type="dxa"/>
            <w:shd w:val="clear" w:color="auto" w:fill="F9F9F9"/>
            <w:vAlign w:val="center"/>
          </w:tcPr>
          <w:p w14:paraId="5BF2297F"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Mortality</w:t>
            </w:r>
          </w:p>
        </w:tc>
        <w:tc>
          <w:tcPr>
            <w:tcW w:w="4820" w:type="dxa"/>
            <w:shd w:val="clear" w:color="auto" w:fill="F9F9F9"/>
            <w:vAlign w:val="center"/>
          </w:tcPr>
          <w:p w14:paraId="742EC9F9" w14:textId="4F4157DE" w:rsidR="00965DA6" w:rsidRPr="00965DA6" w:rsidRDefault="008F4DCC" w:rsidP="005A4FC3">
            <w:pPr>
              <w:jc w:val="center"/>
              <w:rPr>
                <w:rFonts w:ascii="Arial" w:hAnsi="Arial" w:cs="Arial"/>
                <w:sz w:val="20"/>
                <w:szCs w:val="20"/>
              </w:rPr>
            </w:pPr>
            <w:r w:rsidRPr="008F4DCC">
              <w:rPr>
                <w:rFonts w:ascii="Arial" w:hAnsi="Arial" w:cs="Arial"/>
                <w:sz w:val="20"/>
                <w:szCs w:val="20"/>
              </w:rPr>
              <w:t>Dawson et al. (2023); Taheraghdam et al. (2014)</w:t>
            </w:r>
          </w:p>
        </w:tc>
        <w:tc>
          <w:tcPr>
            <w:tcW w:w="1984" w:type="dxa"/>
            <w:shd w:val="clear" w:color="auto" w:fill="F9F9F9"/>
            <w:vAlign w:val="center"/>
          </w:tcPr>
          <w:p w14:paraId="42074853"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Low</w:t>
            </w:r>
          </w:p>
        </w:tc>
      </w:tr>
      <w:tr w:rsidR="00965DA6" w:rsidRPr="00965DA6" w14:paraId="3272B07C" w14:textId="77777777" w:rsidTr="009866DA">
        <w:trPr>
          <w:trHeight w:val="854"/>
        </w:trPr>
        <w:tc>
          <w:tcPr>
            <w:tcW w:w="2263" w:type="dxa"/>
            <w:vAlign w:val="center"/>
          </w:tcPr>
          <w:p w14:paraId="20F8D2E6"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Serum Uric Acid Concentration</w:t>
            </w:r>
          </w:p>
        </w:tc>
        <w:tc>
          <w:tcPr>
            <w:tcW w:w="4820" w:type="dxa"/>
            <w:vAlign w:val="center"/>
          </w:tcPr>
          <w:p w14:paraId="04BF95B4" w14:textId="0B89D691" w:rsidR="00965DA6" w:rsidRPr="00965DA6" w:rsidRDefault="008F4DCC" w:rsidP="005A4FC3">
            <w:pPr>
              <w:jc w:val="center"/>
              <w:rPr>
                <w:rFonts w:ascii="Arial" w:hAnsi="Arial" w:cs="Arial"/>
                <w:sz w:val="20"/>
                <w:szCs w:val="20"/>
              </w:rPr>
            </w:pPr>
            <w:r w:rsidRPr="008F4DCC">
              <w:rPr>
                <w:rFonts w:ascii="Arial" w:hAnsi="Arial" w:cs="Arial"/>
                <w:sz w:val="20"/>
                <w:szCs w:val="20"/>
              </w:rPr>
              <w:t>Dawson et al. (2009); Dawson et al. (2023); Higgins et al. (2014); Khan et al. (2008); Muir et al. (2008); Taheraghdam et al. (2014)</w:t>
            </w:r>
          </w:p>
        </w:tc>
        <w:tc>
          <w:tcPr>
            <w:tcW w:w="1984" w:type="dxa"/>
            <w:vAlign w:val="center"/>
          </w:tcPr>
          <w:p w14:paraId="44DECD31"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High</w:t>
            </w:r>
          </w:p>
        </w:tc>
      </w:tr>
      <w:tr w:rsidR="00965DA6" w:rsidRPr="00965DA6" w14:paraId="7E1E193D" w14:textId="77777777" w:rsidTr="009866DA">
        <w:trPr>
          <w:trHeight w:val="854"/>
        </w:trPr>
        <w:tc>
          <w:tcPr>
            <w:tcW w:w="2263" w:type="dxa"/>
            <w:shd w:val="clear" w:color="auto" w:fill="F9F9F9"/>
            <w:vAlign w:val="center"/>
          </w:tcPr>
          <w:p w14:paraId="74E95D29"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Safety and Adverse Events</w:t>
            </w:r>
          </w:p>
        </w:tc>
        <w:tc>
          <w:tcPr>
            <w:tcW w:w="4820" w:type="dxa"/>
            <w:shd w:val="clear" w:color="auto" w:fill="F9F9F9"/>
            <w:vAlign w:val="center"/>
          </w:tcPr>
          <w:p w14:paraId="37A7DF1D" w14:textId="6F84E70D" w:rsidR="00965DA6" w:rsidRPr="00965DA6" w:rsidRDefault="008F4DCC" w:rsidP="005A4FC3">
            <w:pPr>
              <w:jc w:val="center"/>
              <w:rPr>
                <w:rFonts w:ascii="Arial" w:hAnsi="Arial" w:cs="Arial"/>
                <w:sz w:val="20"/>
                <w:szCs w:val="20"/>
              </w:rPr>
            </w:pPr>
            <w:r w:rsidRPr="008F4DCC">
              <w:rPr>
                <w:rFonts w:ascii="Arial" w:hAnsi="Arial" w:cs="Arial"/>
                <w:sz w:val="20"/>
                <w:szCs w:val="20"/>
              </w:rPr>
              <w:t>Dawson et al. (2009); Dawson et al. (2023); Muir et al. (2008); Taheraghdam et al. (2014)</w:t>
            </w:r>
          </w:p>
        </w:tc>
        <w:tc>
          <w:tcPr>
            <w:tcW w:w="1984" w:type="dxa"/>
            <w:shd w:val="clear" w:color="auto" w:fill="F9F9F9"/>
            <w:vAlign w:val="center"/>
          </w:tcPr>
          <w:p w14:paraId="3E2720B2"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Moderate</w:t>
            </w:r>
          </w:p>
        </w:tc>
      </w:tr>
      <w:tr w:rsidR="00965DA6" w:rsidRPr="00965DA6" w14:paraId="3A212698" w14:textId="77777777" w:rsidTr="009866DA">
        <w:trPr>
          <w:trHeight w:val="854"/>
        </w:trPr>
        <w:tc>
          <w:tcPr>
            <w:tcW w:w="2263" w:type="dxa"/>
            <w:shd w:val="clear" w:color="auto" w:fill="FFFFFF" w:themeFill="background1"/>
            <w:vAlign w:val="center"/>
          </w:tcPr>
          <w:p w14:paraId="63BB2B6D" w14:textId="41364BB2" w:rsidR="00965DA6" w:rsidRPr="00965DA6" w:rsidRDefault="007C451C" w:rsidP="005A4FC3">
            <w:pPr>
              <w:jc w:val="center"/>
              <w:rPr>
                <w:rFonts w:ascii="Arial" w:hAnsi="Arial" w:cs="Arial"/>
                <w:sz w:val="20"/>
                <w:szCs w:val="20"/>
              </w:rPr>
            </w:pPr>
            <w:r>
              <w:rPr>
                <w:rFonts w:ascii="Arial" w:hAnsi="Arial" w:cs="Arial"/>
                <w:sz w:val="20"/>
                <w:szCs w:val="20"/>
              </w:rPr>
              <w:t>Vascular and endothelial outcomes</w:t>
            </w:r>
          </w:p>
        </w:tc>
        <w:tc>
          <w:tcPr>
            <w:tcW w:w="4820" w:type="dxa"/>
            <w:shd w:val="clear" w:color="auto" w:fill="FFFFFF" w:themeFill="background1"/>
            <w:vAlign w:val="center"/>
          </w:tcPr>
          <w:p w14:paraId="1E7DCE97" w14:textId="77B0B29B" w:rsidR="00965DA6" w:rsidRPr="00965DA6" w:rsidRDefault="008F4DCC" w:rsidP="005A4FC3">
            <w:pPr>
              <w:jc w:val="center"/>
              <w:rPr>
                <w:rFonts w:ascii="Arial" w:hAnsi="Arial" w:cs="Arial"/>
                <w:sz w:val="20"/>
                <w:szCs w:val="20"/>
              </w:rPr>
            </w:pPr>
            <w:r w:rsidRPr="008F4DCC">
              <w:rPr>
                <w:rFonts w:ascii="Arial" w:hAnsi="Arial" w:cs="Arial"/>
                <w:sz w:val="20"/>
                <w:szCs w:val="20"/>
              </w:rPr>
              <w:t>Dawson et al. (2009); Dawson et al. (2023); Higgins et al. (2014); Khan et al. (2008); Muir et al. (2008)</w:t>
            </w:r>
          </w:p>
        </w:tc>
        <w:tc>
          <w:tcPr>
            <w:tcW w:w="1984" w:type="dxa"/>
            <w:shd w:val="clear" w:color="auto" w:fill="FFFFFF" w:themeFill="background1"/>
            <w:vAlign w:val="center"/>
          </w:tcPr>
          <w:p w14:paraId="5B6B3019" w14:textId="77777777" w:rsidR="00965DA6" w:rsidRPr="00965DA6" w:rsidRDefault="00965DA6" w:rsidP="005A4FC3">
            <w:pPr>
              <w:jc w:val="center"/>
              <w:rPr>
                <w:rFonts w:ascii="Arial" w:hAnsi="Arial" w:cs="Arial"/>
                <w:sz w:val="20"/>
                <w:szCs w:val="20"/>
              </w:rPr>
            </w:pPr>
            <w:r w:rsidRPr="00965DA6">
              <w:rPr>
                <w:rFonts w:ascii="Arial" w:hAnsi="Arial" w:cs="Arial"/>
                <w:sz w:val="20"/>
                <w:szCs w:val="20"/>
              </w:rPr>
              <w:t>Moderate</w:t>
            </w:r>
          </w:p>
        </w:tc>
      </w:tr>
    </w:tbl>
    <w:p w14:paraId="7FE45BFF" w14:textId="77777777" w:rsidR="003E102D" w:rsidRPr="003E102D" w:rsidRDefault="003E102D" w:rsidP="008B11E7">
      <w:pPr>
        <w:spacing w:line="360" w:lineRule="auto"/>
        <w:rPr>
          <w:rFonts w:ascii="Arial" w:hAnsi="Arial" w:cs="Arial"/>
          <w:b/>
          <w:bCs/>
          <w:sz w:val="20"/>
          <w:szCs w:val="20"/>
        </w:rPr>
      </w:pPr>
    </w:p>
    <w:p w14:paraId="76AA3EB8" w14:textId="77777777" w:rsidR="003E102D" w:rsidRPr="00A246D5" w:rsidRDefault="003E102D" w:rsidP="008B11E7">
      <w:pPr>
        <w:rPr>
          <w:rFonts w:ascii="Arial" w:hAnsi="Arial" w:cs="Arial"/>
        </w:rPr>
      </w:pPr>
    </w:p>
    <w:p w14:paraId="515F63EC" w14:textId="77777777" w:rsidR="003E102D" w:rsidRPr="00B32AA8" w:rsidRDefault="003E102D" w:rsidP="008B11E7">
      <w:pPr>
        <w:rPr>
          <w:rFonts w:ascii="Arial" w:hAnsi="Arial" w:cs="Arial"/>
          <w:sz w:val="20"/>
          <w:szCs w:val="20"/>
        </w:rPr>
      </w:pPr>
    </w:p>
    <w:sectPr w:rsidR="003E102D" w:rsidRPr="00B32A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30574"/>
    <w:multiLevelType w:val="hybridMultilevel"/>
    <w:tmpl w:val="BEB81F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4992284"/>
    <w:multiLevelType w:val="hybridMultilevel"/>
    <w:tmpl w:val="07EE6EB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83428B"/>
    <w:multiLevelType w:val="hybridMultilevel"/>
    <w:tmpl w:val="90D82B00"/>
    <w:lvl w:ilvl="0" w:tplc="7B947C3C">
      <w:start w:val="30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743FC7"/>
    <w:multiLevelType w:val="hybridMultilevel"/>
    <w:tmpl w:val="F4C602C2"/>
    <w:lvl w:ilvl="0" w:tplc="2DBAB61C">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6112757">
    <w:abstractNumId w:val="3"/>
  </w:num>
  <w:num w:numId="2" w16cid:durableId="1841189456">
    <w:abstractNumId w:val="2"/>
  </w:num>
  <w:num w:numId="3" w16cid:durableId="54820424">
    <w:abstractNumId w:val="0"/>
  </w:num>
  <w:num w:numId="4" w16cid:durableId="61590895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91"/>
    <w:rsid w:val="0000399D"/>
    <w:rsid w:val="00004505"/>
    <w:rsid w:val="00011900"/>
    <w:rsid w:val="000210CB"/>
    <w:rsid w:val="000219D4"/>
    <w:rsid w:val="00044DB4"/>
    <w:rsid w:val="00052B5B"/>
    <w:rsid w:val="00065CA6"/>
    <w:rsid w:val="000662F6"/>
    <w:rsid w:val="00066B86"/>
    <w:rsid w:val="00082C1B"/>
    <w:rsid w:val="00082E8A"/>
    <w:rsid w:val="00084E5D"/>
    <w:rsid w:val="0008669B"/>
    <w:rsid w:val="0009567E"/>
    <w:rsid w:val="000B1DD6"/>
    <w:rsid w:val="000B480C"/>
    <w:rsid w:val="000B5E29"/>
    <w:rsid w:val="000C6482"/>
    <w:rsid w:val="000C7B6E"/>
    <w:rsid w:val="000D3EDE"/>
    <w:rsid w:val="000D7C28"/>
    <w:rsid w:val="000E4D45"/>
    <w:rsid w:val="000F2F8F"/>
    <w:rsid w:val="000F7C03"/>
    <w:rsid w:val="00103191"/>
    <w:rsid w:val="00132413"/>
    <w:rsid w:val="00132EAF"/>
    <w:rsid w:val="0013683E"/>
    <w:rsid w:val="00146BCA"/>
    <w:rsid w:val="00156FC9"/>
    <w:rsid w:val="00167041"/>
    <w:rsid w:val="00167215"/>
    <w:rsid w:val="00171D1B"/>
    <w:rsid w:val="00186FE9"/>
    <w:rsid w:val="001A457C"/>
    <w:rsid w:val="001B45A9"/>
    <w:rsid w:val="001B642B"/>
    <w:rsid w:val="001B7B11"/>
    <w:rsid w:val="001C159E"/>
    <w:rsid w:val="001C1E7B"/>
    <w:rsid w:val="001D491D"/>
    <w:rsid w:val="001E3910"/>
    <w:rsid w:val="001E7D6A"/>
    <w:rsid w:val="00200D80"/>
    <w:rsid w:val="00206EF8"/>
    <w:rsid w:val="00212B31"/>
    <w:rsid w:val="00213F31"/>
    <w:rsid w:val="00221631"/>
    <w:rsid w:val="0024218A"/>
    <w:rsid w:val="00254DDE"/>
    <w:rsid w:val="00256660"/>
    <w:rsid w:val="002613F6"/>
    <w:rsid w:val="00281FA5"/>
    <w:rsid w:val="0028260C"/>
    <w:rsid w:val="0028561B"/>
    <w:rsid w:val="002A19E2"/>
    <w:rsid w:val="002B3E3B"/>
    <w:rsid w:val="002B76E0"/>
    <w:rsid w:val="002C0FC0"/>
    <w:rsid w:val="002E14C8"/>
    <w:rsid w:val="002E44EA"/>
    <w:rsid w:val="002E5F72"/>
    <w:rsid w:val="002F095A"/>
    <w:rsid w:val="002F337B"/>
    <w:rsid w:val="002F5A1C"/>
    <w:rsid w:val="00303E65"/>
    <w:rsid w:val="003108BE"/>
    <w:rsid w:val="00313060"/>
    <w:rsid w:val="003207FE"/>
    <w:rsid w:val="003228E3"/>
    <w:rsid w:val="003231F5"/>
    <w:rsid w:val="00325300"/>
    <w:rsid w:val="00337319"/>
    <w:rsid w:val="003555BF"/>
    <w:rsid w:val="003678B1"/>
    <w:rsid w:val="003757B5"/>
    <w:rsid w:val="003778DB"/>
    <w:rsid w:val="003800DB"/>
    <w:rsid w:val="003845C5"/>
    <w:rsid w:val="00394298"/>
    <w:rsid w:val="003A44EE"/>
    <w:rsid w:val="003A4903"/>
    <w:rsid w:val="003B2898"/>
    <w:rsid w:val="003C1134"/>
    <w:rsid w:val="003C375C"/>
    <w:rsid w:val="003C3D7A"/>
    <w:rsid w:val="003C4272"/>
    <w:rsid w:val="003D5949"/>
    <w:rsid w:val="003E02DB"/>
    <w:rsid w:val="003E102D"/>
    <w:rsid w:val="003E2169"/>
    <w:rsid w:val="003F359E"/>
    <w:rsid w:val="003F5DE4"/>
    <w:rsid w:val="003F6D1F"/>
    <w:rsid w:val="004012AF"/>
    <w:rsid w:val="0040217C"/>
    <w:rsid w:val="00404811"/>
    <w:rsid w:val="0040517A"/>
    <w:rsid w:val="004155A1"/>
    <w:rsid w:val="0041569E"/>
    <w:rsid w:val="004174AD"/>
    <w:rsid w:val="00430CAF"/>
    <w:rsid w:val="0043145D"/>
    <w:rsid w:val="004344B3"/>
    <w:rsid w:val="00445D6A"/>
    <w:rsid w:val="0046604C"/>
    <w:rsid w:val="0047064C"/>
    <w:rsid w:val="00484773"/>
    <w:rsid w:val="00490B5A"/>
    <w:rsid w:val="00494F7E"/>
    <w:rsid w:val="004A4158"/>
    <w:rsid w:val="004A585C"/>
    <w:rsid w:val="004B2382"/>
    <w:rsid w:val="004B2E3D"/>
    <w:rsid w:val="004B499C"/>
    <w:rsid w:val="004E32CB"/>
    <w:rsid w:val="004F1C07"/>
    <w:rsid w:val="004F1C48"/>
    <w:rsid w:val="00500664"/>
    <w:rsid w:val="00505C08"/>
    <w:rsid w:val="005062EC"/>
    <w:rsid w:val="00513C15"/>
    <w:rsid w:val="00515278"/>
    <w:rsid w:val="005161C1"/>
    <w:rsid w:val="005262D6"/>
    <w:rsid w:val="00527C55"/>
    <w:rsid w:val="00535A22"/>
    <w:rsid w:val="00537281"/>
    <w:rsid w:val="00545F62"/>
    <w:rsid w:val="00550DF5"/>
    <w:rsid w:val="00552E4A"/>
    <w:rsid w:val="00561F35"/>
    <w:rsid w:val="00562B08"/>
    <w:rsid w:val="005637F1"/>
    <w:rsid w:val="00586E56"/>
    <w:rsid w:val="00590258"/>
    <w:rsid w:val="00596A32"/>
    <w:rsid w:val="005B3690"/>
    <w:rsid w:val="005C0C7E"/>
    <w:rsid w:val="005F1861"/>
    <w:rsid w:val="00613FD3"/>
    <w:rsid w:val="00621D02"/>
    <w:rsid w:val="006225F2"/>
    <w:rsid w:val="00652D72"/>
    <w:rsid w:val="0065642E"/>
    <w:rsid w:val="006629A5"/>
    <w:rsid w:val="00664F1C"/>
    <w:rsid w:val="00673BE8"/>
    <w:rsid w:val="006760C8"/>
    <w:rsid w:val="006770B3"/>
    <w:rsid w:val="00687226"/>
    <w:rsid w:val="00691362"/>
    <w:rsid w:val="00694139"/>
    <w:rsid w:val="006A09B3"/>
    <w:rsid w:val="006B2E20"/>
    <w:rsid w:val="006B4E63"/>
    <w:rsid w:val="006B648D"/>
    <w:rsid w:val="006C2F09"/>
    <w:rsid w:val="006D1108"/>
    <w:rsid w:val="006E028A"/>
    <w:rsid w:val="006E7BA6"/>
    <w:rsid w:val="006F432C"/>
    <w:rsid w:val="006F60E3"/>
    <w:rsid w:val="00713F64"/>
    <w:rsid w:val="00715C7D"/>
    <w:rsid w:val="007432C8"/>
    <w:rsid w:val="00744A51"/>
    <w:rsid w:val="00757C57"/>
    <w:rsid w:val="007673AF"/>
    <w:rsid w:val="00770F75"/>
    <w:rsid w:val="0077144B"/>
    <w:rsid w:val="00774EFC"/>
    <w:rsid w:val="00780178"/>
    <w:rsid w:val="00783929"/>
    <w:rsid w:val="00784123"/>
    <w:rsid w:val="007A716C"/>
    <w:rsid w:val="007C451C"/>
    <w:rsid w:val="007C5C54"/>
    <w:rsid w:val="007D647F"/>
    <w:rsid w:val="007D69C8"/>
    <w:rsid w:val="007D7E03"/>
    <w:rsid w:val="007F3B5B"/>
    <w:rsid w:val="00802DC5"/>
    <w:rsid w:val="008043A8"/>
    <w:rsid w:val="008074F7"/>
    <w:rsid w:val="00810B95"/>
    <w:rsid w:val="00817109"/>
    <w:rsid w:val="0082228D"/>
    <w:rsid w:val="00823CB7"/>
    <w:rsid w:val="008335A0"/>
    <w:rsid w:val="00835C06"/>
    <w:rsid w:val="008402FD"/>
    <w:rsid w:val="00855F30"/>
    <w:rsid w:val="00864F00"/>
    <w:rsid w:val="008678E6"/>
    <w:rsid w:val="00872C04"/>
    <w:rsid w:val="0087384F"/>
    <w:rsid w:val="008757AA"/>
    <w:rsid w:val="0087787A"/>
    <w:rsid w:val="0088012D"/>
    <w:rsid w:val="00897C49"/>
    <w:rsid w:val="008B11E7"/>
    <w:rsid w:val="008B320B"/>
    <w:rsid w:val="008D34F9"/>
    <w:rsid w:val="008E2A0C"/>
    <w:rsid w:val="008E50D9"/>
    <w:rsid w:val="008F2226"/>
    <w:rsid w:val="008F4DCC"/>
    <w:rsid w:val="009057F7"/>
    <w:rsid w:val="00917B60"/>
    <w:rsid w:val="00923FC2"/>
    <w:rsid w:val="009267EF"/>
    <w:rsid w:val="009303DF"/>
    <w:rsid w:val="00934208"/>
    <w:rsid w:val="00945658"/>
    <w:rsid w:val="00945895"/>
    <w:rsid w:val="00957F31"/>
    <w:rsid w:val="00963D37"/>
    <w:rsid w:val="00965DA6"/>
    <w:rsid w:val="00973CA3"/>
    <w:rsid w:val="009866DA"/>
    <w:rsid w:val="00990DAC"/>
    <w:rsid w:val="00992FEA"/>
    <w:rsid w:val="009A000F"/>
    <w:rsid w:val="009A12F0"/>
    <w:rsid w:val="009A72C3"/>
    <w:rsid w:val="009B6592"/>
    <w:rsid w:val="009B7B6E"/>
    <w:rsid w:val="009C4F06"/>
    <w:rsid w:val="009D2B57"/>
    <w:rsid w:val="009E1B97"/>
    <w:rsid w:val="009E37BD"/>
    <w:rsid w:val="009E4003"/>
    <w:rsid w:val="009F229D"/>
    <w:rsid w:val="00A04CD6"/>
    <w:rsid w:val="00A050C2"/>
    <w:rsid w:val="00A16851"/>
    <w:rsid w:val="00A30004"/>
    <w:rsid w:val="00A336CD"/>
    <w:rsid w:val="00A35BD0"/>
    <w:rsid w:val="00A512A8"/>
    <w:rsid w:val="00A52216"/>
    <w:rsid w:val="00A61735"/>
    <w:rsid w:val="00A82825"/>
    <w:rsid w:val="00A84E9C"/>
    <w:rsid w:val="00A84EF2"/>
    <w:rsid w:val="00A938A5"/>
    <w:rsid w:val="00A968AE"/>
    <w:rsid w:val="00A970BF"/>
    <w:rsid w:val="00AA0BA9"/>
    <w:rsid w:val="00AA707F"/>
    <w:rsid w:val="00AB39CC"/>
    <w:rsid w:val="00AB5EA9"/>
    <w:rsid w:val="00AC5A7B"/>
    <w:rsid w:val="00AD1CF7"/>
    <w:rsid w:val="00AD6547"/>
    <w:rsid w:val="00B027B2"/>
    <w:rsid w:val="00B029D6"/>
    <w:rsid w:val="00B02F7A"/>
    <w:rsid w:val="00B06314"/>
    <w:rsid w:val="00B16905"/>
    <w:rsid w:val="00B22B14"/>
    <w:rsid w:val="00B30A63"/>
    <w:rsid w:val="00B32AA8"/>
    <w:rsid w:val="00B51000"/>
    <w:rsid w:val="00B538A8"/>
    <w:rsid w:val="00B6354F"/>
    <w:rsid w:val="00B6606B"/>
    <w:rsid w:val="00B76E55"/>
    <w:rsid w:val="00B81787"/>
    <w:rsid w:val="00B87E91"/>
    <w:rsid w:val="00B94D0A"/>
    <w:rsid w:val="00B955AB"/>
    <w:rsid w:val="00B96B78"/>
    <w:rsid w:val="00BA7CC0"/>
    <w:rsid w:val="00BB6EE1"/>
    <w:rsid w:val="00C00570"/>
    <w:rsid w:val="00C00A9B"/>
    <w:rsid w:val="00C03BE6"/>
    <w:rsid w:val="00C03E43"/>
    <w:rsid w:val="00C13F8F"/>
    <w:rsid w:val="00C257D4"/>
    <w:rsid w:val="00C2584E"/>
    <w:rsid w:val="00C31267"/>
    <w:rsid w:val="00C32C7F"/>
    <w:rsid w:val="00C337B2"/>
    <w:rsid w:val="00C35797"/>
    <w:rsid w:val="00C36435"/>
    <w:rsid w:val="00C462BF"/>
    <w:rsid w:val="00C5026F"/>
    <w:rsid w:val="00C52554"/>
    <w:rsid w:val="00C5727B"/>
    <w:rsid w:val="00C65ABD"/>
    <w:rsid w:val="00C80767"/>
    <w:rsid w:val="00C82A0F"/>
    <w:rsid w:val="00C830B2"/>
    <w:rsid w:val="00C870E5"/>
    <w:rsid w:val="00CA383F"/>
    <w:rsid w:val="00CB1688"/>
    <w:rsid w:val="00CB2015"/>
    <w:rsid w:val="00CB2152"/>
    <w:rsid w:val="00CC5B06"/>
    <w:rsid w:val="00CD04C4"/>
    <w:rsid w:val="00CE65FD"/>
    <w:rsid w:val="00CF5E42"/>
    <w:rsid w:val="00CF76AE"/>
    <w:rsid w:val="00D03937"/>
    <w:rsid w:val="00D16C4A"/>
    <w:rsid w:val="00D20EA8"/>
    <w:rsid w:val="00D31423"/>
    <w:rsid w:val="00D441B9"/>
    <w:rsid w:val="00D47634"/>
    <w:rsid w:val="00D56055"/>
    <w:rsid w:val="00D6123A"/>
    <w:rsid w:val="00D62C39"/>
    <w:rsid w:val="00D675B6"/>
    <w:rsid w:val="00D7673C"/>
    <w:rsid w:val="00D77C3E"/>
    <w:rsid w:val="00D94D85"/>
    <w:rsid w:val="00DA3E3D"/>
    <w:rsid w:val="00DB3D90"/>
    <w:rsid w:val="00DC1E30"/>
    <w:rsid w:val="00DC2984"/>
    <w:rsid w:val="00DC361C"/>
    <w:rsid w:val="00DC3A33"/>
    <w:rsid w:val="00DD0341"/>
    <w:rsid w:val="00DD4707"/>
    <w:rsid w:val="00DD4752"/>
    <w:rsid w:val="00DD679F"/>
    <w:rsid w:val="00DF4B0C"/>
    <w:rsid w:val="00E000A5"/>
    <w:rsid w:val="00E07397"/>
    <w:rsid w:val="00E13CA5"/>
    <w:rsid w:val="00E31A66"/>
    <w:rsid w:val="00E31C71"/>
    <w:rsid w:val="00E35667"/>
    <w:rsid w:val="00E35EFF"/>
    <w:rsid w:val="00E36489"/>
    <w:rsid w:val="00E64EDA"/>
    <w:rsid w:val="00E827C6"/>
    <w:rsid w:val="00E83F78"/>
    <w:rsid w:val="00E92AEF"/>
    <w:rsid w:val="00E95DDC"/>
    <w:rsid w:val="00E96E8A"/>
    <w:rsid w:val="00EA3BC2"/>
    <w:rsid w:val="00EA5BBC"/>
    <w:rsid w:val="00ED40D9"/>
    <w:rsid w:val="00EE3AC2"/>
    <w:rsid w:val="00EE6D91"/>
    <w:rsid w:val="00EF0DDA"/>
    <w:rsid w:val="00EF35F0"/>
    <w:rsid w:val="00F06566"/>
    <w:rsid w:val="00F21EC4"/>
    <w:rsid w:val="00F26D78"/>
    <w:rsid w:val="00F34BA8"/>
    <w:rsid w:val="00F45FE2"/>
    <w:rsid w:val="00F5474B"/>
    <w:rsid w:val="00F62F22"/>
    <w:rsid w:val="00F70A51"/>
    <w:rsid w:val="00F744A1"/>
    <w:rsid w:val="00FC1C52"/>
    <w:rsid w:val="00FC40A0"/>
    <w:rsid w:val="00FC5595"/>
    <w:rsid w:val="00FC61D4"/>
    <w:rsid w:val="00FD5A0C"/>
    <w:rsid w:val="00FD6D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35E465C"/>
  <w15:chartTrackingRefBased/>
  <w15:docId w15:val="{E533B464-F086-8946-A520-2E329A1D1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E3D"/>
    <w:pPr>
      <w:spacing w:after="160" w:line="278" w:lineRule="auto"/>
      <w:ind w:left="720"/>
      <w:contextualSpacing/>
    </w:pPr>
    <w:rPr>
      <w:rFonts w:eastAsiaTheme="minorEastAsia"/>
      <w:kern w:val="2"/>
      <w:lang w:eastAsia="zh-CN"/>
      <w14:ligatures w14:val="standardContextual"/>
    </w:rPr>
  </w:style>
  <w:style w:type="table" w:styleId="TableGrid">
    <w:name w:val="Table Grid"/>
    <w:basedOn w:val="TableNormal"/>
    <w:uiPriority w:val="39"/>
    <w:rsid w:val="004B2E3D"/>
    <w:rPr>
      <w:rFonts w:eastAsiaTheme="minorEastAsia"/>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5845963">
      <w:bodyDiv w:val="1"/>
      <w:marLeft w:val="0"/>
      <w:marRight w:val="0"/>
      <w:marTop w:val="0"/>
      <w:marBottom w:val="0"/>
      <w:divBdr>
        <w:top w:val="none" w:sz="0" w:space="0" w:color="auto"/>
        <w:left w:val="none" w:sz="0" w:space="0" w:color="auto"/>
        <w:bottom w:val="none" w:sz="0" w:space="0" w:color="auto"/>
        <w:right w:val="none" w:sz="0" w:space="0" w:color="auto"/>
      </w:divBdr>
    </w:div>
    <w:div w:id="146100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2217</Words>
  <Characters>12637</Characters>
  <Application>Microsoft Office Word</Application>
  <DocSecurity>0</DocSecurity>
  <Lines>105</Lines>
  <Paragraphs>29</Paragraphs>
  <ScaleCrop>false</ScaleCrop>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Sanjivan Jesudason (Student)</dc:creator>
  <cp:keywords/>
  <dc:description/>
  <cp:lastModifiedBy>Daniel Jesudason</cp:lastModifiedBy>
  <cp:revision>14</cp:revision>
  <dcterms:created xsi:type="dcterms:W3CDTF">2026-08-06T09:08:00Z</dcterms:created>
  <dcterms:modified xsi:type="dcterms:W3CDTF">2026-10-06T21:12:00Z</dcterms:modified>
</cp:coreProperties>
</file>