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A4CFEF" w14:textId="77777777" w:rsidR="00C47BE4" w:rsidRDefault="00C47BE4" w:rsidP="00C47BE4">
      <w:pPr>
        <w:spacing w:after="160"/>
        <w:rPr>
          <w:b/>
          <w:bCs/>
          <w:sz w:val="28"/>
          <w:szCs w:val="28"/>
        </w:rPr>
      </w:pPr>
      <w:r w:rsidRPr="00AD32CF">
        <w:rPr>
          <w:b/>
          <w:bCs/>
          <w:sz w:val="28"/>
          <w:szCs w:val="28"/>
        </w:rPr>
        <w:t>Supplementary Information</w:t>
      </w:r>
    </w:p>
    <w:p w14:paraId="5A1016A5" w14:textId="4C250084" w:rsidR="00C47BE4" w:rsidRPr="00C47BE4" w:rsidRDefault="00C47BE4" w:rsidP="00C47BE4">
      <w:pPr>
        <w:spacing w:after="160"/>
        <w:rPr>
          <w:b/>
          <w:bCs/>
          <w:sz w:val="24"/>
          <w:szCs w:val="24"/>
        </w:rPr>
      </w:pPr>
      <w:r w:rsidRPr="00C47BE4">
        <w:rPr>
          <w:b/>
          <w:bCs/>
          <w:sz w:val="24"/>
          <w:szCs w:val="24"/>
        </w:rPr>
        <w:t>Davis et al.</w:t>
      </w:r>
    </w:p>
    <w:p w14:paraId="4EC9F856" w14:textId="77777777" w:rsidR="00C47BE4" w:rsidRPr="00AD32CF" w:rsidRDefault="00C47BE4" w:rsidP="00C47BE4">
      <w:pPr>
        <w:spacing w:after="160"/>
        <w:rPr>
          <w:b/>
          <w:bCs/>
          <w:sz w:val="28"/>
          <w:szCs w:val="28"/>
        </w:rPr>
      </w:pPr>
    </w:p>
    <w:p w14:paraId="3548E677" w14:textId="77777777" w:rsidR="00C47BE4" w:rsidRDefault="00C47BE4" w:rsidP="00C47BE4">
      <w:pPr>
        <w:spacing w:after="160"/>
        <w:rPr>
          <w:b/>
          <w:bCs/>
        </w:rPr>
      </w:pPr>
      <w:r>
        <w:rPr>
          <w:b/>
          <w:bCs/>
          <w:noProof/>
        </w:rPr>
        <w:drawing>
          <wp:inline distT="0" distB="0" distL="0" distR="0" wp14:anchorId="7BA783C4" wp14:editId="6476DE5A">
            <wp:extent cx="5486400" cy="2456815"/>
            <wp:effectExtent l="0" t="0" r="0" b="0"/>
            <wp:docPr id="3786951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5199" name="Picture 378695199"/>
                    <pic:cNvPicPr/>
                  </pic:nvPicPr>
                  <pic:blipFill>
                    <a:blip r:embed="rId4"/>
                    <a:stretch>
                      <a:fillRect/>
                    </a:stretch>
                  </pic:blipFill>
                  <pic:spPr>
                    <a:xfrm>
                      <a:off x="0" y="0"/>
                      <a:ext cx="5486400" cy="2456815"/>
                    </a:xfrm>
                    <a:prstGeom prst="rect">
                      <a:avLst/>
                    </a:prstGeom>
                  </pic:spPr>
                </pic:pic>
              </a:graphicData>
            </a:graphic>
          </wp:inline>
        </w:drawing>
      </w:r>
    </w:p>
    <w:p w14:paraId="48BE3A4C" w14:textId="77777777" w:rsidR="00C47BE4" w:rsidRPr="00C70BDE" w:rsidRDefault="00C47BE4" w:rsidP="00C47BE4">
      <w:pPr>
        <w:spacing w:after="160"/>
        <w:rPr>
          <w:sz w:val="20"/>
          <w:szCs w:val="20"/>
        </w:rPr>
      </w:pPr>
      <w:r w:rsidRPr="00C70BDE">
        <w:rPr>
          <w:b/>
          <w:bCs/>
          <w:sz w:val="20"/>
          <w:szCs w:val="20"/>
        </w:rPr>
        <w:t xml:space="preserve">Supplementary </w:t>
      </w:r>
      <w:r w:rsidRPr="001C2EE4">
        <w:rPr>
          <w:b/>
          <w:bCs/>
          <w:sz w:val="20"/>
          <w:szCs w:val="20"/>
        </w:rPr>
        <w:t xml:space="preserve">Figure 1 | Expected contrail forcing of different aircraft types. </w:t>
      </w:r>
      <w:r w:rsidRPr="001C2EE4">
        <w:rPr>
          <w:sz w:val="20"/>
          <w:szCs w:val="20"/>
        </w:rPr>
        <w:t>Each point is the mean expected contrail forcing per km (GJ km⁻¹) when the same real flight schedules are re-predicted as if flown by each aircraft type, holding</w:t>
      </w:r>
      <w:r w:rsidRPr="00C70BDE">
        <w:rPr>
          <w:sz w:val="20"/>
          <w:szCs w:val="20"/>
        </w:rPr>
        <w:t xml:space="preserve"> route, date and departure time fixed: (</w:t>
      </w:r>
      <w:r w:rsidRPr="00C70BDE">
        <w:rPr>
          <w:b/>
          <w:bCs/>
          <w:sz w:val="20"/>
          <w:szCs w:val="20"/>
        </w:rPr>
        <w:t>a</w:t>
      </w:r>
      <w:r w:rsidRPr="00C70BDE">
        <w:rPr>
          <w:sz w:val="20"/>
          <w:szCs w:val="20"/>
        </w:rPr>
        <w:t>) widebody types on 100,000 long-haul schedules (&gt;5,000 km) and (</w:t>
      </w:r>
      <w:r w:rsidRPr="00C70BDE">
        <w:rPr>
          <w:b/>
          <w:bCs/>
          <w:sz w:val="20"/>
          <w:szCs w:val="20"/>
        </w:rPr>
        <w:t>b</w:t>
      </w:r>
      <w:r w:rsidRPr="00C70BDE">
        <w:rPr>
          <w:sz w:val="20"/>
          <w:szCs w:val="20"/>
        </w:rPr>
        <w:t>) narrowbody types on 100,000 medium-haul schedules (500–3,000 km). Predictions are converted to expected forcing using the mean simulated forcing of 2021 flights in each predicted-percentile bin. Types with low-soot lean-burn engines (787, 747-8, 737 MAX, many A320neo) are predicted to cause far less forcing than other types, including the new A350. These are learned type-level associations that combine engine emissions, cruise altitude and the routes each type typically flies, not isolated engine effects. Only types with more than 50,000 flights in the training data are shown; 95% bootstrap intervals are narrower than the markers</w:t>
      </w:r>
    </w:p>
    <w:p w14:paraId="44CF51FF" w14:textId="77777777" w:rsidR="00C47BE4" w:rsidRDefault="00C47BE4" w:rsidP="00C47BE4">
      <w:pPr>
        <w:spacing w:after="200"/>
        <w:rPr>
          <w:b/>
          <w:bCs/>
        </w:rPr>
      </w:pPr>
      <w:r>
        <w:rPr>
          <w:b/>
          <w:bCs/>
        </w:rPr>
        <w:br w:type="page"/>
      </w:r>
    </w:p>
    <w:p w14:paraId="60897C0D" w14:textId="77777777" w:rsidR="00C47BE4" w:rsidRDefault="00C47BE4" w:rsidP="00C47BE4">
      <w:pPr>
        <w:spacing w:after="160"/>
        <w:rPr>
          <w:b/>
          <w:bCs/>
        </w:rPr>
      </w:pPr>
      <w:r>
        <w:rPr>
          <w:b/>
          <w:bCs/>
          <w:noProof/>
        </w:rPr>
        <w:lastRenderedPageBreak/>
        <w:drawing>
          <wp:inline distT="0" distB="0" distL="0" distR="0" wp14:anchorId="3F3D0F1E" wp14:editId="2479C55F">
            <wp:extent cx="5486400" cy="5372100"/>
            <wp:effectExtent l="0" t="0" r="0" b="0"/>
            <wp:docPr id="7177614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61493" name="Picture 717761493"/>
                    <pic:cNvPicPr/>
                  </pic:nvPicPr>
                  <pic:blipFill>
                    <a:blip r:embed="rId5"/>
                    <a:stretch>
                      <a:fillRect/>
                    </a:stretch>
                  </pic:blipFill>
                  <pic:spPr>
                    <a:xfrm>
                      <a:off x="0" y="0"/>
                      <a:ext cx="5486400" cy="5372100"/>
                    </a:xfrm>
                    <a:prstGeom prst="rect">
                      <a:avLst/>
                    </a:prstGeom>
                  </pic:spPr>
                </pic:pic>
              </a:graphicData>
            </a:graphic>
          </wp:inline>
        </w:drawing>
      </w:r>
    </w:p>
    <w:p w14:paraId="1568E574" w14:textId="77777777" w:rsidR="00C47BE4" w:rsidRPr="00C70BDE" w:rsidRDefault="00C47BE4" w:rsidP="00C47BE4">
      <w:pPr>
        <w:spacing w:after="160"/>
        <w:rPr>
          <w:sz w:val="20"/>
          <w:szCs w:val="20"/>
        </w:rPr>
      </w:pPr>
      <w:r w:rsidRPr="00C70BDE">
        <w:rPr>
          <w:b/>
          <w:bCs/>
          <w:sz w:val="20"/>
          <w:szCs w:val="20"/>
        </w:rPr>
        <w:t xml:space="preserve">Supplementary Figure 2 | Windowed avoidance by </w:t>
      </w:r>
      <w:r w:rsidRPr="001C2EE4">
        <w:rPr>
          <w:b/>
          <w:bCs/>
          <w:sz w:val="20"/>
          <w:szCs w:val="20"/>
        </w:rPr>
        <w:t xml:space="preserve">company. </w:t>
      </w:r>
      <w:r w:rsidRPr="001C2EE4">
        <w:rPr>
          <w:sz w:val="20"/>
          <w:szCs w:val="20"/>
        </w:rPr>
        <w:t>Remaining contrail forcing for Company 1 and Company 2 after avoiding the predicted (model) or actual (perfect</w:t>
      </w:r>
      <w:r w:rsidRPr="00C70BDE">
        <w:rPr>
          <w:sz w:val="20"/>
          <w:szCs w:val="20"/>
        </w:rPr>
        <w:t>-foresight) worst K% of flights (K = 1, 5, 10, 20) with same-route replacement within ±2, 4, 8, and 16-hour windows; dashes mark unrestricted substitution. Definitions as in Fig. 4c–f.</w:t>
      </w:r>
    </w:p>
    <w:p w14:paraId="743747BD" w14:textId="77777777" w:rsidR="00C47BE4" w:rsidRDefault="00C47BE4" w:rsidP="00C47BE4">
      <w:pPr>
        <w:spacing w:after="200"/>
        <w:rPr>
          <w:b/>
        </w:rPr>
      </w:pPr>
      <w:r>
        <w:rPr>
          <w:b/>
        </w:rPr>
        <w:br w:type="page"/>
      </w:r>
    </w:p>
    <w:p w14:paraId="07C80B22" w14:textId="77777777" w:rsidR="00C47BE4" w:rsidRPr="00C70BDE" w:rsidRDefault="00C47BE4" w:rsidP="00C47BE4">
      <w:pPr>
        <w:rPr>
          <w:sz w:val="20"/>
          <w:szCs w:val="20"/>
        </w:rPr>
      </w:pPr>
      <w:r w:rsidRPr="00C70BDE">
        <w:rPr>
          <w:b/>
          <w:sz w:val="20"/>
          <w:szCs w:val="20"/>
        </w:rPr>
        <w:lastRenderedPageBreak/>
        <w:t xml:space="preserve">Supplementary Table S1 | Aggregate patterns of the 2021 dataset versus independent published findings. </w:t>
      </w:r>
      <w:r w:rsidRPr="00C70BDE">
        <w:rPr>
          <w:sz w:val="20"/>
          <w:szCs w:val="20"/>
        </w:rPr>
        <w:t xml:space="preserve">Statistics computed over all 22.4 million process-model-labeled 2021 </w:t>
      </w:r>
      <w:r w:rsidRPr="001C2EE4">
        <w:rPr>
          <w:sz w:val="20"/>
          <w:szCs w:val="20"/>
        </w:rPr>
        <w:t>flights (contrail forcing ≈460 EJ).</w:t>
      </w:r>
    </w:p>
    <w:p w14:paraId="205FD95E" w14:textId="77777777" w:rsidR="00C47BE4" w:rsidRDefault="00C47BE4" w:rsidP="00C47BE4"/>
    <w:tbl>
      <w:tblPr>
        <w:tblStyle w:val="TableGrid"/>
        <w:tblW w:w="0" w:type="auto"/>
        <w:tblLook w:val="04A0" w:firstRow="1" w:lastRow="0" w:firstColumn="1" w:lastColumn="0" w:noHBand="0" w:noVBand="1"/>
      </w:tblPr>
      <w:tblGrid>
        <w:gridCol w:w="2065"/>
        <w:gridCol w:w="2160"/>
        <w:gridCol w:w="2070"/>
        <w:gridCol w:w="2335"/>
      </w:tblGrid>
      <w:tr w:rsidR="00C47BE4" w:rsidRPr="00CD541F" w14:paraId="3C953620" w14:textId="77777777" w:rsidTr="00AE2B42">
        <w:tc>
          <w:tcPr>
            <w:tcW w:w="2065" w:type="dxa"/>
          </w:tcPr>
          <w:p w14:paraId="18229F9A" w14:textId="77777777" w:rsidR="00C47BE4" w:rsidRPr="00CD541F" w:rsidRDefault="00C47BE4" w:rsidP="00AE2B42">
            <w:pPr>
              <w:rPr>
                <w:sz w:val="20"/>
                <w:szCs w:val="20"/>
              </w:rPr>
            </w:pPr>
            <w:r w:rsidRPr="00CD541F">
              <w:rPr>
                <w:b/>
                <w:sz w:val="20"/>
                <w:szCs w:val="20"/>
              </w:rPr>
              <w:t>Pattern</w:t>
            </w:r>
          </w:p>
        </w:tc>
        <w:tc>
          <w:tcPr>
            <w:tcW w:w="2160" w:type="dxa"/>
          </w:tcPr>
          <w:p w14:paraId="0351901F" w14:textId="77777777" w:rsidR="00C47BE4" w:rsidRPr="00CD541F" w:rsidRDefault="00C47BE4" w:rsidP="00AE2B42">
            <w:pPr>
              <w:rPr>
                <w:sz w:val="20"/>
                <w:szCs w:val="20"/>
              </w:rPr>
            </w:pPr>
            <w:r w:rsidRPr="00CD541F">
              <w:rPr>
                <w:b/>
                <w:sz w:val="20"/>
                <w:szCs w:val="20"/>
              </w:rPr>
              <w:t>This study (2021 dataset)</w:t>
            </w:r>
          </w:p>
        </w:tc>
        <w:tc>
          <w:tcPr>
            <w:tcW w:w="2070" w:type="dxa"/>
          </w:tcPr>
          <w:p w14:paraId="6B129913" w14:textId="77777777" w:rsidR="00C47BE4" w:rsidRPr="00CD541F" w:rsidRDefault="00C47BE4" w:rsidP="00AE2B42">
            <w:pPr>
              <w:rPr>
                <w:sz w:val="20"/>
                <w:szCs w:val="20"/>
              </w:rPr>
            </w:pPr>
            <w:r w:rsidRPr="00CD541F">
              <w:rPr>
                <w:b/>
                <w:sz w:val="20"/>
                <w:szCs w:val="20"/>
              </w:rPr>
              <w:t>Published</w:t>
            </w:r>
          </w:p>
        </w:tc>
        <w:tc>
          <w:tcPr>
            <w:tcW w:w="2335" w:type="dxa"/>
          </w:tcPr>
          <w:p w14:paraId="4387675D" w14:textId="77777777" w:rsidR="00C47BE4" w:rsidRPr="00CD541F" w:rsidRDefault="00C47BE4" w:rsidP="00AE2B42">
            <w:pPr>
              <w:rPr>
                <w:sz w:val="20"/>
                <w:szCs w:val="20"/>
              </w:rPr>
            </w:pPr>
            <w:r w:rsidRPr="00CD541F">
              <w:rPr>
                <w:b/>
                <w:sz w:val="20"/>
                <w:szCs w:val="20"/>
              </w:rPr>
              <w:t>Source</w:t>
            </w:r>
          </w:p>
        </w:tc>
      </w:tr>
      <w:tr w:rsidR="00C47BE4" w:rsidRPr="00CD541F" w14:paraId="12E06743" w14:textId="77777777" w:rsidTr="00AE2B42">
        <w:tc>
          <w:tcPr>
            <w:tcW w:w="2065" w:type="dxa"/>
          </w:tcPr>
          <w:p w14:paraId="434A2D36" w14:textId="77777777" w:rsidR="00C47BE4" w:rsidRPr="00CD541F" w:rsidRDefault="00C47BE4" w:rsidP="00AE2B42">
            <w:pPr>
              <w:rPr>
                <w:sz w:val="20"/>
                <w:szCs w:val="20"/>
              </w:rPr>
            </w:pPr>
            <w:r w:rsidRPr="00CD541F">
              <w:rPr>
                <w:sz w:val="20"/>
                <w:szCs w:val="20"/>
              </w:rPr>
              <w:t>Concentration of forcing</w:t>
            </w:r>
          </w:p>
        </w:tc>
        <w:tc>
          <w:tcPr>
            <w:tcW w:w="2160" w:type="dxa"/>
          </w:tcPr>
          <w:p w14:paraId="0FB54451" w14:textId="77777777" w:rsidR="00C47BE4" w:rsidRPr="001C2EE4" w:rsidRDefault="00C47BE4" w:rsidP="00AE2B42">
            <w:pPr>
              <w:rPr>
                <w:sz w:val="20"/>
                <w:szCs w:val="20"/>
              </w:rPr>
            </w:pPr>
            <w:r w:rsidRPr="001C2EE4">
              <w:rPr>
                <w:sz w:val="20"/>
                <w:szCs w:val="20"/>
              </w:rPr>
              <w:t>worst 2% of flights → 72% of contrail forcing (worst 1% → 51%)</w:t>
            </w:r>
          </w:p>
        </w:tc>
        <w:tc>
          <w:tcPr>
            <w:tcW w:w="2070" w:type="dxa"/>
          </w:tcPr>
          <w:p w14:paraId="380A86C8" w14:textId="77777777" w:rsidR="00C47BE4" w:rsidRPr="00CD541F" w:rsidRDefault="00C47BE4" w:rsidP="00AE2B42">
            <w:pPr>
              <w:rPr>
                <w:sz w:val="20"/>
                <w:szCs w:val="20"/>
              </w:rPr>
            </w:pPr>
            <w:r w:rsidRPr="00CD541F">
              <w:rPr>
                <w:sz w:val="20"/>
                <w:szCs w:val="20"/>
              </w:rPr>
              <w:t>2% of flights → 80% of 2019 global energy forcing</w:t>
            </w:r>
          </w:p>
        </w:tc>
        <w:tc>
          <w:tcPr>
            <w:tcW w:w="2335" w:type="dxa"/>
          </w:tcPr>
          <w:p w14:paraId="06E178B5" w14:textId="77777777" w:rsidR="00C47BE4" w:rsidRPr="00CD541F" w:rsidRDefault="00C47BE4" w:rsidP="00AE2B42">
            <w:pPr>
              <w:rPr>
                <w:sz w:val="20"/>
                <w:szCs w:val="20"/>
              </w:rPr>
            </w:pPr>
            <w:r w:rsidRPr="00CD541F">
              <w:rPr>
                <w:sz w:val="20"/>
                <w:szCs w:val="20"/>
              </w:rPr>
              <w:t xml:space="preserve">Teoh et al. 2024 (ref. </w:t>
            </w:r>
            <w:r w:rsidRPr="00CD541F">
              <w:rPr>
                <w:sz w:val="20"/>
                <w:szCs w:val="20"/>
              </w:rPr>
              <w:fldChar w:fldCharType="begin"/>
            </w:r>
            <w:r>
              <w:rPr>
                <w:sz w:val="20"/>
                <w:szCs w:val="20"/>
              </w:rPr>
              <w:instrText xml:space="preserve"> ADDIN EN.CITE &lt;EndNote&gt;&lt;Cite&gt;&lt;Author&gt;Teoh&lt;/Author&gt;&lt;Year&gt;2024&lt;/Year&gt;&lt;RecNum&gt;5021&lt;/RecNum&gt;&lt;DisplayText&gt;&lt;style face="superscript"&gt;11&lt;/style&gt;&lt;/DisplayText&gt;&lt;record&gt;&lt;rec-number&gt;5021&lt;/rec-number&gt;&lt;foreign-keys&gt;&lt;key app="EN" db-id="9rf2xtxxu0aft5e5a0h5ap2ker5xft0fdawe" timestamp="1787588672"&gt;5021&lt;/key&gt;&lt;/foreign-keys&gt;&lt;ref-type name="Journal Article"&gt;17&lt;/ref-type&gt;&lt;contributors&gt;&lt;authors&gt;&lt;author&gt;Roger Teoh&lt;/author&gt;&lt;author&gt;Zebediah Engberg&lt;/author&gt;&lt;author&gt;Ulrich Schumann&lt;/author&gt;&lt;author&gt;Christiane Voigt&lt;/author&gt;&lt;author&gt;Marc Shapiro&lt;/author&gt;&lt;author&gt;Susanne Rohs&lt;/author&gt;&lt;author&gt;Marc E. J. Stettler&lt;/author&gt;&lt;/authors&gt;&lt;/contributors&gt;&lt;titles&gt;&lt;title&gt;Global aviation contrail climate effects from 2019 to 2021&lt;/title&gt;&lt;secondary-title&gt;Atmospheric Chemistry and Physics&lt;/secondary-title&gt;&lt;/titles&gt;&lt;periodical&gt;&lt;full-title&gt;Atmospheric Chemistry and Physics&lt;/full-title&gt;&lt;/periodical&gt;&lt;pages&gt;6071-6093&lt;/pages&gt;&lt;volume&gt;24&lt;/volume&gt;&lt;dates&gt;&lt;year&gt;2024&lt;/year&gt;&lt;/dates&gt;&lt;label&gt;contrails&lt;/label&gt;&lt;urls&gt;&lt;/urls&gt;&lt;electronic-resource-num&gt;10.5194/acp-24-6071-2024&lt;/electronic-resource-num&gt;&lt;/record&gt;&lt;/Cite&gt;&lt;/EndNote&gt;</w:instrText>
            </w:r>
            <w:r w:rsidRPr="00CD541F">
              <w:rPr>
                <w:sz w:val="20"/>
                <w:szCs w:val="20"/>
              </w:rPr>
              <w:fldChar w:fldCharType="separate"/>
            </w:r>
            <w:r w:rsidRPr="009A1C0D">
              <w:rPr>
                <w:noProof/>
                <w:sz w:val="20"/>
                <w:szCs w:val="20"/>
                <w:vertAlign w:val="superscript"/>
              </w:rPr>
              <w:t>11</w:t>
            </w:r>
            <w:r w:rsidRPr="00CD541F">
              <w:rPr>
                <w:sz w:val="20"/>
                <w:szCs w:val="20"/>
              </w:rPr>
              <w:fldChar w:fldCharType="end"/>
            </w:r>
            <w:r w:rsidRPr="00CD541F">
              <w:rPr>
                <w:sz w:val="20"/>
                <w:szCs w:val="20"/>
              </w:rPr>
              <w:t>)</w:t>
            </w:r>
          </w:p>
        </w:tc>
      </w:tr>
      <w:tr w:rsidR="00C47BE4" w:rsidRPr="00CD541F" w14:paraId="05CCB4BD" w14:textId="77777777" w:rsidTr="00AE2B42">
        <w:tc>
          <w:tcPr>
            <w:tcW w:w="2065" w:type="dxa"/>
          </w:tcPr>
          <w:p w14:paraId="45E62EF6" w14:textId="77777777" w:rsidR="00C47BE4" w:rsidRPr="00CD541F" w:rsidRDefault="00C47BE4" w:rsidP="00AE2B42">
            <w:pPr>
              <w:rPr>
                <w:sz w:val="20"/>
                <w:szCs w:val="20"/>
              </w:rPr>
            </w:pPr>
            <w:r w:rsidRPr="00CD541F">
              <w:rPr>
                <w:sz w:val="20"/>
                <w:szCs w:val="20"/>
              </w:rPr>
              <w:t>Share of flights net-warming</w:t>
            </w:r>
          </w:p>
        </w:tc>
        <w:tc>
          <w:tcPr>
            <w:tcW w:w="2160" w:type="dxa"/>
          </w:tcPr>
          <w:p w14:paraId="2AA460FF" w14:textId="77777777" w:rsidR="00C47BE4" w:rsidRPr="001C2EE4" w:rsidRDefault="00C47BE4" w:rsidP="00AE2B42">
            <w:pPr>
              <w:rPr>
                <w:sz w:val="20"/>
                <w:szCs w:val="20"/>
              </w:rPr>
            </w:pPr>
            <w:r w:rsidRPr="001C2EE4">
              <w:rPr>
                <w:sz w:val="20"/>
                <w:szCs w:val="20"/>
              </w:rPr>
              <w:t>18% (8% net-cooling)</w:t>
            </w:r>
          </w:p>
        </w:tc>
        <w:tc>
          <w:tcPr>
            <w:tcW w:w="2070" w:type="dxa"/>
          </w:tcPr>
          <w:p w14:paraId="7F29D101" w14:textId="77777777" w:rsidR="00C47BE4" w:rsidRPr="00CD541F" w:rsidRDefault="00C47BE4" w:rsidP="00AE2B42">
            <w:pPr>
              <w:rPr>
                <w:sz w:val="20"/>
                <w:szCs w:val="20"/>
              </w:rPr>
            </w:pPr>
            <w:r w:rsidRPr="00CD541F">
              <w:rPr>
                <w:sz w:val="20"/>
                <w:szCs w:val="20"/>
              </w:rPr>
              <w:t>~14% form a net-warming contrail</w:t>
            </w:r>
          </w:p>
        </w:tc>
        <w:tc>
          <w:tcPr>
            <w:tcW w:w="2335" w:type="dxa"/>
          </w:tcPr>
          <w:p w14:paraId="02440050" w14:textId="77777777" w:rsidR="00C47BE4" w:rsidRPr="00CD541F" w:rsidRDefault="00C47BE4" w:rsidP="00AE2B42">
            <w:pPr>
              <w:rPr>
                <w:sz w:val="20"/>
                <w:szCs w:val="20"/>
              </w:rPr>
            </w:pPr>
            <w:r w:rsidRPr="00CD541F">
              <w:rPr>
                <w:sz w:val="20"/>
                <w:szCs w:val="20"/>
              </w:rPr>
              <w:t xml:space="preserve">Teoh et al. 2024 (ref. </w:t>
            </w:r>
            <w:r w:rsidRPr="00CD541F">
              <w:rPr>
                <w:sz w:val="20"/>
                <w:szCs w:val="20"/>
              </w:rPr>
              <w:fldChar w:fldCharType="begin"/>
            </w:r>
            <w:r>
              <w:rPr>
                <w:sz w:val="20"/>
                <w:szCs w:val="20"/>
              </w:rPr>
              <w:instrText xml:space="preserve"> ADDIN EN.CITE &lt;EndNote&gt;&lt;Cite&gt;&lt;Author&gt;Teoh&lt;/Author&gt;&lt;Year&gt;2024&lt;/Year&gt;&lt;RecNum&gt;5021&lt;/RecNum&gt;&lt;DisplayText&gt;&lt;style face="superscript"&gt;11&lt;/style&gt;&lt;/DisplayText&gt;&lt;record&gt;&lt;rec-number&gt;5021&lt;/rec-number&gt;&lt;foreign-keys&gt;&lt;key app="EN" db-id="9rf2xtxxu0aft5e5a0h5ap2ker5xft0fdawe" timestamp="1787588672"&gt;5021&lt;/key&gt;&lt;/foreign-keys&gt;&lt;ref-type name="Journal Article"&gt;17&lt;/ref-type&gt;&lt;contributors&gt;&lt;authors&gt;&lt;author&gt;Roger Teoh&lt;/author&gt;&lt;author&gt;Zebediah Engberg&lt;/author&gt;&lt;author&gt;Ulrich Schumann&lt;/author&gt;&lt;author&gt;Christiane Voigt&lt;/author&gt;&lt;author&gt;Marc Shapiro&lt;/author&gt;&lt;author&gt;Susanne Rohs&lt;/author&gt;&lt;author&gt;Marc E. J. Stettler&lt;/author&gt;&lt;/authors&gt;&lt;/contributors&gt;&lt;titles&gt;&lt;title&gt;Global aviation contrail climate effects from 2019 to 2021&lt;/title&gt;&lt;secondary-title&gt;Atmospheric Chemistry and Physics&lt;/secondary-title&gt;&lt;/titles&gt;&lt;periodical&gt;&lt;full-title&gt;Atmospheric Chemistry and Physics&lt;/full-title&gt;&lt;/periodical&gt;&lt;pages&gt;6071-6093&lt;/pages&gt;&lt;volume&gt;24&lt;/volume&gt;&lt;dates&gt;&lt;year&gt;2024&lt;/year&gt;&lt;/dates&gt;&lt;label&gt;contrails&lt;/label&gt;&lt;urls&gt;&lt;/urls&gt;&lt;electronic-resource-num&gt;10.5194/acp-24-6071-2024&lt;/electronic-resource-num&gt;&lt;/record&gt;&lt;/Cite&gt;&lt;/EndNote&gt;</w:instrText>
            </w:r>
            <w:r w:rsidRPr="00CD541F">
              <w:rPr>
                <w:sz w:val="20"/>
                <w:szCs w:val="20"/>
              </w:rPr>
              <w:fldChar w:fldCharType="separate"/>
            </w:r>
            <w:r w:rsidRPr="009A1C0D">
              <w:rPr>
                <w:noProof/>
                <w:sz w:val="20"/>
                <w:szCs w:val="20"/>
                <w:vertAlign w:val="superscript"/>
              </w:rPr>
              <w:t>11</w:t>
            </w:r>
            <w:r w:rsidRPr="00CD541F">
              <w:rPr>
                <w:sz w:val="20"/>
                <w:szCs w:val="20"/>
              </w:rPr>
              <w:fldChar w:fldCharType="end"/>
            </w:r>
            <w:r w:rsidRPr="00CD541F">
              <w:rPr>
                <w:sz w:val="20"/>
                <w:szCs w:val="20"/>
              </w:rPr>
              <w:t>)</w:t>
            </w:r>
          </w:p>
        </w:tc>
      </w:tr>
      <w:tr w:rsidR="00C47BE4" w:rsidRPr="00CD541F" w14:paraId="1D8ED0FC" w14:textId="77777777" w:rsidTr="00AE2B42">
        <w:tc>
          <w:tcPr>
            <w:tcW w:w="2065" w:type="dxa"/>
          </w:tcPr>
          <w:p w14:paraId="193E6891" w14:textId="77777777" w:rsidR="00C47BE4" w:rsidRPr="00CD541F" w:rsidRDefault="00C47BE4" w:rsidP="00AE2B42">
            <w:pPr>
              <w:rPr>
                <w:sz w:val="20"/>
                <w:szCs w:val="20"/>
              </w:rPr>
            </w:pPr>
            <w:r w:rsidRPr="00CD541F">
              <w:rPr>
                <w:sz w:val="20"/>
                <w:szCs w:val="20"/>
              </w:rPr>
              <w:t>Night dominance</w:t>
            </w:r>
          </w:p>
        </w:tc>
        <w:tc>
          <w:tcPr>
            <w:tcW w:w="2160" w:type="dxa"/>
          </w:tcPr>
          <w:p w14:paraId="0A3E4C1A" w14:textId="77777777" w:rsidR="00C47BE4" w:rsidRPr="001C2EE4" w:rsidRDefault="00C47BE4" w:rsidP="00AE2B42">
            <w:pPr>
              <w:rPr>
                <w:sz w:val="20"/>
                <w:szCs w:val="20"/>
              </w:rPr>
            </w:pPr>
            <w:r w:rsidRPr="001C2EE4">
              <w:rPr>
                <w:sz w:val="20"/>
                <w:szCs w:val="20"/>
              </w:rPr>
              <w:t>routes &gt;50% in darkness carry 96% of contrail forcing; daytime flights net +4%</w:t>
            </w:r>
          </w:p>
        </w:tc>
        <w:tc>
          <w:tcPr>
            <w:tcW w:w="2070" w:type="dxa"/>
          </w:tcPr>
          <w:p w14:paraId="12FA25FA" w14:textId="77777777" w:rsidR="00C47BE4" w:rsidRPr="00CD541F" w:rsidRDefault="00C47BE4" w:rsidP="00AE2B42">
            <w:pPr>
              <w:rPr>
                <w:sz w:val="20"/>
                <w:szCs w:val="20"/>
              </w:rPr>
            </w:pPr>
            <w:r w:rsidRPr="00CD541F">
              <w:rPr>
                <w:sz w:val="20"/>
                <w:szCs w:val="20"/>
              </w:rPr>
              <w:t>night flights (25% of traffic) contribute 60–80% of forcing</w:t>
            </w:r>
          </w:p>
        </w:tc>
        <w:tc>
          <w:tcPr>
            <w:tcW w:w="2335" w:type="dxa"/>
          </w:tcPr>
          <w:p w14:paraId="218F9D35" w14:textId="77777777" w:rsidR="00C47BE4" w:rsidRPr="00CD541F" w:rsidRDefault="00C47BE4" w:rsidP="00AE2B42">
            <w:pPr>
              <w:rPr>
                <w:sz w:val="20"/>
                <w:szCs w:val="20"/>
              </w:rPr>
            </w:pPr>
            <w:r w:rsidRPr="00CD541F">
              <w:rPr>
                <w:sz w:val="20"/>
                <w:szCs w:val="20"/>
              </w:rPr>
              <w:t>Stuber et al. 2006 (ref.</w:t>
            </w:r>
            <w:r>
              <w:rPr>
                <w:sz w:val="20"/>
                <w:szCs w:val="20"/>
              </w:rPr>
              <w:t xml:space="preserve"> </w:t>
            </w:r>
            <w:r>
              <w:rPr>
                <w:sz w:val="20"/>
                <w:szCs w:val="20"/>
              </w:rPr>
              <w:fldChar w:fldCharType="begin"/>
            </w:r>
            <w:r>
              <w:rPr>
                <w:sz w:val="20"/>
                <w:szCs w:val="20"/>
              </w:rPr>
              <w:instrText xml:space="preserve"> ADDIN EN.CITE &lt;EndNote&gt;&lt;Cite&gt;&lt;Author&gt;Stuber&lt;/Author&gt;&lt;Year&gt;2006&lt;/Year&gt;&lt;RecNum&gt;5022&lt;/RecNum&gt;&lt;DisplayText&gt;&lt;style face="superscript"&gt;31&lt;/style&gt;&lt;/DisplayText&gt;&lt;record&gt;&lt;rec-number&gt;5022&lt;/rec-number&gt;&lt;foreign-keys&gt;&lt;key app="EN" db-id="9rf2xtxxu0aft5e5a0h5ap2ker5xft0fdawe" timestamp="1787588746"&gt;5022&lt;/key&gt;&lt;/foreign-keys&gt;&lt;ref-type name="Journal Article"&gt;17&lt;/ref-type&gt;&lt;contributors&gt;&lt;authors&gt;&lt;author&gt;Stuber, N.&lt;/author&gt;&lt;author&gt;Forster, P.&lt;/author&gt;&lt;author&gt;Rädel, G.&lt;/author&gt;&lt;author&gt;Shine, K.&lt;/author&gt;&lt;/authors&gt;&lt;/contributors&gt;&lt;titles&gt;&lt;title&gt;The importance of the diurnal and annual cycle of air traffic for contrail radiative forcing&lt;/title&gt;&lt;secondary-title&gt;Nature&lt;/secondary-title&gt;&lt;/titles&gt;&lt;periodical&gt;&lt;full-title&gt;Nature&lt;/full-title&gt;&lt;/periodical&gt;&lt;pages&gt;864–867&lt;/pages&gt;&lt;volume&gt;441&lt;/volume&gt;&lt;dates&gt;&lt;year&gt;2006&lt;/year&gt;&lt;/dates&gt;&lt;label&gt;contrails&lt;/label&gt;&lt;urls&gt;&lt;/urls&gt;&lt;/record&gt;&lt;/Cite&gt;&lt;/EndNote&gt;</w:instrText>
            </w:r>
            <w:r>
              <w:rPr>
                <w:sz w:val="20"/>
                <w:szCs w:val="20"/>
              </w:rPr>
              <w:fldChar w:fldCharType="separate"/>
            </w:r>
            <w:r w:rsidRPr="007059FE">
              <w:rPr>
                <w:noProof/>
                <w:sz w:val="20"/>
                <w:szCs w:val="20"/>
                <w:vertAlign w:val="superscript"/>
              </w:rPr>
              <w:t>31</w:t>
            </w:r>
            <w:r>
              <w:rPr>
                <w:sz w:val="20"/>
                <w:szCs w:val="20"/>
              </w:rPr>
              <w:fldChar w:fldCharType="end"/>
            </w:r>
            <w:r w:rsidRPr="00CD541F">
              <w:rPr>
                <w:sz w:val="20"/>
                <w:szCs w:val="20"/>
              </w:rPr>
              <w:t>)</w:t>
            </w:r>
          </w:p>
        </w:tc>
      </w:tr>
      <w:tr w:rsidR="00C47BE4" w:rsidRPr="00CD541F" w14:paraId="2215868B" w14:textId="77777777" w:rsidTr="00AE2B42">
        <w:tc>
          <w:tcPr>
            <w:tcW w:w="2065" w:type="dxa"/>
          </w:tcPr>
          <w:p w14:paraId="0AF423C3" w14:textId="77777777" w:rsidR="00C47BE4" w:rsidRPr="00CD541F" w:rsidRDefault="00C47BE4" w:rsidP="00AE2B42">
            <w:pPr>
              <w:rPr>
                <w:sz w:val="20"/>
                <w:szCs w:val="20"/>
              </w:rPr>
            </w:pPr>
            <w:r w:rsidRPr="00CD541F">
              <w:rPr>
                <w:sz w:val="20"/>
                <w:szCs w:val="20"/>
              </w:rPr>
              <w:t>Winter dominance (NH mid-latitudes)</w:t>
            </w:r>
          </w:p>
        </w:tc>
        <w:tc>
          <w:tcPr>
            <w:tcW w:w="2160" w:type="dxa"/>
          </w:tcPr>
          <w:p w14:paraId="530CA141" w14:textId="77777777" w:rsidR="00C47BE4" w:rsidRPr="001C2EE4" w:rsidRDefault="00C47BE4" w:rsidP="00AE2B42">
            <w:pPr>
              <w:rPr>
                <w:sz w:val="20"/>
                <w:szCs w:val="20"/>
              </w:rPr>
            </w:pPr>
            <w:r w:rsidRPr="001C2EE4">
              <w:rPr>
                <w:sz w:val="20"/>
                <w:szCs w:val="20"/>
              </w:rPr>
              <w:t>20% of flights → 34% of contrail forcing; 3.2× summer per-flight mean</w:t>
            </w:r>
          </w:p>
        </w:tc>
        <w:tc>
          <w:tcPr>
            <w:tcW w:w="2070" w:type="dxa"/>
          </w:tcPr>
          <w:p w14:paraId="26931FA8" w14:textId="77777777" w:rsidR="00C47BE4" w:rsidRPr="00CD541F" w:rsidRDefault="00C47BE4" w:rsidP="00AE2B42">
            <w:pPr>
              <w:rPr>
                <w:sz w:val="20"/>
                <w:szCs w:val="20"/>
              </w:rPr>
            </w:pPr>
            <w:r w:rsidRPr="00CD541F">
              <w:rPr>
                <w:sz w:val="20"/>
                <w:szCs w:val="20"/>
              </w:rPr>
              <w:t>winter (22% of traffic) → ~50% of annual forcing</w:t>
            </w:r>
          </w:p>
        </w:tc>
        <w:tc>
          <w:tcPr>
            <w:tcW w:w="2335" w:type="dxa"/>
          </w:tcPr>
          <w:p w14:paraId="75323483" w14:textId="77777777" w:rsidR="00C47BE4" w:rsidRPr="00CD541F" w:rsidRDefault="00C47BE4" w:rsidP="00AE2B42">
            <w:pPr>
              <w:rPr>
                <w:sz w:val="20"/>
                <w:szCs w:val="20"/>
              </w:rPr>
            </w:pPr>
            <w:r w:rsidRPr="00CD541F">
              <w:rPr>
                <w:sz w:val="20"/>
                <w:szCs w:val="20"/>
              </w:rPr>
              <w:t>Stuber et al. 2006 (ref.</w:t>
            </w:r>
            <w:r>
              <w:rPr>
                <w:sz w:val="20"/>
                <w:szCs w:val="20"/>
              </w:rPr>
              <w:t xml:space="preserve"> </w:t>
            </w:r>
            <w:r>
              <w:rPr>
                <w:sz w:val="20"/>
                <w:szCs w:val="20"/>
              </w:rPr>
              <w:fldChar w:fldCharType="begin"/>
            </w:r>
            <w:r>
              <w:rPr>
                <w:sz w:val="20"/>
                <w:szCs w:val="20"/>
              </w:rPr>
              <w:instrText xml:space="preserve"> ADDIN EN.CITE &lt;EndNote&gt;&lt;Cite&gt;&lt;Author&gt;Stuber&lt;/Author&gt;&lt;Year&gt;2006&lt;/Year&gt;&lt;RecNum&gt;5022&lt;/RecNum&gt;&lt;DisplayText&gt;&lt;style face="superscript"&gt;31&lt;/style&gt;&lt;/DisplayText&gt;&lt;record&gt;&lt;rec-number&gt;5022&lt;/rec-number&gt;&lt;foreign-keys&gt;&lt;key app="EN" db-id="9rf2xtxxu0aft5e5a0h5ap2ker5xft0fdawe" timestamp="1787588746"&gt;5022&lt;/key&gt;&lt;/foreign-keys&gt;&lt;ref-type name="Journal Article"&gt;17&lt;/ref-type&gt;&lt;contributors&gt;&lt;authors&gt;&lt;author&gt;Stuber, N.&lt;/author&gt;&lt;author&gt;Forster, P.&lt;/author&gt;&lt;author&gt;Rädel, G.&lt;/author&gt;&lt;author&gt;Shine, K.&lt;/author&gt;&lt;/authors&gt;&lt;/contributors&gt;&lt;titles&gt;&lt;title&gt;The importance of the diurnal and annual cycle of air traffic for contrail radiative forcing&lt;/title&gt;&lt;secondary-title&gt;Nature&lt;/secondary-title&gt;&lt;/titles&gt;&lt;periodical&gt;&lt;full-title&gt;Nature&lt;/full-title&gt;&lt;/periodical&gt;&lt;pages&gt;864–867&lt;/pages&gt;&lt;volume&gt;441&lt;/volume&gt;&lt;dates&gt;&lt;year&gt;2006&lt;/year&gt;&lt;/dates&gt;&lt;label&gt;contrails&lt;/label&gt;&lt;urls&gt;&lt;/urls&gt;&lt;/record&gt;&lt;/Cite&gt;&lt;/EndNote&gt;</w:instrText>
            </w:r>
            <w:r>
              <w:rPr>
                <w:sz w:val="20"/>
                <w:szCs w:val="20"/>
              </w:rPr>
              <w:fldChar w:fldCharType="separate"/>
            </w:r>
            <w:r w:rsidRPr="007059FE">
              <w:rPr>
                <w:noProof/>
                <w:sz w:val="20"/>
                <w:szCs w:val="20"/>
                <w:vertAlign w:val="superscript"/>
              </w:rPr>
              <w:t>31</w:t>
            </w:r>
            <w:r>
              <w:rPr>
                <w:sz w:val="20"/>
                <w:szCs w:val="20"/>
              </w:rPr>
              <w:fldChar w:fldCharType="end"/>
            </w:r>
            <w:r w:rsidRPr="00CD541F">
              <w:rPr>
                <w:sz w:val="20"/>
                <w:szCs w:val="20"/>
              </w:rPr>
              <w:t>)</w:t>
            </w:r>
          </w:p>
        </w:tc>
      </w:tr>
      <w:tr w:rsidR="00C47BE4" w:rsidRPr="00CD541F" w14:paraId="0F235A60" w14:textId="77777777" w:rsidTr="00AE2B42">
        <w:tc>
          <w:tcPr>
            <w:tcW w:w="2065" w:type="dxa"/>
          </w:tcPr>
          <w:p w14:paraId="2ED74D33" w14:textId="77777777" w:rsidR="00C47BE4" w:rsidRPr="00CD541F" w:rsidRDefault="00C47BE4" w:rsidP="00AE2B42">
            <w:pPr>
              <w:rPr>
                <w:sz w:val="20"/>
                <w:szCs w:val="20"/>
              </w:rPr>
            </w:pPr>
            <w:r w:rsidRPr="00CD541F">
              <w:rPr>
                <w:sz w:val="20"/>
                <w:szCs w:val="20"/>
              </w:rPr>
              <w:t>Regional structure</w:t>
            </w:r>
          </w:p>
        </w:tc>
        <w:tc>
          <w:tcPr>
            <w:tcW w:w="2160" w:type="dxa"/>
          </w:tcPr>
          <w:p w14:paraId="14B97B0A" w14:textId="77777777" w:rsidR="00C47BE4" w:rsidRPr="001C2EE4" w:rsidRDefault="00C47BE4" w:rsidP="00AE2B42">
            <w:pPr>
              <w:rPr>
                <w:sz w:val="20"/>
                <w:szCs w:val="20"/>
              </w:rPr>
            </w:pPr>
            <w:r w:rsidRPr="001C2EE4">
              <w:rPr>
                <w:sz w:val="20"/>
                <w:szCs w:val="20"/>
              </w:rPr>
              <w:t>N. America 40% and Europe 22% of contrail forcing; Asia lowest per-km forcing of major regions</w:t>
            </w:r>
          </w:p>
        </w:tc>
        <w:tc>
          <w:tcPr>
            <w:tcW w:w="2070" w:type="dxa"/>
          </w:tcPr>
          <w:p w14:paraId="2AB1FC7C" w14:textId="77777777" w:rsidR="00C47BE4" w:rsidRPr="00CD541F" w:rsidRDefault="00C47BE4" w:rsidP="00AE2B42">
            <w:pPr>
              <w:rPr>
                <w:sz w:val="20"/>
                <w:szCs w:val="20"/>
              </w:rPr>
            </w:pPr>
            <w:r w:rsidRPr="00CD541F">
              <w:rPr>
                <w:sz w:val="20"/>
                <w:szCs w:val="20"/>
              </w:rPr>
              <w:t>net RF largest over Europe and USA; East Asia near global mean (subtropical dryness, lower cruise altitudes)</w:t>
            </w:r>
          </w:p>
        </w:tc>
        <w:tc>
          <w:tcPr>
            <w:tcW w:w="2335" w:type="dxa"/>
          </w:tcPr>
          <w:p w14:paraId="092FF053" w14:textId="77777777" w:rsidR="00C47BE4" w:rsidRPr="00CD541F" w:rsidRDefault="00C47BE4" w:rsidP="00AE2B42">
            <w:pPr>
              <w:rPr>
                <w:sz w:val="20"/>
                <w:szCs w:val="20"/>
              </w:rPr>
            </w:pPr>
            <w:r w:rsidRPr="00CD541F">
              <w:rPr>
                <w:sz w:val="20"/>
                <w:szCs w:val="20"/>
              </w:rPr>
              <w:t xml:space="preserve">Teoh et al. 2024 (ref. </w:t>
            </w:r>
            <w:r w:rsidRPr="00CD541F">
              <w:rPr>
                <w:sz w:val="20"/>
                <w:szCs w:val="20"/>
              </w:rPr>
              <w:fldChar w:fldCharType="begin"/>
            </w:r>
            <w:r>
              <w:rPr>
                <w:sz w:val="20"/>
                <w:szCs w:val="20"/>
              </w:rPr>
              <w:instrText xml:space="preserve"> ADDIN EN.CITE &lt;EndNote&gt;&lt;Cite&gt;&lt;Author&gt;Teoh&lt;/Author&gt;&lt;Year&gt;2024&lt;/Year&gt;&lt;RecNum&gt;5021&lt;/RecNum&gt;&lt;DisplayText&gt;&lt;style face="superscript"&gt;11&lt;/style&gt;&lt;/DisplayText&gt;&lt;record&gt;&lt;rec-number&gt;5021&lt;/rec-number&gt;&lt;foreign-keys&gt;&lt;key app="EN" db-id="9rf2xtxxu0aft5e5a0h5ap2ker5xft0fdawe" timestamp="1787588672"&gt;5021&lt;/key&gt;&lt;/foreign-keys&gt;&lt;ref-type name="Journal Article"&gt;17&lt;/ref-type&gt;&lt;contributors&gt;&lt;authors&gt;&lt;author&gt;Roger Teoh&lt;/author&gt;&lt;author&gt;Zebediah Engberg&lt;/author&gt;&lt;author&gt;Ulrich Schumann&lt;/author&gt;&lt;author&gt;Christiane Voigt&lt;/author&gt;&lt;author&gt;Marc Shapiro&lt;/author&gt;&lt;author&gt;Susanne Rohs&lt;/author&gt;&lt;author&gt;Marc E. J. Stettler&lt;/author&gt;&lt;/authors&gt;&lt;/contributors&gt;&lt;titles&gt;&lt;title&gt;Global aviation contrail climate effects from 2019 to 2021&lt;/title&gt;&lt;secondary-title&gt;Atmospheric Chemistry and Physics&lt;/secondary-title&gt;&lt;/titles&gt;&lt;periodical&gt;&lt;full-title&gt;Atmospheric Chemistry and Physics&lt;/full-title&gt;&lt;/periodical&gt;&lt;pages&gt;6071-6093&lt;/pages&gt;&lt;volume&gt;24&lt;/volume&gt;&lt;dates&gt;&lt;year&gt;2024&lt;/year&gt;&lt;/dates&gt;&lt;label&gt;contrails&lt;/label&gt;&lt;urls&gt;&lt;/urls&gt;&lt;electronic-resource-num&gt;10.5194/acp-24-6071-2024&lt;/electronic-resource-num&gt;&lt;/record&gt;&lt;/Cite&gt;&lt;/EndNote&gt;</w:instrText>
            </w:r>
            <w:r w:rsidRPr="00CD541F">
              <w:rPr>
                <w:sz w:val="20"/>
                <w:szCs w:val="20"/>
              </w:rPr>
              <w:fldChar w:fldCharType="separate"/>
            </w:r>
            <w:r w:rsidRPr="009A1C0D">
              <w:rPr>
                <w:noProof/>
                <w:sz w:val="20"/>
                <w:szCs w:val="20"/>
                <w:vertAlign w:val="superscript"/>
              </w:rPr>
              <w:t>11</w:t>
            </w:r>
            <w:r w:rsidRPr="00CD541F">
              <w:rPr>
                <w:sz w:val="20"/>
                <w:szCs w:val="20"/>
              </w:rPr>
              <w:fldChar w:fldCharType="end"/>
            </w:r>
            <w:r w:rsidRPr="00CD541F">
              <w:rPr>
                <w:sz w:val="20"/>
                <w:szCs w:val="20"/>
              </w:rPr>
              <w:t>)</w:t>
            </w:r>
          </w:p>
        </w:tc>
      </w:tr>
    </w:tbl>
    <w:p w14:paraId="5A4ECD85" w14:textId="77777777" w:rsidR="00C47BE4" w:rsidRDefault="00C47BE4" w:rsidP="00C47BE4"/>
    <w:p w14:paraId="1C2F4D72" w14:textId="77777777" w:rsidR="00C47BE4" w:rsidRDefault="00C47BE4" w:rsidP="00C47BE4">
      <w:pPr>
        <w:spacing w:after="200"/>
        <w:rPr>
          <w:b/>
        </w:rPr>
      </w:pPr>
      <w:r>
        <w:rPr>
          <w:b/>
        </w:rPr>
        <w:br w:type="page"/>
      </w:r>
    </w:p>
    <w:p w14:paraId="5DBAD7FE" w14:textId="77777777" w:rsidR="00C47BE4" w:rsidRDefault="00C47BE4" w:rsidP="00C47BE4">
      <w:pPr>
        <w:rPr>
          <w:b/>
        </w:rPr>
      </w:pPr>
      <w:r>
        <w:rPr>
          <w:b/>
          <w:noProof/>
        </w:rPr>
        <w:lastRenderedPageBreak/>
        <w:drawing>
          <wp:inline distT="0" distB="0" distL="0" distR="0" wp14:anchorId="6E958E52" wp14:editId="7A81E48F">
            <wp:extent cx="5486400" cy="2779395"/>
            <wp:effectExtent l="0" t="0" r="0" b="1905"/>
            <wp:docPr id="8706403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40375" name="Picture 870640375"/>
                    <pic:cNvPicPr/>
                  </pic:nvPicPr>
                  <pic:blipFill>
                    <a:blip r:embed="rId6"/>
                    <a:stretch>
                      <a:fillRect/>
                    </a:stretch>
                  </pic:blipFill>
                  <pic:spPr>
                    <a:xfrm>
                      <a:off x="0" y="0"/>
                      <a:ext cx="5486400" cy="2779395"/>
                    </a:xfrm>
                    <a:prstGeom prst="rect">
                      <a:avLst/>
                    </a:prstGeom>
                  </pic:spPr>
                </pic:pic>
              </a:graphicData>
            </a:graphic>
          </wp:inline>
        </w:drawing>
      </w:r>
    </w:p>
    <w:p w14:paraId="63FD1359" w14:textId="77777777" w:rsidR="00C47BE4" w:rsidRDefault="00C47BE4" w:rsidP="00C47BE4">
      <w:pPr>
        <w:rPr>
          <w:b/>
        </w:rPr>
      </w:pPr>
    </w:p>
    <w:p w14:paraId="7EDC22A2" w14:textId="77777777" w:rsidR="00C47BE4" w:rsidRPr="00C70BDE" w:rsidRDefault="00C47BE4" w:rsidP="00C47BE4">
      <w:pPr>
        <w:rPr>
          <w:sz w:val="20"/>
          <w:szCs w:val="20"/>
        </w:rPr>
      </w:pPr>
      <w:r w:rsidRPr="00C70BDE">
        <w:rPr>
          <w:b/>
          <w:sz w:val="20"/>
          <w:szCs w:val="20"/>
        </w:rPr>
        <w:t xml:space="preserve">Supplementary Figure 3 | Independent cross-model validation of schedule-only predictions. </w:t>
      </w:r>
      <w:r w:rsidRPr="00C70BDE">
        <w:rPr>
          <w:sz w:val="20"/>
          <w:szCs w:val="20"/>
        </w:rPr>
        <w:t xml:space="preserve">273 flights from four seasonal 2021 days (stratified across predicted deciles), re-simulated with an independent tool chain — </w:t>
      </w:r>
      <w:proofErr w:type="spellStart"/>
      <w:r w:rsidRPr="00C70BDE">
        <w:rPr>
          <w:sz w:val="20"/>
          <w:szCs w:val="20"/>
        </w:rPr>
        <w:t>pycontrails</w:t>
      </w:r>
      <w:proofErr w:type="spellEnd"/>
      <w:r w:rsidRPr="00C70BDE">
        <w:rPr>
          <w:sz w:val="20"/>
          <w:szCs w:val="20"/>
        </w:rPr>
        <w:t xml:space="preserve"> CoCiP14 with 0.5°, 3-hourly ERA5 (ARCO archive) and Poll–Schumann performance — on synthetic great-circle cruise trajectories. (</w:t>
      </w:r>
      <w:r w:rsidRPr="00C70BDE">
        <w:rPr>
          <w:b/>
          <w:bCs/>
          <w:sz w:val="20"/>
          <w:szCs w:val="20"/>
        </w:rPr>
        <w:t>a</w:t>
      </w:r>
      <w:r w:rsidRPr="00C70BDE">
        <w:rPr>
          <w:sz w:val="20"/>
          <w:szCs w:val="20"/>
        </w:rPr>
        <w:t>) Independent outcome versus predicted-forcing quintile (cell: share and count of column). Outcomes form five ordered groups because 78% of flights form no contrail (gray row). Top-quintile flights form net-warming contrails 36% of the time versus 0% for the bottom quintile, while cooling formers show no drift: the model ranks warming, not formation. (</w:t>
      </w:r>
      <w:r w:rsidRPr="00C70BDE">
        <w:rPr>
          <w:b/>
          <w:bCs/>
          <w:sz w:val="20"/>
          <w:szCs w:val="20"/>
        </w:rPr>
        <w:t>b</w:t>
      </w:r>
      <w:r w:rsidRPr="00C70BDE">
        <w:rPr>
          <w:sz w:val="20"/>
          <w:szCs w:val="20"/>
        </w:rPr>
        <w:t>) Independent versus predicted per-km forcing among the 59 contrail-forming flights (GJ per km, symmetric-log): Spearman ρ = +0.37, versus ρ = +0.60 for the training labels themselves, a practical upper limit for any schedule-trained model; vertical spread about the 1:1 line is single-day weather unknowable at booking.</w:t>
      </w:r>
    </w:p>
    <w:p w14:paraId="5E2990DE" w14:textId="77777777" w:rsidR="00C47BE4" w:rsidRDefault="00C47BE4" w:rsidP="00C47BE4">
      <w:pPr>
        <w:spacing w:after="160"/>
      </w:pPr>
    </w:p>
    <w:p w14:paraId="27DF0F94" w14:textId="77777777" w:rsidR="004C5E48" w:rsidRPr="00C47BE4" w:rsidRDefault="004C5E48" w:rsidP="00C47BE4"/>
    <w:sectPr w:rsidR="004C5E48" w:rsidRPr="00C47BE4" w:rsidSect="00C47BE4">
      <w:headerReference w:type="default" r:id="rI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A3D0E" w14:textId="77777777" w:rsidR="00C47BE4" w:rsidRPr="00285C43" w:rsidRDefault="00C47BE4" w:rsidP="00285C43">
    <w:pPr>
      <w:pStyle w:val="Header"/>
      <w:jc w:val="center"/>
      <w:rPr>
        <w:color w:val="EE0000"/>
      </w:rPr>
    </w:pPr>
    <w:r w:rsidRPr="00285C43">
      <w:rPr>
        <w:color w:val="EE0000"/>
      </w:rPr>
      <w:t>WORKING DRAFT – DO NOT SHARE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E4"/>
    <w:rsid w:val="00026348"/>
    <w:rsid w:val="000360F7"/>
    <w:rsid w:val="000414EF"/>
    <w:rsid w:val="00075CEF"/>
    <w:rsid w:val="000909F3"/>
    <w:rsid w:val="000A203C"/>
    <w:rsid w:val="000C65AF"/>
    <w:rsid w:val="000D4D7E"/>
    <w:rsid w:val="000D7D45"/>
    <w:rsid w:val="000F03C6"/>
    <w:rsid w:val="001012BB"/>
    <w:rsid w:val="00106518"/>
    <w:rsid w:val="001135BF"/>
    <w:rsid w:val="00117F7D"/>
    <w:rsid w:val="00145486"/>
    <w:rsid w:val="00180ACE"/>
    <w:rsid w:val="00186AD9"/>
    <w:rsid w:val="00197F25"/>
    <w:rsid w:val="001B6D06"/>
    <w:rsid w:val="001D06BE"/>
    <w:rsid w:val="00213641"/>
    <w:rsid w:val="00230A6E"/>
    <w:rsid w:val="00260988"/>
    <w:rsid w:val="0027447E"/>
    <w:rsid w:val="002F6533"/>
    <w:rsid w:val="002F6CAD"/>
    <w:rsid w:val="00302230"/>
    <w:rsid w:val="003076AC"/>
    <w:rsid w:val="00321510"/>
    <w:rsid w:val="00341F62"/>
    <w:rsid w:val="00347FD7"/>
    <w:rsid w:val="00363BD1"/>
    <w:rsid w:val="003708D7"/>
    <w:rsid w:val="00372CD2"/>
    <w:rsid w:val="003A665E"/>
    <w:rsid w:val="003A776D"/>
    <w:rsid w:val="003C2C59"/>
    <w:rsid w:val="003F3454"/>
    <w:rsid w:val="00433B2F"/>
    <w:rsid w:val="00466DF4"/>
    <w:rsid w:val="00492918"/>
    <w:rsid w:val="00492EFC"/>
    <w:rsid w:val="004C5E48"/>
    <w:rsid w:val="00512879"/>
    <w:rsid w:val="00523696"/>
    <w:rsid w:val="00533813"/>
    <w:rsid w:val="005424FD"/>
    <w:rsid w:val="005464F8"/>
    <w:rsid w:val="0054678D"/>
    <w:rsid w:val="00557716"/>
    <w:rsid w:val="00576DBB"/>
    <w:rsid w:val="005912E0"/>
    <w:rsid w:val="005A102F"/>
    <w:rsid w:val="006169B5"/>
    <w:rsid w:val="006941B4"/>
    <w:rsid w:val="006C253E"/>
    <w:rsid w:val="00707507"/>
    <w:rsid w:val="00712086"/>
    <w:rsid w:val="00733E2D"/>
    <w:rsid w:val="0075511D"/>
    <w:rsid w:val="007661F0"/>
    <w:rsid w:val="00786239"/>
    <w:rsid w:val="00795D1E"/>
    <w:rsid w:val="007B2782"/>
    <w:rsid w:val="007C1025"/>
    <w:rsid w:val="007E75D6"/>
    <w:rsid w:val="00802BBD"/>
    <w:rsid w:val="00812C4E"/>
    <w:rsid w:val="0082072A"/>
    <w:rsid w:val="00822151"/>
    <w:rsid w:val="00824AB0"/>
    <w:rsid w:val="0084500B"/>
    <w:rsid w:val="00861F8E"/>
    <w:rsid w:val="00865689"/>
    <w:rsid w:val="00866F07"/>
    <w:rsid w:val="008705B2"/>
    <w:rsid w:val="008B186A"/>
    <w:rsid w:val="008B4D95"/>
    <w:rsid w:val="008C5AAD"/>
    <w:rsid w:val="008E5AC8"/>
    <w:rsid w:val="00937FA6"/>
    <w:rsid w:val="009569CF"/>
    <w:rsid w:val="00966551"/>
    <w:rsid w:val="0099247E"/>
    <w:rsid w:val="00995B27"/>
    <w:rsid w:val="009D0888"/>
    <w:rsid w:val="009E66E4"/>
    <w:rsid w:val="009F155F"/>
    <w:rsid w:val="009F7D5E"/>
    <w:rsid w:val="00A00D3F"/>
    <w:rsid w:val="00A25003"/>
    <w:rsid w:val="00A7064E"/>
    <w:rsid w:val="00A77395"/>
    <w:rsid w:val="00A916D0"/>
    <w:rsid w:val="00AA4772"/>
    <w:rsid w:val="00AD1142"/>
    <w:rsid w:val="00AE713A"/>
    <w:rsid w:val="00B14D44"/>
    <w:rsid w:val="00B14DA0"/>
    <w:rsid w:val="00B2026B"/>
    <w:rsid w:val="00B328A1"/>
    <w:rsid w:val="00B347DB"/>
    <w:rsid w:val="00B5707A"/>
    <w:rsid w:val="00B710F1"/>
    <w:rsid w:val="00B74AEA"/>
    <w:rsid w:val="00BA1C05"/>
    <w:rsid w:val="00BB5DEE"/>
    <w:rsid w:val="00BB7B4D"/>
    <w:rsid w:val="00BD0606"/>
    <w:rsid w:val="00BE179A"/>
    <w:rsid w:val="00BE5D85"/>
    <w:rsid w:val="00BF2F8D"/>
    <w:rsid w:val="00C0466A"/>
    <w:rsid w:val="00C071F5"/>
    <w:rsid w:val="00C21A9D"/>
    <w:rsid w:val="00C36957"/>
    <w:rsid w:val="00C4131B"/>
    <w:rsid w:val="00C47BE4"/>
    <w:rsid w:val="00C55C02"/>
    <w:rsid w:val="00C8452A"/>
    <w:rsid w:val="00C871B9"/>
    <w:rsid w:val="00C95145"/>
    <w:rsid w:val="00CA0EC2"/>
    <w:rsid w:val="00CB70B0"/>
    <w:rsid w:val="00D1186C"/>
    <w:rsid w:val="00D15A14"/>
    <w:rsid w:val="00D20672"/>
    <w:rsid w:val="00D3066E"/>
    <w:rsid w:val="00D353F0"/>
    <w:rsid w:val="00D95E49"/>
    <w:rsid w:val="00DC4145"/>
    <w:rsid w:val="00DD4227"/>
    <w:rsid w:val="00DF13C6"/>
    <w:rsid w:val="00E04905"/>
    <w:rsid w:val="00E406EF"/>
    <w:rsid w:val="00E41421"/>
    <w:rsid w:val="00E42AA3"/>
    <w:rsid w:val="00E524C8"/>
    <w:rsid w:val="00E6025A"/>
    <w:rsid w:val="00E700B1"/>
    <w:rsid w:val="00E8075C"/>
    <w:rsid w:val="00E827EF"/>
    <w:rsid w:val="00E86178"/>
    <w:rsid w:val="00E94F93"/>
    <w:rsid w:val="00ED6125"/>
    <w:rsid w:val="00F0329A"/>
    <w:rsid w:val="00F071F5"/>
    <w:rsid w:val="00F3790C"/>
    <w:rsid w:val="00F37C51"/>
    <w:rsid w:val="00F41712"/>
    <w:rsid w:val="00F6175F"/>
    <w:rsid w:val="00F80262"/>
    <w:rsid w:val="00FA09EC"/>
    <w:rsid w:val="00FF1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A9F6F3"/>
  <w15:chartTrackingRefBased/>
  <w15:docId w15:val="{13CA2F8E-64E1-BC4F-B3D6-0A29E5BA4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E4"/>
    <w:pPr>
      <w:spacing w:after="0" w:line="276" w:lineRule="auto"/>
    </w:pPr>
    <w:rPr>
      <w:rFonts w:ascii="Times New Roman" w:eastAsiaTheme="minorEastAsia" w:hAnsi="Times New Roman"/>
      <w:kern w:val="0"/>
      <w:sz w:val="22"/>
      <w:szCs w:val="22"/>
      <w14:ligatures w14:val="none"/>
    </w:rPr>
  </w:style>
  <w:style w:type="paragraph" w:styleId="Heading1">
    <w:name w:val="heading 1"/>
    <w:basedOn w:val="Normal"/>
    <w:next w:val="Normal"/>
    <w:link w:val="Heading1Char"/>
    <w:uiPriority w:val="9"/>
    <w:qFormat/>
    <w:rsid w:val="00C47B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47B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47B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47BE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47BE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47BE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47BE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47BE4"/>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47BE4"/>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BE4"/>
    <w:rPr>
      <w:rFonts w:eastAsiaTheme="majorEastAsia" w:cstheme="majorBidi"/>
      <w:color w:val="272727" w:themeColor="text1" w:themeTint="D8"/>
    </w:rPr>
  </w:style>
  <w:style w:type="paragraph" w:styleId="Title">
    <w:name w:val="Title"/>
    <w:basedOn w:val="Normal"/>
    <w:next w:val="Normal"/>
    <w:link w:val="TitleChar"/>
    <w:uiPriority w:val="10"/>
    <w:qFormat/>
    <w:rsid w:val="00C47BE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47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BE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47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BE4"/>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47BE4"/>
    <w:rPr>
      <w:i/>
      <w:iCs/>
      <w:color w:val="404040" w:themeColor="text1" w:themeTint="BF"/>
    </w:rPr>
  </w:style>
  <w:style w:type="paragraph" w:styleId="ListParagraph">
    <w:name w:val="List Paragraph"/>
    <w:basedOn w:val="Normal"/>
    <w:uiPriority w:val="34"/>
    <w:qFormat/>
    <w:rsid w:val="00C47BE4"/>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C47BE4"/>
    <w:rPr>
      <w:i/>
      <w:iCs/>
      <w:color w:val="0F4761" w:themeColor="accent1" w:themeShade="BF"/>
    </w:rPr>
  </w:style>
  <w:style w:type="paragraph" w:styleId="IntenseQuote">
    <w:name w:val="Intense Quote"/>
    <w:basedOn w:val="Normal"/>
    <w:next w:val="Normal"/>
    <w:link w:val="IntenseQuoteChar"/>
    <w:uiPriority w:val="30"/>
    <w:qFormat/>
    <w:rsid w:val="00C47B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47BE4"/>
    <w:rPr>
      <w:i/>
      <w:iCs/>
      <w:color w:val="0F4761" w:themeColor="accent1" w:themeShade="BF"/>
    </w:rPr>
  </w:style>
  <w:style w:type="character" w:styleId="IntenseReference">
    <w:name w:val="Intense Reference"/>
    <w:basedOn w:val="DefaultParagraphFont"/>
    <w:uiPriority w:val="32"/>
    <w:qFormat/>
    <w:rsid w:val="00C47BE4"/>
    <w:rPr>
      <w:b/>
      <w:bCs/>
      <w:smallCaps/>
      <w:color w:val="0F4761" w:themeColor="accent1" w:themeShade="BF"/>
      <w:spacing w:val="5"/>
    </w:rPr>
  </w:style>
  <w:style w:type="table" w:styleId="TableGrid">
    <w:name w:val="Table Grid"/>
    <w:basedOn w:val="TableNormal"/>
    <w:uiPriority w:val="59"/>
    <w:rsid w:val="00C47BE4"/>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7BE4"/>
    <w:pPr>
      <w:tabs>
        <w:tab w:val="center" w:pos="4680"/>
        <w:tab w:val="right" w:pos="9360"/>
      </w:tabs>
      <w:spacing w:line="240" w:lineRule="auto"/>
    </w:pPr>
  </w:style>
  <w:style w:type="character" w:customStyle="1" w:styleId="HeaderChar">
    <w:name w:val="Header Char"/>
    <w:basedOn w:val="DefaultParagraphFont"/>
    <w:link w:val="Header"/>
    <w:uiPriority w:val="99"/>
    <w:rsid w:val="00C47BE4"/>
    <w:rPr>
      <w:rFonts w:ascii="Times New Roman" w:eastAsiaTheme="minorEastAsia" w:hAnsi="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1279</Words>
  <Characters>7296</Characters>
  <Application>Microsoft Office Word</Application>
  <DocSecurity>0</DocSecurity>
  <Lines>60</Lines>
  <Paragraphs>17</Paragraphs>
  <ScaleCrop>false</ScaleCrop>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Davis</dc:creator>
  <cp:keywords/>
  <dc:description/>
  <cp:lastModifiedBy>Steve Davis</cp:lastModifiedBy>
  <cp:revision>1</cp:revision>
  <dcterms:created xsi:type="dcterms:W3CDTF">2026-10-05T20:56:00Z</dcterms:created>
  <dcterms:modified xsi:type="dcterms:W3CDTF">2026-10-05T20:58:00Z</dcterms:modified>
</cp:coreProperties>
</file>