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5C69B" w14:textId="7929A8AF" w:rsidR="007020E7" w:rsidRDefault="007020E7" w:rsidP="007020E7">
      <w:pPr>
        <w:spacing w:before="320" w:after="1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SUPPLEMENTARY MATERIALS</w:t>
      </w:r>
    </w:p>
    <w:p w14:paraId="03361CB8" w14:textId="62ED5C96" w:rsidR="007020E7" w:rsidRPr="007020E7" w:rsidRDefault="007020E7" w:rsidP="007020E7">
      <w:pPr>
        <w:pStyle w:val="ListParagraph"/>
        <w:numPr>
          <w:ilvl w:val="0"/>
          <w:numId w:val="1"/>
        </w:numPr>
        <w:spacing w:before="320" w:after="100"/>
        <w:rPr>
          <w:b/>
          <w:bCs/>
          <w:sz w:val="20"/>
          <w:szCs w:val="20"/>
        </w:rPr>
      </w:pPr>
      <w:r w:rsidRPr="007020E7">
        <w:rPr>
          <w:b/>
          <w:bCs/>
          <w:sz w:val="20"/>
          <w:szCs w:val="20"/>
        </w:rPr>
        <w:t>TABLES</w:t>
      </w:r>
    </w:p>
    <w:p w14:paraId="74381924" w14:textId="2628B072" w:rsidR="007020E7" w:rsidRDefault="007020E7" w:rsidP="007020E7">
      <w:pPr>
        <w:spacing w:before="320" w:after="100"/>
      </w:pPr>
      <w:r>
        <w:rPr>
          <w:b/>
          <w:bCs/>
          <w:sz w:val="20"/>
          <w:szCs w:val="20"/>
        </w:rPr>
        <w:t>Table 2: Stationarity Tests (ADF, PP, and KPSS)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930"/>
        <w:gridCol w:w="930"/>
        <w:gridCol w:w="930"/>
        <w:gridCol w:w="930"/>
        <w:gridCol w:w="930"/>
        <w:gridCol w:w="930"/>
        <w:gridCol w:w="930"/>
        <w:gridCol w:w="930"/>
        <w:gridCol w:w="920"/>
      </w:tblGrid>
      <w:tr w:rsidR="007020E7" w14:paraId="06EE4AB9" w14:textId="77777777" w:rsidTr="000B2F05">
        <w:trPr>
          <w:tblHeader/>
        </w:trPr>
        <w:tc>
          <w:tcPr>
            <w:tcW w:w="100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29605B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93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625AA6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ADF Level Stat</w:t>
            </w:r>
          </w:p>
        </w:tc>
        <w:tc>
          <w:tcPr>
            <w:tcW w:w="93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3C791B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ADF Level p</w:t>
            </w:r>
          </w:p>
        </w:tc>
        <w:tc>
          <w:tcPr>
            <w:tcW w:w="93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FEE2BE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ADF Diff Stat</w:t>
            </w:r>
          </w:p>
        </w:tc>
        <w:tc>
          <w:tcPr>
            <w:tcW w:w="93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4D5603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ADF Diff p</w:t>
            </w:r>
          </w:p>
        </w:tc>
        <w:tc>
          <w:tcPr>
            <w:tcW w:w="93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E97367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PP Level Stat</w:t>
            </w:r>
          </w:p>
        </w:tc>
        <w:tc>
          <w:tcPr>
            <w:tcW w:w="93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FD06BF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PP Level p</w:t>
            </w:r>
          </w:p>
        </w:tc>
        <w:tc>
          <w:tcPr>
            <w:tcW w:w="93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F87613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KPSS Level Stat</w:t>
            </w:r>
          </w:p>
        </w:tc>
        <w:tc>
          <w:tcPr>
            <w:tcW w:w="93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D68295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KPSS Level p</w:t>
            </w:r>
          </w:p>
        </w:tc>
        <w:tc>
          <w:tcPr>
            <w:tcW w:w="92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5C5324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Order</w:t>
            </w:r>
          </w:p>
        </w:tc>
      </w:tr>
      <w:tr w:rsidR="007020E7" w14:paraId="4D140CBE" w14:textId="77777777" w:rsidTr="000B2F05">
        <w:tc>
          <w:tcPr>
            <w:tcW w:w="10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B548FC" w14:textId="77777777" w:rsidR="007020E7" w:rsidRDefault="007020E7" w:rsidP="000B2F05">
            <w:r>
              <w:rPr>
                <w:sz w:val="18"/>
                <w:szCs w:val="18"/>
              </w:rPr>
              <w:t>INQ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BDEB14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-1.2679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F017BD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0.8566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CB6D5A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-7.9526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2ED84E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0.0100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2D1488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-1.1855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98A56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0.9804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CD26B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-9.8052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E13028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0.5000</w:t>
            </w:r>
          </w:p>
        </w:tc>
        <w:tc>
          <w:tcPr>
            <w:tcW w:w="92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014DD8" w14:textId="77777777" w:rsidR="007020E7" w:rsidRDefault="007020E7" w:rsidP="000B2F05">
            <w:pPr>
              <w:jc w:val="center"/>
            </w:pPr>
            <w:proofErr w:type="gramStart"/>
            <w:r>
              <w:rPr>
                <w:sz w:val="18"/>
                <w:szCs w:val="18"/>
              </w:rPr>
              <w:t>I(</w:t>
            </w:r>
            <w:proofErr w:type="gramEnd"/>
            <w:r>
              <w:rPr>
                <w:sz w:val="18"/>
                <w:szCs w:val="18"/>
              </w:rPr>
              <w:t>1)</w:t>
            </w:r>
          </w:p>
        </w:tc>
      </w:tr>
      <w:tr w:rsidR="007020E7" w14:paraId="31F58FF3" w14:textId="77777777" w:rsidTr="000B2F05">
        <w:tc>
          <w:tcPr>
            <w:tcW w:w="10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39B47D" w14:textId="77777777" w:rsidR="007020E7" w:rsidRDefault="007020E7" w:rsidP="000B2F05">
            <w:r>
              <w:rPr>
                <w:sz w:val="18"/>
                <w:szCs w:val="18"/>
              </w:rPr>
              <w:t>TO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CDCA1E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-2.7298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CFCF45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0.2903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4F52E5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-4.4363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2C0A4E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0.0100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9460EC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-10.8326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57310C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0.4348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01881B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-25.8044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CF3944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0.0100</w:t>
            </w:r>
          </w:p>
        </w:tc>
        <w:tc>
          <w:tcPr>
            <w:tcW w:w="92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D4CE27" w14:textId="77777777" w:rsidR="007020E7" w:rsidRDefault="007020E7" w:rsidP="000B2F05">
            <w:pPr>
              <w:jc w:val="center"/>
            </w:pPr>
            <w:proofErr w:type="gramStart"/>
            <w:r>
              <w:rPr>
                <w:sz w:val="18"/>
                <w:szCs w:val="18"/>
              </w:rPr>
              <w:t>I(</w:t>
            </w:r>
            <w:proofErr w:type="gramEnd"/>
            <w:r>
              <w:rPr>
                <w:sz w:val="18"/>
                <w:szCs w:val="18"/>
              </w:rPr>
              <w:t>1)</w:t>
            </w:r>
          </w:p>
        </w:tc>
      </w:tr>
      <w:tr w:rsidR="007020E7" w14:paraId="03941CD8" w14:textId="77777777" w:rsidTr="000B2F05">
        <w:tc>
          <w:tcPr>
            <w:tcW w:w="10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A038B1" w14:textId="77777777" w:rsidR="007020E7" w:rsidRDefault="007020E7" w:rsidP="000B2F05">
            <w:r>
              <w:rPr>
                <w:sz w:val="18"/>
                <w:szCs w:val="18"/>
              </w:rPr>
              <w:t>INS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BA8DC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-3.2217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79A922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0.0999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5A5373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-4.1626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4021F1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0.0156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2F91C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-10.5224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FB89DA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0.4550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E45281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-22.3331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3DDE53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0.0157</w:t>
            </w:r>
          </w:p>
        </w:tc>
        <w:tc>
          <w:tcPr>
            <w:tcW w:w="92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871096" w14:textId="77777777" w:rsidR="007020E7" w:rsidRDefault="007020E7" w:rsidP="000B2F05">
            <w:pPr>
              <w:jc w:val="center"/>
            </w:pPr>
            <w:proofErr w:type="gramStart"/>
            <w:r>
              <w:rPr>
                <w:sz w:val="18"/>
                <w:szCs w:val="18"/>
              </w:rPr>
              <w:t>I(</w:t>
            </w:r>
            <w:proofErr w:type="gramEnd"/>
            <w:r>
              <w:rPr>
                <w:sz w:val="18"/>
                <w:szCs w:val="18"/>
              </w:rPr>
              <w:t>1)</w:t>
            </w:r>
          </w:p>
        </w:tc>
      </w:tr>
      <w:tr w:rsidR="007020E7" w14:paraId="24CB767C" w14:textId="77777777" w:rsidTr="000B2F05">
        <w:tc>
          <w:tcPr>
            <w:tcW w:w="10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232F7B" w14:textId="77777777" w:rsidR="007020E7" w:rsidRDefault="007020E7" w:rsidP="000B2F05">
            <w:r>
              <w:rPr>
                <w:sz w:val="18"/>
                <w:szCs w:val="18"/>
              </w:rPr>
              <w:t>INF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E1778C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-3.5751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B404FC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0.0495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300A31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-5.1878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03E10D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0.0100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DD9519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-20.9727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ADD724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0.0236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23720C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-33.2392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DAF467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0.0100</w:t>
            </w:r>
          </w:p>
        </w:tc>
        <w:tc>
          <w:tcPr>
            <w:tcW w:w="92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DED62D" w14:textId="77777777" w:rsidR="007020E7" w:rsidRDefault="007020E7" w:rsidP="000B2F05">
            <w:pPr>
              <w:jc w:val="center"/>
            </w:pPr>
            <w:proofErr w:type="gramStart"/>
            <w:r>
              <w:rPr>
                <w:sz w:val="18"/>
                <w:szCs w:val="18"/>
              </w:rPr>
              <w:t>I(</w:t>
            </w:r>
            <w:proofErr w:type="gramEnd"/>
            <w:r>
              <w:rPr>
                <w:sz w:val="18"/>
                <w:szCs w:val="18"/>
              </w:rPr>
              <w:t>0)</w:t>
            </w:r>
          </w:p>
        </w:tc>
      </w:tr>
      <w:tr w:rsidR="007020E7" w14:paraId="0F6EF73B" w14:textId="77777777" w:rsidTr="000B2F05">
        <w:tc>
          <w:tcPr>
            <w:tcW w:w="10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8D295F" w14:textId="77777777" w:rsidR="007020E7" w:rsidRDefault="007020E7" w:rsidP="000B2F05">
            <w:proofErr w:type="spellStart"/>
            <w:r>
              <w:rPr>
                <w:sz w:val="18"/>
                <w:szCs w:val="18"/>
              </w:rPr>
              <w:t>logAGRIC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78EF70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-0.9936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8671EE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0.9243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CD93ED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-3.6142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B0A41E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0.0469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94F582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-3.9968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9B3CAA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0.8791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7327B0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-30.3420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C6744A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0.0100</w:t>
            </w:r>
          </w:p>
        </w:tc>
        <w:tc>
          <w:tcPr>
            <w:tcW w:w="92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67FD58" w14:textId="77777777" w:rsidR="007020E7" w:rsidRDefault="007020E7" w:rsidP="000B2F05">
            <w:pPr>
              <w:jc w:val="center"/>
            </w:pPr>
            <w:proofErr w:type="gramStart"/>
            <w:r>
              <w:rPr>
                <w:sz w:val="18"/>
                <w:szCs w:val="18"/>
              </w:rPr>
              <w:t>I(</w:t>
            </w:r>
            <w:proofErr w:type="gramEnd"/>
            <w:r>
              <w:rPr>
                <w:sz w:val="18"/>
                <w:szCs w:val="18"/>
              </w:rPr>
              <w:t>1)</w:t>
            </w:r>
          </w:p>
        </w:tc>
      </w:tr>
      <w:tr w:rsidR="007020E7" w14:paraId="5C74EC29" w14:textId="77777777" w:rsidTr="000B2F05">
        <w:tc>
          <w:tcPr>
            <w:tcW w:w="10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0F5964" w14:textId="77777777" w:rsidR="007020E7" w:rsidRDefault="007020E7" w:rsidP="000B2F05">
            <w:r>
              <w:rPr>
                <w:sz w:val="18"/>
                <w:szCs w:val="18"/>
              </w:rPr>
              <w:t>UPG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E52BB0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-0.8647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CA0163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0.9437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A415F3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-4.3240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EABCBA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0.0100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572747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-9.6465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8AA470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0.5119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D327C3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-29.2957</w:t>
            </w:r>
          </w:p>
        </w:tc>
        <w:tc>
          <w:tcPr>
            <w:tcW w:w="93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A96431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0.0100</w:t>
            </w:r>
          </w:p>
        </w:tc>
        <w:tc>
          <w:tcPr>
            <w:tcW w:w="92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758B7B" w14:textId="77777777" w:rsidR="007020E7" w:rsidRDefault="007020E7" w:rsidP="000B2F05">
            <w:pPr>
              <w:jc w:val="center"/>
            </w:pPr>
            <w:proofErr w:type="gramStart"/>
            <w:r>
              <w:rPr>
                <w:sz w:val="18"/>
                <w:szCs w:val="18"/>
              </w:rPr>
              <w:t>I(</w:t>
            </w:r>
            <w:proofErr w:type="gramEnd"/>
            <w:r>
              <w:rPr>
                <w:sz w:val="18"/>
                <w:szCs w:val="18"/>
              </w:rPr>
              <w:t>1)</w:t>
            </w:r>
          </w:p>
        </w:tc>
      </w:tr>
      <w:tr w:rsidR="007020E7" w14:paraId="3D18CFDD" w14:textId="77777777" w:rsidTr="000B2F05">
        <w:tc>
          <w:tcPr>
            <w:tcW w:w="10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4D21D" w14:textId="77777777" w:rsidR="007020E7" w:rsidRDefault="007020E7" w:rsidP="000B2F05"/>
        </w:tc>
        <w:tc>
          <w:tcPr>
            <w:tcW w:w="93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D679E" w14:textId="77777777" w:rsidR="007020E7" w:rsidRDefault="007020E7" w:rsidP="000B2F05"/>
        </w:tc>
        <w:tc>
          <w:tcPr>
            <w:tcW w:w="93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8D045E" w14:textId="77777777" w:rsidR="007020E7" w:rsidRDefault="007020E7" w:rsidP="000B2F05"/>
        </w:tc>
        <w:tc>
          <w:tcPr>
            <w:tcW w:w="93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D808A" w14:textId="77777777" w:rsidR="007020E7" w:rsidRDefault="007020E7" w:rsidP="000B2F05"/>
        </w:tc>
        <w:tc>
          <w:tcPr>
            <w:tcW w:w="93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8E150" w14:textId="77777777" w:rsidR="007020E7" w:rsidRDefault="007020E7" w:rsidP="000B2F05"/>
        </w:tc>
        <w:tc>
          <w:tcPr>
            <w:tcW w:w="93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86FDD" w14:textId="77777777" w:rsidR="007020E7" w:rsidRDefault="007020E7" w:rsidP="000B2F05"/>
        </w:tc>
        <w:tc>
          <w:tcPr>
            <w:tcW w:w="93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834CC" w14:textId="77777777" w:rsidR="007020E7" w:rsidRDefault="007020E7" w:rsidP="000B2F05"/>
        </w:tc>
        <w:tc>
          <w:tcPr>
            <w:tcW w:w="93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E42D6" w14:textId="77777777" w:rsidR="007020E7" w:rsidRDefault="007020E7" w:rsidP="000B2F05"/>
        </w:tc>
        <w:tc>
          <w:tcPr>
            <w:tcW w:w="93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6E595" w14:textId="77777777" w:rsidR="007020E7" w:rsidRDefault="007020E7" w:rsidP="000B2F05"/>
        </w:tc>
        <w:tc>
          <w:tcPr>
            <w:tcW w:w="92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256CD" w14:textId="77777777" w:rsidR="007020E7" w:rsidRDefault="007020E7" w:rsidP="000B2F05"/>
        </w:tc>
      </w:tr>
    </w:tbl>
    <w:p w14:paraId="17E5020F" w14:textId="77777777" w:rsidR="00C3421D" w:rsidRDefault="00C3421D" w:rsidP="00C3421D">
      <w:r>
        <w:t>Authors compilation 2026 (Software used: R 4.5.2)</w:t>
      </w:r>
    </w:p>
    <w:p w14:paraId="7BEB1F82" w14:textId="77777777" w:rsidR="007020E7" w:rsidRDefault="007020E7" w:rsidP="007020E7">
      <w:r>
        <w:br w:type="page"/>
      </w:r>
    </w:p>
    <w:p w14:paraId="0624B059" w14:textId="77777777" w:rsidR="007020E7" w:rsidRDefault="007020E7" w:rsidP="007020E7">
      <w:pPr>
        <w:spacing w:before="320" w:after="100"/>
      </w:pPr>
      <w:r>
        <w:rPr>
          <w:b/>
          <w:bCs/>
          <w:sz w:val="20"/>
          <w:szCs w:val="20"/>
        </w:rPr>
        <w:lastRenderedPageBreak/>
        <w:t>Table 3: Chow Structural Break Tests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"/>
        <w:gridCol w:w="1034"/>
        <w:gridCol w:w="1034"/>
        <w:gridCol w:w="1034"/>
        <w:gridCol w:w="1034"/>
        <w:gridCol w:w="1034"/>
        <w:gridCol w:w="1034"/>
        <w:gridCol w:w="1034"/>
        <w:gridCol w:w="1034"/>
      </w:tblGrid>
      <w:tr w:rsidR="007020E7" w14:paraId="4FEE3F46" w14:textId="77777777" w:rsidTr="00C3421D">
        <w:trPr>
          <w:trHeight w:val="1027"/>
          <w:tblHeader/>
        </w:trPr>
        <w:tc>
          <w:tcPr>
            <w:tcW w:w="103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8DEC05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Break Year</w:t>
            </w:r>
          </w:p>
        </w:tc>
        <w:tc>
          <w:tcPr>
            <w:tcW w:w="103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A463AC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F-Statistic</w:t>
            </w:r>
          </w:p>
        </w:tc>
        <w:tc>
          <w:tcPr>
            <w:tcW w:w="103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906785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F-Critical (5%)</w:t>
            </w:r>
          </w:p>
        </w:tc>
        <w:tc>
          <w:tcPr>
            <w:tcW w:w="103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E02F55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03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84BDCD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df1</w:t>
            </w:r>
          </w:p>
        </w:tc>
        <w:tc>
          <w:tcPr>
            <w:tcW w:w="103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7226DC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df2</w:t>
            </w:r>
          </w:p>
        </w:tc>
        <w:tc>
          <w:tcPr>
            <w:tcW w:w="103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49810A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 Period 1</w:t>
            </w:r>
          </w:p>
        </w:tc>
        <w:tc>
          <w:tcPr>
            <w:tcW w:w="103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E84289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 Period 2</w:t>
            </w:r>
          </w:p>
        </w:tc>
        <w:tc>
          <w:tcPr>
            <w:tcW w:w="103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4D5CCF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Structural Break</w:t>
            </w:r>
          </w:p>
        </w:tc>
      </w:tr>
      <w:tr w:rsidR="007020E7" w14:paraId="19F24944" w14:textId="77777777" w:rsidTr="00C3421D">
        <w:trPr>
          <w:trHeight w:val="739"/>
        </w:trPr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FE449D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1999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9AE8E5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28.0172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E552F6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2.5491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AC99F0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0.0000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9A3541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F9A068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8B8C8B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9BBDBD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CABE46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YES</w:t>
            </w:r>
          </w:p>
        </w:tc>
      </w:tr>
      <w:tr w:rsidR="007020E7" w14:paraId="771D9057" w14:textId="77777777" w:rsidTr="00C3421D">
        <w:trPr>
          <w:trHeight w:val="728"/>
        </w:trPr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F17444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06483F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1.1253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0E4FF5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2.5491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1E5740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0.3802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605A6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136B26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027356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0F7E9D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7914BE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NO</w:t>
            </w:r>
          </w:p>
        </w:tc>
      </w:tr>
      <w:tr w:rsidR="007020E7" w14:paraId="2567E8F3" w14:textId="77777777" w:rsidTr="00C3421D">
        <w:trPr>
          <w:trHeight w:val="739"/>
        </w:trPr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375935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2016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62CFC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0.2865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D87425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2.5491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EC9CE9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0.9371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4C7EF1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AEDDC3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7E3F34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BA507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03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06D00A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NO</w:t>
            </w:r>
          </w:p>
        </w:tc>
      </w:tr>
      <w:tr w:rsidR="007020E7" w14:paraId="5E653993" w14:textId="77777777" w:rsidTr="00C3421D">
        <w:trPr>
          <w:trHeight w:val="836"/>
        </w:trPr>
        <w:tc>
          <w:tcPr>
            <w:tcW w:w="1034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07989" w14:textId="77777777" w:rsidR="007020E7" w:rsidRDefault="007020E7" w:rsidP="000B2F05"/>
        </w:tc>
        <w:tc>
          <w:tcPr>
            <w:tcW w:w="1034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34CA4" w14:textId="77777777" w:rsidR="007020E7" w:rsidRDefault="007020E7" w:rsidP="000B2F05"/>
        </w:tc>
        <w:tc>
          <w:tcPr>
            <w:tcW w:w="1034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0218B" w14:textId="77777777" w:rsidR="007020E7" w:rsidRDefault="007020E7" w:rsidP="000B2F05"/>
        </w:tc>
        <w:tc>
          <w:tcPr>
            <w:tcW w:w="1034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3B5FA" w14:textId="77777777" w:rsidR="007020E7" w:rsidRDefault="007020E7" w:rsidP="000B2F05"/>
        </w:tc>
        <w:tc>
          <w:tcPr>
            <w:tcW w:w="1034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9018D" w14:textId="77777777" w:rsidR="007020E7" w:rsidRDefault="007020E7" w:rsidP="000B2F05"/>
        </w:tc>
        <w:tc>
          <w:tcPr>
            <w:tcW w:w="1034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D4DE0" w14:textId="77777777" w:rsidR="007020E7" w:rsidRDefault="007020E7" w:rsidP="000B2F05"/>
        </w:tc>
        <w:tc>
          <w:tcPr>
            <w:tcW w:w="1034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14113" w14:textId="77777777" w:rsidR="007020E7" w:rsidRDefault="007020E7" w:rsidP="000B2F05"/>
        </w:tc>
        <w:tc>
          <w:tcPr>
            <w:tcW w:w="1034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A404E" w14:textId="77777777" w:rsidR="007020E7" w:rsidRDefault="007020E7" w:rsidP="000B2F05"/>
        </w:tc>
        <w:tc>
          <w:tcPr>
            <w:tcW w:w="1034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1D857" w14:textId="77777777" w:rsidR="007020E7" w:rsidRDefault="007020E7" w:rsidP="000B2F05"/>
        </w:tc>
      </w:tr>
    </w:tbl>
    <w:p w14:paraId="61626C63" w14:textId="77777777" w:rsidR="00C3421D" w:rsidRDefault="00C3421D" w:rsidP="00C3421D">
      <w:r>
        <w:t>Authors compilation 2026 (Software used: R 4.5.2)</w:t>
      </w:r>
    </w:p>
    <w:p w14:paraId="6C5EB08A" w14:textId="77777777" w:rsidR="007020E7" w:rsidRDefault="007020E7" w:rsidP="007020E7">
      <w:pPr>
        <w:spacing w:before="300" w:after="100"/>
      </w:pPr>
    </w:p>
    <w:p w14:paraId="07A78CCE" w14:textId="77777777" w:rsidR="007020E7" w:rsidRDefault="007020E7" w:rsidP="007020E7">
      <w:pPr>
        <w:spacing w:before="320" w:after="100"/>
      </w:pPr>
      <w:r>
        <w:rPr>
          <w:b/>
          <w:bCs/>
          <w:sz w:val="20"/>
          <w:szCs w:val="20"/>
        </w:rPr>
        <w:t>Table 4: Correlation Matrix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7"/>
        <w:gridCol w:w="1337"/>
        <w:gridCol w:w="1337"/>
        <w:gridCol w:w="1337"/>
        <w:gridCol w:w="1337"/>
        <w:gridCol w:w="1337"/>
        <w:gridCol w:w="1338"/>
      </w:tblGrid>
      <w:tr w:rsidR="007020E7" w14:paraId="281988BE" w14:textId="77777777" w:rsidTr="000B2F05">
        <w:trPr>
          <w:tblHeader/>
        </w:trPr>
        <w:tc>
          <w:tcPr>
            <w:tcW w:w="1337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D17940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1337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2571DB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TO</w:t>
            </w:r>
          </w:p>
        </w:tc>
        <w:tc>
          <w:tcPr>
            <w:tcW w:w="1337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D9DB9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INS</w:t>
            </w:r>
          </w:p>
        </w:tc>
        <w:tc>
          <w:tcPr>
            <w:tcW w:w="1337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E8A0C4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INSTO</w:t>
            </w:r>
          </w:p>
        </w:tc>
        <w:tc>
          <w:tcPr>
            <w:tcW w:w="1337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6C61E2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INF</w:t>
            </w:r>
          </w:p>
        </w:tc>
        <w:tc>
          <w:tcPr>
            <w:tcW w:w="1337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F3FD69" w14:textId="77777777" w:rsidR="007020E7" w:rsidRDefault="007020E7" w:rsidP="000B2F05">
            <w:pPr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logAGRIC</w:t>
            </w:r>
            <w:proofErr w:type="spellEnd"/>
          </w:p>
        </w:tc>
        <w:tc>
          <w:tcPr>
            <w:tcW w:w="1338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4D649D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UPG</w:t>
            </w:r>
          </w:p>
        </w:tc>
      </w:tr>
      <w:tr w:rsidR="007020E7" w14:paraId="4CAF0A90" w14:textId="77777777" w:rsidTr="000B2F05"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9FB337" w14:textId="77777777" w:rsidR="007020E7" w:rsidRDefault="007020E7" w:rsidP="000B2F05">
            <w:r>
              <w:rPr>
                <w:b/>
                <w:bCs/>
                <w:sz w:val="18"/>
                <w:szCs w:val="18"/>
              </w:rPr>
              <w:t>TO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AB4F25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1.0000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083C8C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-0.5742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7953D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0.9049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F4F87D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-0.0594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ED9726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-0.0477</w:t>
            </w:r>
          </w:p>
        </w:tc>
        <w:tc>
          <w:tcPr>
            <w:tcW w:w="13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CC5393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0.5422</w:t>
            </w:r>
          </w:p>
        </w:tc>
      </w:tr>
      <w:tr w:rsidR="007020E7" w14:paraId="0D0ED94E" w14:textId="77777777" w:rsidTr="000B2F05"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35202F" w14:textId="77777777" w:rsidR="007020E7" w:rsidRDefault="007020E7" w:rsidP="000B2F05">
            <w:r>
              <w:rPr>
                <w:b/>
                <w:bCs/>
                <w:sz w:val="18"/>
                <w:szCs w:val="18"/>
              </w:rPr>
              <w:t>INS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209E29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-0.5742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608B19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1.0000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C50FD4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-0.2064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FD1861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0.5642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9CE521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-0.5503</w:t>
            </w:r>
          </w:p>
        </w:tc>
        <w:tc>
          <w:tcPr>
            <w:tcW w:w="13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0EFD0E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-0.1921</w:t>
            </w:r>
          </w:p>
        </w:tc>
      </w:tr>
      <w:tr w:rsidR="007020E7" w14:paraId="01A4A18E" w14:textId="77777777" w:rsidTr="000B2F05"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B3494D" w14:textId="77777777" w:rsidR="007020E7" w:rsidRDefault="007020E7" w:rsidP="000B2F05">
            <w:r>
              <w:rPr>
                <w:b/>
                <w:bCs/>
                <w:sz w:val="18"/>
                <w:szCs w:val="18"/>
              </w:rPr>
              <w:t>INSTO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0FB8C9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0.9049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30B822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-0.2064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14C446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1.0000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BA75B1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0.1789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41CCFC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-0.2875</w:t>
            </w:r>
          </w:p>
        </w:tc>
        <w:tc>
          <w:tcPr>
            <w:tcW w:w="13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61B68A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0.5351</w:t>
            </w:r>
          </w:p>
        </w:tc>
      </w:tr>
      <w:tr w:rsidR="007020E7" w14:paraId="130BA925" w14:textId="77777777" w:rsidTr="000B2F05"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D67AC3" w14:textId="77777777" w:rsidR="007020E7" w:rsidRDefault="007020E7" w:rsidP="000B2F05">
            <w:r>
              <w:rPr>
                <w:b/>
                <w:bCs/>
                <w:sz w:val="18"/>
                <w:szCs w:val="18"/>
              </w:rPr>
              <w:t>INF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04AD4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-0.0594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B39101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0.5642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CE9779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0.1789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95DB11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1.0000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1FA69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-0.5384</w:t>
            </w:r>
          </w:p>
        </w:tc>
        <w:tc>
          <w:tcPr>
            <w:tcW w:w="13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F062D1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-0.0845</w:t>
            </w:r>
          </w:p>
        </w:tc>
      </w:tr>
      <w:tr w:rsidR="007020E7" w14:paraId="7BE865FE" w14:textId="77777777" w:rsidTr="000B2F05"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64B347" w14:textId="77777777" w:rsidR="007020E7" w:rsidRDefault="007020E7" w:rsidP="000B2F05">
            <w:proofErr w:type="spellStart"/>
            <w:r>
              <w:rPr>
                <w:b/>
                <w:bCs/>
                <w:sz w:val="18"/>
                <w:szCs w:val="18"/>
              </w:rPr>
              <w:t>logAGRIC</w:t>
            </w:r>
            <w:proofErr w:type="spellEnd"/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3E8588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-0.0477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958AF9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-0.5503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0140C3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-0.2875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1E2532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-0.5384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85DD62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1.0000</w:t>
            </w:r>
          </w:p>
        </w:tc>
        <w:tc>
          <w:tcPr>
            <w:tcW w:w="13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8AE7B8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-0.2506</w:t>
            </w:r>
          </w:p>
        </w:tc>
      </w:tr>
      <w:tr w:rsidR="007020E7" w14:paraId="3A60C506" w14:textId="77777777" w:rsidTr="000B2F05"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9DAD8C" w14:textId="77777777" w:rsidR="007020E7" w:rsidRDefault="007020E7" w:rsidP="000B2F05">
            <w:r>
              <w:rPr>
                <w:b/>
                <w:bCs/>
                <w:sz w:val="18"/>
                <w:szCs w:val="18"/>
              </w:rPr>
              <w:lastRenderedPageBreak/>
              <w:t>UPG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179978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0.5422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67609E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-0.1921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F266F0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0.5351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63E159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-0.0845</w:t>
            </w:r>
          </w:p>
        </w:tc>
        <w:tc>
          <w:tcPr>
            <w:tcW w:w="133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C8FD34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-0.2506</w:t>
            </w:r>
          </w:p>
        </w:tc>
        <w:tc>
          <w:tcPr>
            <w:tcW w:w="13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A6A6FB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1.0000</w:t>
            </w:r>
          </w:p>
        </w:tc>
      </w:tr>
      <w:tr w:rsidR="007020E7" w14:paraId="60C690FA" w14:textId="77777777" w:rsidTr="000B2F05">
        <w:tc>
          <w:tcPr>
            <w:tcW w:w="1337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348DA" w14:textId="77777777" w:rsidR="007020E7" w:rsidRDefault="007020E7" w:rsidP="000B2F05"/>
        </w:tc>
        <w:tc>
          <w:tcPr>
            <w:tcW w:w="1337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EAC96" w14:textId="77777777" w:rsidR="007020E7" w:rsidRDefault="007020E7" w:rsidP="000B2F05"/>
        </w:tc>
        <w:tc>
          <w:tcPr>
            <w:tcW w:w="1337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FC4B8" w14:textId="77777777" w:rsidR="007020E7" w:rsidRDefault="007020E7" w:rsidP="000B2F05"/>
        </w:tc>
        <w:tc>
          <w:tcPr>
            <w:tcW w:w="1337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A9298" w14:textId="77777777" w:rsidR="007020E7" w:rsidRDefault="007020E7" w:rsidP="000B2F05"/>
        </w:tc>
        <w:tc>
          <w:tcPr>
            <w:tcW w:w="1337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6C38F" w14:textId="77777777" w:rsidR="007020E7" w:rsidRDefault="007020E7" w:rsidP="000B2F05"/>
        </w:tc>
        <w:tc>
          <w:tcPr>
            <w:tcW w:w="1337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925FC" w14:textId="77777777" w:rsidR="007020E7" w:rsidRDefault="007020E7" w:rsidP="000B2F05"/>
        </w:tc>
        <w:tc>
          <w:tcPr>
            <w:tcW w:w="1338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2F0A3" w14:textId="77777777" w:rsidR="007020E7" w:rsidRDefault="007020E7" w:rsidP="000B2F05"/>
        </w:tc>
      </w:tr>
    </w:tbl>
    <w:p w14:paraId="478CC919" w14:textId="77777777" w:rsidR="00C3421D" w:rsidRDefault="00C3421D" w:rsidP="00C3421D">
      <w:r>
        <w:t>Authors compilation 2026 (Software used: R 4.5.2)</w:t>
      </w:r>
    </w:p>
    <w:p w14:paraId="3CB4B916" w14:textId="77777777" w:rsidR="007020E7" w:rsidRDefault="007020E7" w:rsidP="007020E7">
      <w:pPr>
        <w:spacing w:before="300" w:after="100"/>
      </w:pPr>
    </w:p>
    <w:p w14:paraId="7C2D5AE7" w14:textId="77777777" w:rsidR="007020E7" w:rsidRDefault="007020E7" w:rsidP="007020E7">
      <w:pPr>
        <w:spacing w:before="320" w:after="100"/>
      </w:pPr>
      <w:r>
        <w:rPr>
          <w:b/>
          <w:bCs/>
          <w:sz w:val="20"/>
          <w:szCs w:val="20"/>
        </w:rPr>
        <w:t>Table 5: VIF Multicollinearity Test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4560"/>
      </w:tblGrid>
      <w:tr w:rsidR="007020E7" w14:paraId="72F14AB8" w14:textId="77777777" w:rsidTr="000B2F05">
        <w:trPr>
          <w:tblHeader/>
        </w:trPr>
        <w:tc>
          <w:tcPr>
            <w:tcW w:w="240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54EEB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240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B18914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VIF</w:t>
            </w:r>
          </w:p>
        </w:tc>
        <w:tc>
          <w:tcPr>
            <w:tcW w:w="456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E499E9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Interpretation</w:t>
            </w:r>
          </w:p>
        </w:tc>
      </w:tr>
      <w:tr w:rsidR="007020E7" w14:paraId="745FEF21" w14:textId="77777777" w:rsidTr="000B2F05">
        <w:tc>
          <w:tcPr>
            <w:tcW w:w="24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CC7533" w14:textId="77777777" w:rsidR="007020E7" w:rsidRDefault="007020E7" w:rsidP="000B2F05">
            <w:r>
              <w:rPr>
                <w:sz w:val="18"/>
                <w:szCs w:val="18"/>
              </w:rPr>
              <w:t>TO</w:t>
            </w:r>
          </w:p>
        </w:tc>
        <w:tc>
          <w:tcPr>
            <w:tcW w:w="24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B8DEDA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2.843</w:t>
            </w:r>
          </w:p>
        </w:tc>
        <w:tc>
          <w:tcPr>
            <w:tcW w:w="456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4A02F3" w14:textId="77777777" w:rsidR="007020E7" w:rsidRDefault="007020E7" w:rsidP="000B2F05">
            <w:r>
              <w:rPr>
                <w:sz w:val="18"/>
                <w:szCs w:val="18"/>
              </w:rPr>
              <w:t>Acceptable</w:t>
            </w:r>
          </w:p>
        </w:tc>
      </w:tr>
      <w:tr w:rsidR="007020E7" w14:paraId="1395692D" w14:textId="77777777" w:rsidTr="000B2F05">
        <w:tc>
          <w:tcPr>
            <w:tcW w:w="24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65B070" w14:textId="77777777" w:rsidR="007020E7" w:rsidRDefault="007020E7" w:rsidP="000B2F05">
            <w:r>
              <w:rPr>
                <w:sz w:val="18"/>
                <w:szCs w:val="18"/>
              </w:rPr>
              <w:t>INS</w:t>
            </w:r>
          </w:p>
        </w:tc>
        <w:tc>
          <w:tcPr>
            <w:tcW w:w="24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2E7E73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3.76</w:t>
            </w:r>
          </w:p>
        </w:tc>
        <w:tc>
          <w:tcPr>
            <w:tcW w:w="456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B5B95F" w14:textId="77777777" w:rsidR="007020E7" w:rsidRDefault="007020E7" w:rsidP="000B2F05">
            <w:r>
              <w:rPr>
                <w:sz w:val="18"/>
                <w:szCs w:val="18"/>
              </w:rPr>
              <w:t>Acceptable</w:t>
            </w:r>
          </w:p>
        </w:tc>
      </w:tr>
      <w:tr w:rsidR="007020E7" w14:paraId="04D6DE0A" w14:textId="77777777" w:rsidTr="000B2F05">
        <w:tc>
          <w:tcPr>
            <w:tcW w:w="24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F099E5" w14:textId="77777777" w:rsidR="007020E7" w:rsidRDefault="007020E7" w:rsidP="000B2F05">
            <w:r>
              <w:rPr>
                <w:sz w:val="18"/>
                <w:szCs w:val="18"/>
              </w:rPr>
              <w:t>INF</w:t>
            </w:r>
          </w:p>
        </w:tc>
        <w:tc>
          <w:tcPr>
            <w:tcW w:w="24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4CC905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1.922</w:t>
            </w:r>
          </w:p>
        </w:tc>
        <w:tc>
          <w:tcPr>
            <w:tcW w:w="456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C8B50F" w14:textId="77777777" w:rsidR="007020E7" w:rsidRDefault="007020E7" w:rsidP="000B2F05">
            <w:r>
              <w:rPr>
                <w:sz w:val="18"/>
                <w:szCs w:val="18"/>
              </w:rPr>
              <w:t>Acceptable</w:t>
            </w:r>
          </w:p>
        </w:tc>
      </w:tr>
      <w:tr w:rsidR="007020E7" w14:paraId="2F3A5B90" w14:textId="77777777" w:rsidTr="000B2F05">
        <w:tc>
          <w:tcPr>
            <w:tcW w:w="24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10D417" w14:textId="77777777" w:rsidR="007020E7" w:rsidRDefault="007020E7" w:rsidP="000B2F05">
            <w:proofErr w:type="spellStart"/>
            <w:r>
              <w:rPr>
                <w:sz w:val="18"/>
                <w:szCs w:val="18"/>
              </w:rPr>
              <w:t>logAGRIC</w:t>
            </w:r>
            <w:proofErr w:type="spellEnd"/>
          </w:p>
        </w:tc>
        <w:tc>
          <w:tcPr>
            <w:tcW w:w="24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A54183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2.194</w:t>
            </w:r>
          </w:p>
        </w:tc>
        <w:tc>
          <w:tcPr>
            <w:tcW w:w="456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CEF92F" w14:textId="77777777" w:rsidR="007020E7" w:rsidRDefault="007020E7" w:rsidP="000B2F05">
            <w:r>
              <w:rPr>
                <w:sz w:val="18"/>
                <w:szCs w:val="18"/>
              </w:rPr>
              <w:t>Acceptable</w:t>
            </w:r>
          </w:p>
        </w:tc>
      </w:tr>
      <w:tr w:rsidR="007020E7" w14:paraId="5D3A3EB9" w14:textId="77777777" w:rsidTr="000B2F05">
        <w:tc>
          <w:tcPr>
            <w:tcW w:w="24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D774D5" w14:textId="77777777" w:rsidR="007020E7" w:rsidRDefault="007020E7" w:rsidP="000B2F05">
            <w:r>
              <w:rPr>
                <w:sz w:val="18"/>
                <w:szCs w:val="18"/>
              </w:rPr>
              <w:t>UPG</w:t>
            </w:r>
          </w:p>
        </w:tc>
        <w:tc>
          <w:tcPr>
            <w:tcW w:w="24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AA0132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1.652</w:t>
            </w:r>
          </w:p>
        </w:tc>
        <w:tc>
          <w:tcPr>
            <w:tcW w:w="456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FCB1B5" w14:textId="77777777" w:rsidR="007020E7" w:rsidRDefault="007020E7" w:rsidP="000B2F05">
            <w:r>
              <w:rPr>
                <w:sz w:val="18"/>
                <w:szCs w:val="18"/>
              </w:rPr>
              <w:t>Acceptable</w:t>
            </w:r>
          </w:p>
        </w:tc>
      </w:tr>
      <w:tr w:rsidR="007020E7" w14:paraId="5656C31F" w14:textId="77777777" w:rsidTr="000B2F05">
        <w:tc>
          <w:tcPr>
            <w:tcW w:w="24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53479" w14:textId="77777777" w:rsidR="007020E7" w:rsidRDefault="007020E7" w:rsidP="000B2F05"/>
        </w:tc>
        <w:tc>
          <w:tcPr>
            <w:tcW w:w="24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AC3B2" w14:textId="77777777" w:rsidR="007020E7" w:rsidRDefault="007020E7" w:rsidP="000B2F05"/>
        </w:tc>
        <w:tc>
          <w:tcPr>
            <w:tcW w:w="456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27748" w14:textId="77777777" w:rsidR="007020E7" w:rsidRDefault="007020E7" w:rsidP="000B2F05"/>
        </w:tc>
      </w:tr>
    </w:tbl>
    <w:p w14:paraId="08491BBD" w14:textId="707A9AB1" w:rsidR="00C3421D" w:rsidRDefault="00C3421D" w:rsidP="00C3421D">
      <w:r>
        <w:t>Authors compilation 2026 (Software used: R 4.5.2)</w:t>
      </w:r>
    </w:p>
    <w:p w14:paraId="39593AAC" w14:textId="2A8D6540" w:rsidR="007020E7" w:rsidRDefault="00C3421D" w:rsidP="007020E7">
      <w:pPr>
        <w:spacing w:after="120" w:line="240" w:lineRule="auto"/>
        <w:rPr>
          <w:lang w:eastAsia="en-ZW"/>
        </w:rPr>
      </w:pPr>
      <w:r>
        <w:rPr>
          <w:lang w:eastAsia="en-ZW"/>
        </w:rPr>
        <w:t>T</w:t>
      </w:r>
      <w:r w:rsidR="007020E7" w:rsidRPr="00D80D0E">
        <w:rPr>
          <w:lang w:eastAsia="en-ZW"/>
        </w:rPr>
        <w:t xml:space="preserve">able 12 provides unambiguous model selection criteria. The model 4, which uses level and slope dummies, performs best, with an AIC score of </w:t>
      </w:r>
      <w:r w:rsidR="007020E7" w:rsidRPr="007454D3">
        <w:rPr>
          <w:rFonts w:ascii="Calibri" w:hAnsi="Calibri" w:cs="Calibri"/>
          <w:sz w:val="22"/>
        </w:rPr>
        <w:t>-41.64</w:t>
      </w:r>
      <w:r w:rsidR="007020E7" w:rsidRPr="00D80D0E">
        <w:rPr>
          <w:lang w:eastAsia="en-ZW"/>
        </w:rPr>
        <w:t xml:space="preserve">, a BIC score of </w:t>
      </w:r>
      <w:r w:rsidR="007020E7" w:rsidRPr="007454D3">
        <w:rPr>
          <w:rFonts w:ascii="Calibri" w:hAnsi="Calibri" w:cs="Calibri"/>
          <w:sz w:val="22"/>
        </w:rPr>
        <w:t>-13.79</w:t>
      </w:r>
      <w:r w:rsidR="007020E7" w:rsidRPr="00D80D0E">
        <w:rPr>
          <w:lang w:eastAsia="en-ZW"/>
        </w:rPr>
        <w:t xml:space="preserve">. The AIC improvement </w:t>
      </w:r>
      <w:r w:rsidR="007020E7" w:rsidRPr="00D80D0E">
        <w:rPr>
          <w:lang w:eastAsia="en-ZW"/>
        </w:rPr>
        <w:lastRenderedPageBreak/>
        <w:t>from Model 3 (</w:t>
      </w:r>
      <w:r w:rsidR="007020E7" w:rsidRPr="007454D3">
        <w:rPr>
          <w:rFonts w:ascii="Calibri" w:hAnsi="Calibri" w:cs="Calibri"/>
          <w:sz w:val="22"/>
        </w:rPr>
        <w:t>-16.01</w:t>
      </w:r>
      <w:r w:rsidR="007020E7" w:rsidRPr="00D80D0E">
        <w:rPr>
          <w:lang w:eastAsia="en-ZW"/>
        </w:rPr>
        <w:t>) to Model 4 (</w:t>
      </w:r>
      <w:r w:rsidR="007020E7" w:rsidRPr="007454D3">
        <w:rPr>
          <w:rFonts w:ascii="Calibri" w:hAnsi="Calibri" w:cs="Calibri"/>
          <w:sz w:val="22"/>
        </w:rPr>
        <w:t>-41.64</w:t>
      </w:r>
      <w:r w:rsidR="007020E7" w:rsidRPr="00D80D0E">
        <w:rPr>
          <w:lang w:eastAsia="en-ZW"/>
        </w:rPr>
        <w:t xml:space="preserve">) is </w:t>
      </w:r>
      <w:r w:rsidR="007020E7">
        <w:rPr>
          <w:lang w:eastAsia="en-ZW"/>
        </w:rPr>
        <w:t>-57.65,</w:t>
      </w:r>
      <w:r w:rsidR="007020E7" w:rsidRPr="00D80D0E">
        <w:rPr>
          <w:lang w:eastAsia="en-ZW"/>
        </w:rPr>
        <w:t xml:space="preserve"> decisive evidence in favor of Model 4 (Burnham &amp; Anderson, 2004).</w:t>
      </w:r>
    </w:p>
    <w:p w14:paraId="2F2CB865" w14:textId="77777777" w:rsidR="007020E7" w:rsidRDefault="007020E7" w:rsidP="007020E7">
      <w:pPr>
        <w:spacing w:before="320" w:after="1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Table 12: Model Comparison (AIC/BIC)</w:t>
      </w:r>
    </w:p>
    <w:tbl>
      <w:tblPr>
        <w:tblStyle w:val="NormalGrid"/>
        <w:tblW w:w="8961" w:type="dxa"/>
        <w:jc w:val="center"/>
        <w:tblCellSpacing w:w="0" w:type="dxa"/>
        <w:tblLook w:val="04A0" w:firstRow="1" w:lastRow="0" w:firstColumn="1" w:lastColumn="0" w:noHBand="0" w:noVBand="1"/>
      </w:tblPr>
      <w:tblGrid>
        <w:gridCol w:w="1473"/>
        <w:gridCol w:w="3161"/>
        <w:gridCol w:w="1234"/>
        <w:gridCol w:w="1234"/>
        <w:gridCol w:w="1859"/>
      </w:tblGrid>
      <w:tr w:rsidR="007020E7" w:rsidRPr="007454D3" w14:paraId="410A18C1" w14:textId="77777777" w:rsidTr="00C3421D">
        <w:trPr>
          <w:cantSplit/>
          <w:trHeight w:val="872"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1AAC159" w14:textId="77777777" w:rsidR="007020E7" w:rsidRPr="007454D3" w:rsidRDefault="007020E7" w:rsidP="000B2F05">
            <w:pPr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Model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EC8582F" w14:textId="77777777" w:rsidR="007020E7" w:rsidRPr="007454D3" w:rsidRDefault="007020E7" w:rsidP="000B2F05">
            <w:pPr>
              <w:jc w:val="center"/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Specification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6EBEFA6" w14:textId="77777777" w:rsidR="007020E7" w:rsidRPr="007454D3" w:rsidRDefault="007020E7" w:rsidP="000B2F05">
            <w:pPr>
              <w:jc w:val="center"/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AIC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4556E6C" w14:textId="77777777" w:rsidR="007020E7" w:rsidRPr="007454D3" w:rsidRDefault="007020E7" w:rsidP="000B2F05">
            <w:pPr>
              <w:jc w:val="center"/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BIC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C7A0B24" w14:textId="77777777" w:rsidR="007020E7" w:rsidRPr="007454D3" w:rsidRDefault="007020E7" w:rsidP="000B2F05">
            <w:pPr>
              <w:jc w:val="center"/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Best Model</w:t>
            </w:r>
          </w:p>
        </w:tc>
      </w:tr>
      <w:tr w:rsidR="007020E7" w:rsidRPr="007454D3" w14:paraId="4F04B795" w14:textId="77777777" w:rsidTr="00C3421D">
        <w:trPr>
          <w:cantSplit/>
          <w:trHeight w:val="897"/>
          <w:tblCellSpacing w:w="0" w:type="dxa"/>
          <w:jc w:val="center"/>
        </w:trPr>
        <w:tc>
          <w:tcPr>
            <w:tcW w:w="0" w:type="auto"/>
            <w:vAlign w:val="center"/>
          </w:tcPr>
          <w:p w14:paraId="3B647230" w14:textId="77777777" w:rsidR="007020E7" w:rsidRPr="007454D3" w:rsidRDefault="007020E7" w:rsidP="000B2F05">
            <w:pPr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Model 1</w:t>
            </w:r>
          </w:p>
        </w:tc>
        <w:tc>
          <w:tcPr>
            <w:tcW w:w="0" w:type="auto"/>
            <w:vAlign w:val="center"/>
          </w:tcPr>
          <w:p w14:paraId="177D7F9F" w14:textId="77777777" w:rsidR="007020E7" w:rsidRPr="007454D3" w:rsidRDefault="007020E7" w:rsidP="000B2F05">
            <w:pPr>
              <w:jc w:val="center"/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Baseline (no break)</w:t>
            </w:r>
          </w:p>
        </w:tc>
        <w:tc>
          <w:tcPr>
            <w:tcW w:w="0" w:type="auto"/>
            <w:vAlign w:val="center"/>
          </w:tcPr>
          <w:p w14:paraId="4495A49E" w14:textId="77777777" w:rsidR="007020E7" w:rsidRPr="007454D3" w:rsidRDefault="007020E7" w:rsidP="000B2F05">
            <w:pPr>
              <w:jc w:val="center"/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-4.71</w:t>
            </w:r>
          </w:p>
        </w:tc>
        <w:tc>
          <w:tcPr>
            <w:tcW w:w="0" w:type="auto"/>
            <w:vAlign w:val="center"/>
          </w:tcPr>
          <w:p w14:paraId="3BD92188" w14:textId="77777777" w:rsidR="007020E7" w:rsidRPr="007454D3" w:rsidRDefault="007020E7" w:rsidP="000B2F05">
            <w:pPr>
              <w:jc w:val="center"/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17.28</w:t>
            </w:r>
          </w:p>
        </w:tc>
        <w:tc>
          <w:tcPr>
            <w:tcW w:w="0" w:type="auto"/>
            <w:vAlign w:val="center"/>
          </w:tcPr>
          <w:p w14:paraId="13E839F9" w14:textId="77777777" w:rsidR="007020E7" w:rsidRPr="007454D3" w:rsidRDefault="007020E7" w:rsidP="000B2F05">
            <w:pPr>
              <w:rPr>
                <w:rFonts w:ascii="Calibri" w:hAnsi="Calibri" w:cs="Calibri"/>
                <w:sz w:val="22"/>
              </w:rPr>
            </w:pPr>
          </w:p>
        </w:tc>
      </w:tr>
      <w:tr w:rsidR="007020E7" w:rsidRPr="007454D3" w14:paraId="58B1C13D" w14:textId="77777777" w:rsidTr="00C3421D">
        <w:trPr>
          <w:cantSplit/>
          <w:trHeight w:val="884"/>
          <w:tblCellSpacing w:w="0" w:type="dxa"/>
          <w:jc w:val="center"/>
        </w:trPr>
        <w:tc>
          <w:tcPr>
            <w:tcW w:w="0" w:type="auto"/>
            <w:vAlign w:val="center"/>
          </w:tcPr>
          <w:p w14:paraId="0303BCD4" w14:textId="77777777" w:rsidR="007020E7" w:rsidRPr="007454D3" w:rsidRDefault="007020E7" w:rsidP="000B2F05">
            <w:pPr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Model 2</w:t>
            </w:r>
          </w:p>
        </w:tc>
        <w:tc>
          <w:tcPr>
            <w:tcW w:w="0" w:type="auto"/>
            <w:vAlign w:val="center"/>
          </w:tcPr>
          <w:p w14:paraId="416FC17F" w14:textId="77777777" w:rsidR="007020E7" w:rsidRPr="007454D3" w:rsidRDefault="007020E7" w:rsidP="000B2F05">
            <w:pPr>
              <w:jc w:val="center"/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Interaction (no break)</w:t>
            </w:r>
          </w:p>
        </w:tc>
        <w:tc>
          <w:tcPr>
            <w:tcW w:w="0" w:type="auto"/>
            <w:vAlign w:val="center"/>
          </w:tcPr>
          <w:p w14:paraId="775EEC9E" w14:textId="77777777" w:rsidR="007020E7" w:rsidRPr="007454D3" w:rsidRDefault="007020E7" w:rsidP="000B2F05">
            <w:pPr>
              <w:jc w:val="center"/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-2.79</w:t>
            </w:r>
          </w:p>
        </w:tc>
        <w:tc>
          <w:tcPr>
            <w:tcW w:w="0" w:type="auto"/>
            <w:vAlign w:val="center"/>
          </w:tcPr>
          <w:p w14:paraId="0FA8652F" w14:textId="77777777" w:rsidR="007020E7" w:rsidRPr="007454D3" w:rsidRDefault="007020E7" w:rsidP="000B2F05">
            <w:pPr>
              <w:jc w:val="center"/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20.66</w:t>
            </w:r>
          </w:p>
        </w:tc>
        <w:tc>
          <w:tcPr>
            <w:tcW w:w="0" w:type="auto"/>
            <w:vAlign w:val="center"/>
          </w:tcPr>
          <w:p w14:paraId="4A3E723F" w14:textId="77777777" w:rsidR="007020E7" w:rsidRPr="007454D3" w:rsidRDefault="007020E7" w:rsidP="000B2F05">
            <w:pPr>
              <w:rPr>
                <w:rFonts w:ascii="Calibri" w:hAnsi="Calibri" w:cs="Calibri"/>
                <w:sz w:val="22"/>
              </w:rPr>
            </w:pPr>
          </w:p>
        </w:tc>
      </w:tr>
      <w:tr w:rsidR="007020E7" w:rsidRPr="007454D3" w14:paraId="1F302835" w14:textId="77777777" w:rsidTr="00C3421D">
        <w:trPr>
          <w:cantSplit/>
          <w:trHeight w:val="884"/>
          <w:tblCellSpacing w:w="0" w:type="dxa"/>
          <w:jc w:val="center"/>
        </w:trPr>
        <w:tc>
          <w:tcPr>
            <w:tcW w:w="0" w:type="auto"/>
            <w:vAlign w:val="center"/>
          </w:tcPr>
          <w:p w14:paraId="364F1FA5" w14:textId="77777777" w:rsidR="007020E7" w:rsidRPr="007454D3" w:rsidRDefault="007020E7" w:rsidP="000B2F05">
            <w:pPr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Model 3</w:t>
            </w:r>
          </w:p>
        </w:tc>
        <w:tc>
          <w:tcPr>
            <w:tcW w:w="0" w:type="auto"/>
            <w:vAlign w:val="center"/>
          </w:tcPr>
          <w:p w14:paraId="147DD8A8" w14:textId="77777777" w:rsidR="007020E7" w:rsidRPr="007454D3" w:rsidRDefault="007020E7" w:rsidP="000B2F05">
            <w:pPr>
              <w:jc w:val="center"/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Intercept dummy</w:t>
            </w:r>
          </w:p>
        </w:tc>
        <w:tc>
          <w:tcPr>
            <w:tcW w:w="0" w:type="auto"/>
            <w:vAlign w:val="center"/>
          </w:tcPr>
          <w:p w14:paraId="3AED6518" w14:textId="77777777" w:rsidR="007020E7" w:rsidRPr="007454D3" w:rsidRDefault="007020E7" w:rsidP="000B2F05">
            <w:pPr>
              <w:jc w:val="center"/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-16.01</w:t>
            </w:r>
          </w:p>
        </w:tc>
        <w:tc>
          <w:tcPr>
            <w:tcW w:w="0" w:type="auto"/>
            <w:vAlign w:val="center"/>
          </w:tcPr>
          <w:p w14:paraId="404C2F2C" w14:textId="77777777" w:rsidR="007020E7" w:rsidRPr="007454D3" w:rsidRDefault="007020E7" w:rsidP="000B2F05">
            <w:pPr>
              <w:jc w:val="center"/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10.37</w:t>
            </w:r>
          </w:p>
        </w:tc>
        <w:tc>
          <w:tcPr>
            <w:tcW w:w="0" w:type="auto"/>
            <w:vAlign w:val="center"/>
          </w:tcPr>
          <w:p w14:paraId="45BA8293" w14:textId="77777777" w:rsidR="007020E7" w:rsidRPr="007454D3" w:rsidRDefault="007020E7" w:rsidP="000B2F05">
            <w:pPr>
              <w:rPr>
                <w:rFonts w:ascii="Calibri" w:hAnsi="Calibri" w:cs="Calibri"/>
                <w:sz w:val="22"/>
              </w:rPr>
            </w:pPr>
          </w:p>
        </w:tc>
      </w:tr>
      <w:tr w:rsidR="007020E7" w:rsidRPr="007454D3" w14:paraId="09E3EC06" w14:textId="77777777" w:rsidTr="00C3421D">
        <w:trPr>
          <w:cantSplit/>
          <w:trHeight w:val="922"/>
          <w:tblCellSpacing w:w="0" w:type="dxa"/>
          <w:jc w:val="center"/>
        </w:trPr>
        <w:tc>
          <w:tcPr>
            <w:tcW w:w="0" w:type="auto"/>
            <w:vAlign w:val="center"/>
          </w:tcPr>
          <w:p w14:paraId="158334D3" w14:textId="77777777" w:rsidR="007020E7" w:rsidRPr="007454D3" w:rsidRDefault="007020E7" w:rsidP="000B2F05">
            <w:pPr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Model 4</w:t>
            </w:r>
          </w:p>
        </w:tc>
        <w:tc>
          <w:tcPr>
            <w:tcW w:w="0" w:type="auto"/>
            <w:vAlign w:val="center"/>
          </w:tcPr>
          <w:p w14:paraId="658E45A3" w14:textId="77777777" w:rsidR="007020E7" w:rsidRPr="007454D3" w:rsidRDefault="007020E7" w:rsidP="000B2F05">
            <w:pPr>
              <w:jc w:val="center"/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Slope dummies</w:t>
            </w:r>
          </w:p>
        </w:tc>
        <w:tc>
          <w:tcPr>
            <w:tcW w:w="0" w:type="auto"/>
            <w:vAlign w:val="center"/>
          </w:tcPr>
          <w:p w14:paraId="1E1266E4" w14:textId="77777777" w:rsidR="007020E7" w:rsidRPr="007454D3" w:rsidRDefault="007020E7" w:rsidP="000B2F05">
            <w:pPr>
              <w:jc w:val="center"/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-41.64</w:t>
            </w:r>
          </w:p>
        </w:tc>
        <w:tc>
          <w:tcPr>
            <w:tcW w:w="0" w:type="auto"/>
            <w:vAlign w:val="center"/>
          </w:tcPr>
          <w:p w14:paraId="43020927" w14:textId="77777777" w:rsidR="007020E7" w:rsidRPr="007454D3" w:rsidRDefault="007020E7" w:rsidP="000B2F05">
            <w:pPr>
              <w:jc w:val="center"/>
              <w:rPr>
                <w:rFonts w:ascii="Calibri" w:hAnsi="Calibri" w:cs="Calibri"/>
                <w:sz w:val="22"/>
              </w:rPr>
            </w:pPr>
            <w:r w:rsidRPr="007454D3">
              <w:rPr>
                <w:rFonts w:ascii="Calibri" w:hAnsi="Calibri" w:cs="Calibri"/>
                <w:sz w:val="22"/>
              </w:rPr>
              <w:t>-13.79</w:t>
            </w:r>
          </w:p>
        </w:tc>
        <w:tc>
          <w:tcPr>
            <w:tcW w:w="0" w:type="auto"/>
            <w:vAlign w:val="center"/>
          </w:tcPr>
          <w:p w14:paraId="4025EC38" w14:textId="77777777" w:rsidR="007020E7" w:rsidRPr="007454D3" w:rsidRDefault="007020E7" w:rsidP="000B2F05">
            <w:pPr>
              <w:jc w:val="center"/>
              <w:rPr>
                <w:rFonts w:ascii="Calibri" w:hAnsi="Calibri" w:cs="Calibri"/>
                <w:sz w:val="22"/>
              </w:rPr>
            </w:pPr>
            <w:r w:rsidRPr="007454D3">
              <w:rPr>
                <w:rFonts w:ascii="Segoe UI Symbol" w:eastAsia="Georgia" w:hAnsi="Segoe UI Symbol" w:cs="Segoe UI Symbol"/>
                <w:sz w:val="22"/>
              </w:rPr>
              <w:t>✓</w:t>
            </w:r>
          </w:p>
        </w:tc>
      </w:tr>
    </w:tbl>
    <w:p w14:paraId="14E9CF3D" w14:textId="5D6BEACF" w:rsidR="00D22772" w:rsidRDefault="007020E7">
      <w:r w:rsidRPr="00D80D0E">
        <w:rPr>
          <w:lang w:eastAsia="en-ZW"/>
        </w:rPr>
        <w:t xml:space="preserve">The </w:t>
      </w:r>
      <w:r>
        <w:t>Authors compilation 2026 (Software used: R 4.5.2)</w:t>
      </w:r>
    </w:p>
    <w:p w14:paraId="7D7CF60F" w14:textId="77777777" w:rsidR="007020E7" w:rsidRDefault="007020E7" w:rsidP="007020E7">
      <w:pPr>
        <w:spacing w:before="320" w:after="100"/>
      </w:pPr>
      <w:r>
        <w:rPr>
          <w:b/>
          <w:bCs/>
          <w:sz w:val="20"/>
          <w:szCs w:val="20"/>
        </w:rPr>
        <w:t>Table 10: Diagnostic Tests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71"/>
        <w:gridCol w:w="894"/>
        <w:gridCol w:w="889"/>
        <w:gridCol w:w="894"/>
        <w:gridCol w:w="889"/>
        <w:gridCol w:w="1897"/>
        <w:gridCol w:w="894"/>
        <w:gridCol w:w="832"/>
      </w:tblGrid>
      <w:tr w:rsidR="007020E7" w14:paraId="2C6DE9BC" w14:textId="77777777" w:rsidTr="000B2F05">
        <w:trPr>
          <w:tblHeader/>
        </w:trPr>
        <w:tc>
          <w:tcPr>
            <w:tcW w:w="2171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F89C61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Test</w:t>
            </w:r>
          </w:p>
        </w:tc>
        <w:tc>
          <w:tcPr>
            <w:tcW w:w="8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9403B1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M1 Stat</w:t>
            </w:r>
          </w:p>
        </w:tc>
        <w:tc>
          <w:tcPr>
            <w:tcW w:w="889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5E5799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M1 p</w:t>
            </w:r>
          </w:p>
        </w:tc>
        <w:tc>
          <w:tcPr>
            <w:tcW w:w="8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34833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M2 Stat</w:t>
            </w:r>
          </w:p>
        </w:tc>
        <w:tc>
          <w:tcPr>
            <w:tcW w:w="889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05882D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M2 p</w:t>
            </w:r>
          </w:p>
        </w:tc>
        <w:tc>
          <w:tcPr>
            <w:tcW w:w="1897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45C9F1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Interpretation</w:t>
            </w:r>
          </w:p>
        </w:tc>
        <w:tc>
          <w:tcPr>
            <w:tcW w:w="8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0E0BE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M4 Stat</w:t>
            </w:r>
          </w:p>
        </w:tc>
        <w:tc>
          <w:tcPr>
            <w:tcW w:w="832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9AA9B9" w14:textId="77777777" w:rsidR="007020E7" w:rsidRDefault="007020E7" w:rsidP="000B2F0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M4 p</w:t>
            </w:r>
          </w:p>
        </w:tc>
      </w:tr>
      <w:tr w:rsidR="007020E7" w14:paraId="100446A4" w14:textId="77777777" w:rsidTr="000B2F05">
        <w:tc>
          <w:tcPr>
            <w:tcW w:w="2171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ACAEBC" w14:textId="77777777" w:rsidR="007020E7" w:rsidRDefault="007020E7" w:rsidP="000B2F05">
            <w:r>
              <w:rPr>
                <w:sz w:val="18"/>
                <w:szCs w:val="18"/>
              </w:rPr>
              <w:t>Breusch-Godfrey (Autocorrelation)</w:t>
            </w:r>
          </w:p>
        </w:tc>
        <w:tc>
          <w:tcPr>
            <w:tcW w:w="89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B8292D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2.1100</w:t>
            </w:r>
          </w:p>
        </w:tc>
        <w:tc>
          <w:tcPr>
            <w:tcW w:w="88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109D1C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0.3480</w:t>
            </w:r>
          </w:p>
        </w:tc>
        <w:tc>
          <w:tcPr>
            <w:tcW w:w="89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67F517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0.6400</w:t>
            </w:r>
          </w:p>
        </w:tc>
        <w:tc>
          <w:tcPr>
            <w:tcW w:w="88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325CDA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0.7260</w:t>
            </w:r>
          </w:p>
        </w:tc>
        <w:tc>
          <w:tcPr>
            <w:tcW w:w="189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210DCE" w14:textId="77777777" w:rsidR="007020E7" w:rsidRDefault="007020E7" w:rsidP="000B2F05">
            <w:r>
              <w:rPr>
                <w:sz w:val="18"/>
                <w:szCs w:val="18"/>
              </w:rPr>
              <w:t>p &gt; 0.05: No autocorrelation</w:t>
            </w:r>
          </w:p>
        </w:tc>
        <w:tc>
          <w:tcPr>
            <w:tcW w:w="89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1B8647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0.0450</w:t>
            </w:r>
          </w:p>
        </w:tc>
        <w:tc>
          <w:tcPr>
            <w:tcW w:w="832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FB47F5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0.9780</w:t>
            </w:r>
          </w:p>
        </w:tc>
      </w:tr>
      <w:tr w:rsidR="007020E7" w14:paraId="27806541" w14:textId="77777777" w:rsidTr="000B2F05">
        <w:tc>
          <w:tcPr>
            <w:tcW w:w="2171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16C3BE" w14:textId="77777777" w:rsidR="007020E7" w:rsidRDefault="007020E7" w:rsidP="000B2F05">
            <w:r>
              <w:rPr>
                <w:sz w:val="18"/>
                <w:szCs w:val="18"/>
              </w:rPr>
              <w:t>Breusch-Pagan (Heteroskedasticity)</w:t>
            </w:r>
          </w:p>
        </w:tc>
        <w:tc>
          <w:tcPr>
            <w:tcW w:w="89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601268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13.8250</w:t>
            </w:r>
          </w:p>
        </w:tc>
        <w:tc>
          <w:tcPr>
            <w:tcW w:w="88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AF1D70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0.0320</w:t>
            </w:r>
          </w:p>
        </w:tc>
        <w:tc>
          <w:tcPr>
            <w:tcW w:w="89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091CB1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13.4180</w:t>
            </w:r>
          </w:p>
        </w:tc>
        <w:tc>
          <w:tcPr>
            <w:tcW w:w="88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9E8553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0.0630</w:t>
            </w:r>
          </w:p>
        </w:tc>
        <w:tc>
          <w:tcPr>
            <w:tcW w:w="189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6D7E84" w14:textId="77777777" w:rsidR="007020E7" w:rsidRDefault="007020E7" w:rsidP="000B2F05">
            <w:r>
              <w:rPr>
                <w:sz w:val="18"/>
                <w:szCs w:val="18"/>
              </w:rPr>
              <w:t>p &gt; 0.05: Homoskedasticity</w:t>
            </w:r>
          </w:p>
        </w:tc>
        <w:tc>
          <w:tcPr>
            <w:tcW w:w="89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9B8518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12.0830</w:t>
            </w:r>
          </w:p>
        </w:tc>
        <w:tc>
          <w:tcPr>
            <w:tcW w:w="832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4D9600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0.2090</w:t>
            </w:r>
          </w:p>
        </w:tc>
      </w:tr>
      <w:tr w:rsidR="007020E7" w14:paraId="0D841CAA" w14:textId="77777777" w:rsidTr="000B2F05">
        <w:tc>
          <w:tcPr>
            <w:tcW w:w="2171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B92DA2" w14:textId="77777777" w:rsidR="007020E7" w:rsidRDefault="007020E7" w:rsidP="000B2F05">
            <w:proofErr w:type="spellStart"/>
            <w:r>
              <w:rPr>
                <w:sz w:val="18"/>
                <w:szCs w:val="18"/>
              </w:rPr>
              <w:t>Jarque-Bera</w:t>
            </w:r>
            <w:proofErr w:type="spellEnd"/>
            <w:r>
              <w:rPr>
                <w:sz w:val="18"/>
                <w:szCs w:val="18"/>
              </w:rPr>
              <w:t xml:space="preserve"> (Normality)</w:t>
            </w:r>
          </w:p>
        </w:tc>
        <w:tc>
          <w:tcPr>
            <w:tcW w:w="89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184A1C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3.9130</w:t>
            </w:r>
          </w:p>
        </w:tc>
        <w:tc>
          <w:tcPr>
            <w:tcW w:w="88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DFFF19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0.1410</w:t>
            </w:r>
          </w:p>
        </w:tc>
        <w:tc>
          <w:tcPr>
            <w:tcW w:w="89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4A1D5A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22.9350</w:t>
            </w:r>
          </w:p>
        </w:tc>
        <w:tc>
          <w:tcPr>
            <w:tcW w:w="88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54D32C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89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3611C8" w14:textId="77777777" w:rsidR="007020E7" w:rsidRDefault="007020E7" w:rsidP="000B2F05">
            <w:r>
              <w:rPr>
                <w:sz w:val="18"/>
                <w:szCs w:val="18"/>
              </w:rPr>
              <w:t>p &gt; 0.05: Normality</w:t>
            </w:r>
          </w:p>
        </w:tc>
        <w:tc>
          <w:tcPr>
            <w:tcW w:w="89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54F47C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5.8730</w:t>
            </w:r>
          </w:p>
        </w:tc>
        <w:tc>
          <w:tcPr>
            <w:tcW w:w="832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33EFD2" w14:textId="77777777" w:rsidR="007020E7" w:rsidRDefault="007020E7" w:rsidP="000B2F05">
            <w:pPr>
              <w:jc w:val="center"/>
            </w:pPr>
            <w:r>
              <w:rPr>
                <w:sz w:val="18"/>
                <w:szCs w:val="18"/>
              </w:rPr>
              <w:t>0.0530</w:t>
            </w:r>
          </w:p>
        </w:tc>
      </w:tr>
    </w:tbl>
    <w:p w14:paraId="204C6347" w14:textId="01BBE972" w:rsidR="007020E7" w:rsidRDefault="007020E7" w:rsidP="007020E7">
      <w:r>
        <w:t>Authors compilation 2026 (Software used: R 4.5.2)</w:t>
      </w:r>
    </w:p>
    <w:p w14:paraId="2D895324" w14:textId="5BF8FDEC" w:rsidR="007020E7" w:rsidRPr="00D80D0E" w:rsidRDefault="007020E7" w:rsidP="007020E7">
      <w:pPr>
        <w:spacing w:after="120" w:line="240" w:lineRule="auto"/>
        <w:rPr>
          <w:lang w:eastAsia="en-ZW"/>
        </w:rPr>
      </w:pPr>
      <w:r>
        <w:rPr>
          <w:lang w:eastAsia="en-ZW"/>
        </w:rPr>
        <w:lastRenderedPageBreak/>
        <w:t xml:space="preserve">Model </w:t>
      </w:r>
      <w:r w:rsidRPr="00D80D0E">
        <w:rPr>
          <w:lang w:eastAsia="en-ZW"/>
        </w:rPr>
        <w:t xml:space="preserve">1 fails Breusch-Pagan (p=0.032) heteroskedasticity from omitting the structural break. Model 2 fails </w:t>
      </w:r>
      <w:proofErr w:type="spellStart"/>
      <w:r w:rsidRPr="00D80D0E">
        <w:rPr>
          <w:lang w:eastAsia="en-ZW"/>
        </w:rPr>
        <w:t>Jarque-Bera</w:t>
      </w:r>
      <w:proofErr w:type="spellEnd"/>
      <w:r w:rsidRPr="00D80D0E">
        <w:rPr>
          <w:lang w:eastAsia="en-ZW"/>
        </w:rPr>
        <w:t xml:space="preserve"> (p&lt;0.001) non-normal residuals from remaining structural instability. The clean diagnostic profile of Model 4 establishes its suitability for inference.</w:t>
      </w:r>
      <w:r>
        <w:rPr>
          <w:lang w:eastAsia="en-ZW"/>
        </w:rPr>
        <w:t xml:space="preserve"> </w:t>
      </w:r>
      <w:r w:rsidRPr="00D80D0E">
        <w:rPr>
          <w:lang w:eastAsia="en-ZW"/>
        </w:rPr>
        <w:t xml:space="preserve">Table 10 presents the results of diagnostic tests evaluating the performance of Models 1, 2, and 4. Model 4 passes all diagnostics: Breusch-Godfrey p=0.978 (no autocorrelation), Breusch-Pagan p=0.209 (homoskedasticity), </w:t>
      </w:r>
      <w:proofErr w:type="spellStart"/>
      <w:r w:rsidRPr="00D80D0E">
        <w:rPr>
          <w:lang w:eastAsia="en-ZW"/>
        </w:rPr>
        <w:t>Jarque-Bera</w:t>
      </w:r>
      <w:proofErr w:type="spellEnd"/>
      <w:r w:rsidRPr="00D80D0E">
        <w:rPr>
          <w:lang w:eastAsia="en-ZW"/>
        </w:rPr>
        <w:t xml:space="preserve"> p=0.053 (marginal normality, acceptable at 1%). Figure 2 (though showing Model 1 residuals) provides the visual contrast: Model 1's residuals show clear patterns, while Model 4's residuals (not shown but implied by passing diagnostics) would appear as random noise around zero with no systematic structure.</w:t>
      </w:r>
    </w:p>
    <w:p w14:paraId="47DC02EF" w14:textId="77777777" w:rsidR="007020E7" w:rsidRDefault="007020E7" w:rsidP="007020E7">
      <w:pPr>
        <w:pStyle w:val="ListParagraph"/>
        <w:numPr>
          <w:ilvl w:val="0"/>
          <w:numId w:val="1"/>
        </w:numPr>
        <w:spacing w:before="400"/>
      </w:pPr>
      <w:r w:rsidRPr="007020E7">
        <w:rPr>
          <w:b/>
          <w:bCs/>
        </w:rPr>
        <w:t>FIGURES</w:t>
      </w:r>
    </w:p>
    <w:p w14:paraId="3CBB0119" w14:textId="7A321CD3" w:rsidR="007020E7" w:rsidRDefault="007020E7" w:rsidP="007020E7">
      <w:pPr>
        <w:spacing w:before="60" w:after="200"/>
        <w:jc w:val="center"/>
      </w:pPr>
    </w:p>
    <w:p w14:paraId="63DC95F7" w14:textId="77777777" w:rsidR="007020E7" w:rsidRDefault="007020E7" w:rsidP="007020E7">
      <w:pPr>
        <w:spacing w:before="320" w:after="100"/>
        <w:jc w:val="center"/>
      </w:pPr>
      <w:r>
        <w:rPr>
          <w:b/>
          <w:bCs/>
          <w:sz w:val="20"/>
          <w:szCs w:val="20"/>
        </w:rPr>
        <w:t>Figure 4: Trade Openness and Inequality by Political Regime</w:t>
      </w:r>
    </w:p>
    <w:p w14:paraId="207215F3" w14:textId="77777777" w:rsidR="007020E7" w:rsidRDefault="007020E7" w:rsidP="007020E7">
      <w:pPr>
        <w:spacing w:before="120" w:after="80"/>
        <w:jc w:val="center"/>
      </w:pPr>
      <w:r>
        <w:rPr>
          <w:noProof/>
        </w:rPr>
        <w:drawing>
          <wp:inline distT="0" distB="0" distL="0" distR="0" wp14:anchorId="6483FF09" wp14:editId="36DBF02F">
            <wp:extent cx="5029200" cy="30194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0D05C" w14:textId="77777777" w:rsidR="007020E7" w:rsidRDefault="007020E7" w:rsidP="007020E7">
      <w:pPr>
        <w:spacing w:before="60" w:after="200"/>
        <w:jc w:val="center"/>
      </w:pPr>
      <w:r>
        <w:rPr>
          <w:i/>
          <w:iCs/>
          <w:sz w:val="18"/>
          <w:szCs w:val="18"/>
        </w:rPr>
        <w:t>Note: Red = Military regime (1990–1998); Green = Democracy (1999–2024).</w:t>
      </w:r>
    </w:p>
    <w:p w14:paraId="27064565" w14:textId="77777777" w:rsidR="007020E7" w:rsidRDefault="007020E7" w:rsidP="007020E7">
      <w:pPr>
        <w:spacing w:before="300"/>
      </w:pPr>
    </w:p>
    <w:p w14:paraId="36A103B7" w14:textId="77777777" w:rsidR="007020E7" w:rsidRDefault="007020E7" w:rsidP="007020E7">
      <w:pPr>
        <w:spacing w:before="320" w:after="100"/>
        <w:jc w:val="center"/>
      </w:pPr>
      <w:r>
        <w:rPr>
          <w:b/>
          <w:bCs/>
          <w:sz w:val="20"/>
          <w:szCs w:val="20"/>
        </w:rPr>
        <w:t>Figure 5: Error Correction Term Evolution (Model 4)</w:t>
      </w:r>
    </w:p>
    <w:p w14:paraId="5A185D05" w14:textId="77777777" w:rsidR="007020E7" w:rsidRDefault="007020E7" w:rsidP="007020E7">
      <w:pPr>
        <w:spacing w:before="120" w:after="80"/>
        <w:jc w:val="center"/>
      </w:pPr>
      <w:r>
        <w:rPr>
          <w:noProof/>
        </w:rPr>
        <w:lastRenderedPageBreak/>
        <w:drawing>
          <wp:inline distT="0" distB="0" distL="0" distR="0" wp14:anchorId="2E9A14D7" wp14:editId="681E46CF">
            <wp:extent cx="5029200" cy="30194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564FA" w14:textId="77777777" w:rsidR="007020E7" w:rsidRPr="000F72F8" w:rsidRDefault="007020E7" w:rsidP="007020E7">
      <w:pPr>
        <w:spacing w:before="60" w:after="200"/>
        <w:jc w:val="center"/>
      </w:pPr>
      <w:r>
        <w:rPr>
          <w:i/>
          <w:iCs/>
          <w:sz w:val="18"/>
          <w:szCs w:val="18"/>
        </w:rPr>
        <w:t>Note: Blue dashed line marks the 1999 political transition. Red dashed line = zero baseline.</w:t>
      </w:r>
    </w:p>
    <w:p w14:paraId="37C589CC" w14:textId="1F19330E" w:rsidR="007020E7" w:rsidRDefault="00C3421D">
      <w:r>
        <w:t>Appendix 1</w:t>
      </w:r>
    </w:p>
    <w:p w14:paraId="36F9745E" w14:textId="2B4E611D" w:rsidR="00C3421D" w:rsidRPr="0025621F" w:rsidRDefault="00C3421D" w:rsidP="00C3421D">
      <w:pPr>
        <w:keepNext/>
        <w:pageBreakBefore/>
        <w:spacing w:after="100" w:line="240" w:lineRule="auto"/>
        <w:rPr>
          <w:lang w:eastAsia="en-ZA"/>
        </w:rPr>
      </w:pPr>
      <w:r w:rsidRPr="0025621F">
        <w:rPr>
          <w:b/>
          <w:bCs/>
          <w:lang w:eastAsia="en-ZA"/>
        </w:rPr>
        <w:lastRenderedPageBreak/>
        <w:t>Table 1</w:t>
      </w:r>
      <w:r w:rsidR="00C3601F">
        <w:rPr>
          <w:b/>
          <w:bCs/>
          <w:lang w:eastAsia="en-ZA"/>
        </w:rPr>
        <w:t>3</w:t>
      </w:r>
      <w:bookmarkStart w:id="0" w:name="_GoBack"/>
      <w:bookmarkEnd w:id="0"/>
      <w:r w:rsidRPr="0025621F">
        <w:rPr>
          <w:b/>
          <w:bCs/>
          <w:lang w:eastAsia="en-ZA"/>
        </w:rPr>
        <w:t>. Recent African evidence on trade, institutions and inequality</w:t>
      </w:r>
    </w:p>
    <w:tbl>
      <w:tblPr>
        <w:tblStyle w:val="TableGrid"/>
        <w:tblW w:w="9026" w:type="dxa"/>
        <w:tblLook w:val="0000" w:firstRow="0" w:lastRow="0" w:firstColumn="0" w:lastColumn="0" w:noHBand="0" w:noVBand="0"/>
      </w:tblPr>
      <w:tblGrid>
        <w:gridCol w:w="1900"/>
        <w:gridCol w:w="1300"/>
        <w:gridCol w:w="3426"/>
        <w:gridCol w:w="2400"/>
      </w:tblGrid>
      <w:tr w:rsidR="00C3421D" w:rsidRPr="0025621F" w14:paraId="52B21B73" w14:textId="77777777" w:rsidTr="00852057">
        <w:tc>
          <w:tcPr>
            <w:tcW w:w="1900" w:type="dxa"/>
          </w:tcPr>
          <w:p w14:paraId="1AF21381" w14:textId="77777777" w:rsidR="00C3421D" w:rsidRPr="0025621F" w:rsidRDefault="00C3421D" w:rsidP="00852057">
            <w:pPr>
              <w:rPr>
                <w:kern w:val="0"/>
                <w:lang w:eastAsia="en-ZA"/>
                <w14:ligatures w14:val="none"/>
              </w:rPr>
            </w:pPr>
            <w:r w:rsidRPr="0025621F">
              <w:rPr>
                <w:b/>
                <w:bCs/>
                <w:kern w:val="0"/>
                <w:lang w:eastAsia="en-ZA"/>
                <w14:ligatures w14:val="none"/>
              </w:rPr>
              <w:t>Study</w:t>
            </w:r>
            <w:r>
              <w:rPr>
                <w:b/>
                <w:bCs/>
                <w:kern w:val="0"/>
                <w:lang w:eastAsia="en-ZA"/>
                <w14:ligatures w14:val="none"/>
              </w:rPr>
              <w:t>/Scope</w:t>
            </w:r>
          </w:p>
        </w:tc>
        <w:tc>
          <w:tcPr>
            <w:tcW w:w="1300" w:type="dxa"/>
          </w:tcPr>
          <w:p w14:paraId="53E2F376" w14:textId="77777777" w:rsidR="00C3421D" w:rsidRPr="0025621F" w:rsidRDefault="00C3421D" w:rsidP="00852057">
            <w:pPr>
              <w:rPr>
                <w:kern w:val="0"/>
                <w:lang w:eastAsia="en-ZA"/>
                <w14:ligatures w14:val="none"/>
              </w:rPr>
            </w:pPr>
            <w:r w:rsidRPr="0025621F">
              <w:rPr>
                <w:b/>
                <w:bCs/>
                <w:kern w:val="0"/>
                <w:lang w:eastAsia="en-ZA"/>
                <w14:ligatures w14:val="none"/>
              </w:rPr>
              <w:t>Method</w:t>
            </w:r>
          </w:p>
        </w:tc>
        <w:tc>
          <w:tcPr>
            <w:tcW w:w="3426" w:type="dxa"/>
          </w:tcPr>
          <w:p w14:paraId="44A2C72A" w14:textId="77777777" w:rsidR="00C3421D" w:rsidRPr="0025621F" w:rsidRDefault="00C3421D" w:rsidP="00852057">
            <w:pPr>
              <w:rPr>
                <w:kern w:val="0"/>
                <w:lang w:eastAsia="en-ZA"/>
                <w14:ligatures w14:val="none"/>
              </w:rPr>
            </w:pPr>
            <w:r w:rsidRPr="0025621F">
              <w:rPr>
                <w:b/>
                <w:bCs/>
                <w:kern w:val="0"/>
                <w:lang w:eastAsia="en-ZA"/>
                <w14:ligatures w14:val="none"/>
              </w:rPr>
              <w:t>Main finding</w:t>
            </w:r>
          </w:p>
        </w:tc>
        <w:tc>
          <w:tcPr>
            <w:tcW w:w="2400" w:type="dxa"/>
          </w:tcPr>
          <w:p w14:paraId="33BF732C" w14:textId="77777777" w:rsidR="00C3421D" w:rsidRPr="0025621F" w:rsidRDefault="00C3421D" w:rsidP="00852057">
            <w:pPr>
              <w:rPr>
                <w:kern w:val="0"/>
                <w:lang w:eastAsia="en-ZA"/>
                <w14:ligatures w14:val="none"/>
              </w:rPr>
            </w:pPr>
            <w:r w:rsidRPr="0025621F">
              <w:rPr>
                <w:b/>
                <w:bCs/>
                <w:kern w:val="0"/>
                <w:lang w:eastAsia="en-ZA"/>
                <w14:ligatures w14:val="none"/>
              </w:rPr>
              <w:t>Limitation for the present question</w:t>
            </w:r>
          </w:p>
        </w:tc>
      </w:tr>
      <w:tr w:rsidR="00C3421D" w:rsidRPr="0025621F" w14:paraId="23E91F68" w14:textId="77777777" w:rsidTr="00852057">
        <w:tc>
          <w:tcPr>
            <w:tcW w:w="1900" w:type="dxa"/>
          </w:tcPr>
          <w:p w14:paraId="15D3FB06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proofErr w:type="spellStart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Gonese</w:t>
            </w:r>
            <w:proofErr w:type="spellEnd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et al. (2022): 16 SADC countries, 1980-2019</w:t>
            </w:r>
          </w:p>
        </w:tc>
        <w:tc>
          <w:tcPr>
            <w:tcW w:w="1300" w:type="dxa"/>
          </w:tcPr>
          <w:p w14:paraId="0051CC68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Panel ARDL (PMG)</w:t>
            </w:r>
          </w:p>
        </w:tc>
        <w:tc>
          <w:tcPr>
            <w:tcW w:w="3426" w:type="dxa"/>
          </w:tcPr>
          <w:p w14:paraId="5D1B603C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Openness raises inequality in the long run (10% level), insignificant in the short run. Openness x growth, human capital and finance reduces inequality; openness x institutional quality raises it.</w:t>
            </w:r>
          </w:p>
        </w:tc>
        <w:tc>
          <w:tcPr>
            <w:tcW w:w="2400" w:type="dxa"/>
          </w:tcPr>
          <w:p w14:paraId="7E47CF50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Regional pooled sample; linear interaction with a constant slope.</w:t>
            </w:r>
          </w:p>
        </w:tc>
      </w:tr>
      <w:tr w:rsidR="00C3421D" w:rsidRPr="0025621F" w14:paraId="594874BF" w14:textId="77777777" w:rsidTr="00852057">
        <w:tc>
          <w:tcPr>
            <w:tcW w:w="1900" w:type="dxa"/>
          </w:tcPr>
          <w:p w14:paraId="4166AFA0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proofErr w:type="spellStart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Ouedraogo</w:t>
            </w:r>
            <w:proofErr w:type="spellEnd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et al. (2025): 39 SSA countries, 2002-2022</w:t>
            </w:r>
          </w:p>
        </w:tc>
        <w:tc>
          <w:tcPr>
            <w:tcW w:w="1300" w:type="dxa"/>
          </w:tcPr>
          <w:p w14:paraId="1B6C549C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System GMM; SEM mediation</w:t>
            </w:r>
          </w:p>
        </w:tc>
        <w:tc>
          <w:tcPr>
            <w:tcW w:w="3426" w:type="dxa"/>
          </w:tcPr>
          <w:p w14:paraId="25F6A317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Openness reduces inequality, more in the most unequal countries and via exports; operates through institutions, human capital and income.</w:t>
            </w:r>
          </w:p>
        </w:tc>
        <w:tc>
          <w:tcPr>
            <w:tcW w:w="2400" w:type="dxa"/>
          </w:tcPr>
          <w:p w14:paraId="01DB6899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Pooled average; non-linearity left to future work; institutions as one channel.</w:t>
            </w:r>
          </w:p>
        </w:tc>
      </w:tr>
      <w:tr w:rsidR="00C3421D" w:rsidRPr="0025621F" w14:paraId="7C932FB1" w14:textId="77777777" w:rsidTr="00852057">
        <w:tc>
          <w:tcPr>
            <w:tcW w:w="1900" w:type="dxa"/>
          </w:tcPr>
          <w:p w14:paraId="4BB3A1F3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Xu et al. (2021): 38 SSA countries, 2000-2015</w:t>
            </w:r>
          </w:p>
        </w:tc>
        <w:tc>
          <w:tcPr>
            <w:tcW w:w="1300" w:type="dxa"/>
          </w:tcPr>
          <w:p w14:paraId="4558BA99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Two-step system GMM</w:t>
            </w:r>
          </w:p>
        </w:tc>
        <w:tc>
          <w:tcPr>
            <w:tcW w:w="3426" w:type="dxa"/>
          </w:tcPr>
          <w:p w14:paraId="77FB58D2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Openness raises inequality; FDI and income lower it; stability, rule of law and corruption control positively signed.</w:t>
            </w:r>
          </w:p>
        </w:tc>
        <w:tc>
          <w:tcPr>
            <w:tcW w:w="2400" w:type="dxa"/>
          </w:tcPr>
          <w:p w14:paraId="008B56F2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Institutions as controls; period ends 2015; pooled.</w:t>
            </w:r>
          </w:p>
        </w:tc>
      </w:tr>
      <w:tr w:rsidR="00C3421D" w:rsidRPr="0025621F" w14:paraId="785E34FE" w14:textId="77777777" w:rsidTr="00852057">
        <w:tc>
          <w:tcPr>
            <w:tcW w:w="1900" w:type="dxa"/>
          </w:tcPr>
          <w:p w14:paraId="359998D5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proofErr w:type="spellStart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Byaro</w:t>
            </w:r>
            <w:proofErr w:type="spellEnd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et al. (2024): 66 low-income countries, 2000-2018</w:t>
            </w:r>
          </w:p>
        </w:tc>
        <w:tc>
          <w:tcPr>
            <w:tcW w:w="1300" w:type="dxa"/>
          </w:tcPr>
          <w:p w14:paraId="6088E83D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Bayesian estimation; panel quantile regression</w:t>
            </w:r>
          </w:p>
        </w:tc>
        <w:tc>
          <w:tcPr>
            <w:tcW w:w="3426" w:type="dxa"/>
          </w:tcPr>
          <w:p w14:paraId="7F424339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Trade raises inequality across most quantiles; financial development and government spending have no effect.</w:t>
            </w:r>
          </w:p>
        </w:tc>
        <w:tc>
          <w:tcPr>
            <w:tcW w:w="2400" w:type="dxa"/>
          </w:tcPr>
          <w:p w14:paraId="2C19E475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Global low-income sample; no institutional interaction.</w:t>
            </w:r>
          </w:p>
        </w:tc>
      </w:tr>
      <w:tr w:rsidR="00C3421D" w:rsidRPr="0025621F" w14:paraId="2D1C303C" w14:textId="77777777" w:rsidTr="00852057">
        <w:tc>
          <w:tcPr>
            <w:tcW w:w="1900" w:type="dxa"/>
          </w:tcPr>
          <w:p w14:paraId="5123E1F8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Abdalla et al. (2026): 44 SSA countries, 2005-2023</w:t>
            </w:r>
          </w:p>
        </w:tc>
        <w:tc>
          <w:tcPr>
            <w:tcW w:w="1300" w:type="dxa"/>
          </w:tcPr>
          <w:p w14:paraId="68A0BDEF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System GMM; MMQREG</w:t>
            </w:r>
          </w:p>
        </w:tc>
        <w:tc>
          <w:tcPr>
            <w:tcW w:w="3426" w:type="dxa"/>
          </w:tcPr>
          <w:p w14:paraId="79A367AA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Infrastructure widens inequality; effect dampened by trade openness and urban growth (threshold 6.5%).</w:t>
            </w:r>
          </w:p>
        </w:tc>
        <w:tc>
          <w:tcPr>
            <w:tcW w:w="2400" w:type="dxa"/>
          </w:tcPr>
          <w:p w14:paraId="0CCCEFE7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Openness is a moderator of infrastructure, not the focus; institutions are a control.</w:t>
            </w:r>
          </w:p>
        </w:tc>
      </w:tr>
      <w:tr w:rsidR="00C3421D" w:rsidRPr="0025621F" w14:paraId="5BE71DCD" w14:textId="77777777" w:rsidTr="00852057">
        <w:tc>
          <w:tcPr>
            <w:tcW w:w="1900" w:type="dxa"/>
          </w:tcPr>
          <w:p w14:paraId="2D7333EE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proofErr w:type="spellStart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Kassouri</w:t>
            </w:r>
            <w:proofErr w:type="spellEnd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et al. (2025): 20 SSA countries, 1985-2014</w:t>
            </w:r>
          </w:p>
        </w:tc>
        <w:tc>
          <w:tcPr>
            <w:tcW w:w="1300" w:type="dxa"/>
          </w:tcPr>
          <w:p w14:paraId="379C0BE6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AMG; CCE-PMG</w:t>
            </w:r>
          </w:p>
        </w:tc>
        <w:tc>
          <w:tcPr>
            <w:tcW w:w="3426" w:type="dxa"/>
          </w:tcPr>
          <w:p w14:paraId="7881599B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Inverted-U growth-inequality pattern in nine countries incl. Nigeria; financial development x government stability or bureaucracy quality reduces the Gini.</w:t>
            </w:r>
          </w:p>
        </w:tc>
        <w:tc>
          <w:tcPr>
            <w:tcW w:w="2400" w:type="dxa"/>
          </w:tcPr>
          <w:p w14:paraId="15579476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Trade and </w:t>
            </w:r>
            <w:proofErr w:type="spellStart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globalisation</w:t>
            </w:r>
            <w:proofErr w:type="spellEnd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enter only as a control.</w:t>
            </w:r>
          </w:p>
        </w:tc>
      </w:tr>
      <w:tr w:rsidR="00C3421D" w:rsidRPr="0025621F" w14:paraId="5CC94936" w14:textId="77777777" w:rsidTr="00852057">
        <w:tc>
          <w:tcPr>
            <w:tcW w:w="1900" w:type="dxa"/>
          </w:tcPr>
          <w:p w14:paraId="4C6F1E62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lastRenderedPageBreak/>
              <w:t>Acheampong et al. (2023): 43 SSA countries</w:t>
            </w:r>
          </w:p>
        </w:tc>
        <w:tc>
          <w:tcPr>
            <w:tcW w:w="1300" w:type="dxa"/>
          </w:tcPr>
          <w:p w14:paraId="5DED786E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IV; Driscoll-</w:t>
            </w:r>
            <w:proofErr w:type="spellStart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Kraay</w:t>
            </w:r>
            <w:proofErr w:type="spellEnd"/>
          </w:p>
        </w:tc>
        <w:tc>
          <w:tcPr>
            <w:tcW w:w="3426" w:type="dxa"/>
          </w:tcPr>
          <w:p w14:paraId="7A320433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Democracy indices and natural resources raise inequality; effects differ across sub-regions.</w:t>
            </w:r>
          </w:p>
        </w:tc>
        <w:tc>
          <w:tcPr>
            <w:tcW w:w="2400" w:type="dxa"/>
          </w:tcPr>
          <w:p w14:paraId="6BD81C79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Democracy and resources, not trade; pooled regions.</w:t>
            </w:r>
          </w:p>
        </w:tc>
      </w:tr>
      <w:tr w:rsidR="00C3421D" w:rsidRPr="0025621F" w14:paraId="7E43E45F" w14:textId="77777777" w:rsidTr="00852057">
        <w:tc>
          <w:tcPr>
            <w:tcW w:w="1900" w:type="dxa"/>
          </w:tcPr>
          <w:p w14:paraId="310A952E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proofErr w:type="spellStart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Nunoo</w:t>
            </w:r>
            <w:proofErr w:type="spellEnd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et al. (2024): 36 African countries, 2010-2020</w:t>
            </w:r>
          </w:p>
        </w:tc>
        <w:tc>
          <w:tcPr>
            <w:tcW w:w="1300" w:type="dxa"/>
          </w:tcPr>
          <w:p w14:paraId="7E09C326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IV-GMM</w:t>
            </w:r>
          </w:p>
        </w:tc>
        <w:tc>
          <w:tcPr>
            <w:tcW w:w="3426" w:type="dxa"/>
          </w:tcPr>
          <w:p w14:paraId="579086E8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Human capital raises inequality; corruption control and government effectiveness mitigate.</w:t>
            </w:r>
          </w:p>
        </w:tc>
        <w:tc>
          <w:tcPr>
            <w:tcW w:w="2400" w:type="dxa"/>
          </w:tcPr>
          <w:p w14:paraId="5E946718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Short panel; human-capital focus.</w:t>
            </w:r>
          </w:p>
        </w:tc>
      </w:tr>
      <w:tr w:rsidR="00C3421D" w:rsidRPr="0025621F" w14:paraId="3EBD2F15" w14:textId="77777777" w:rsidTr="00852057">
        <w:tc>
          <w:tcPr>
            <w:tcW w:w="1900" w:type="dxa"/>
          </w:tcPr>
          <w:p w14:paraId="0D9D1CDB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proofErr w:type="spellStart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Musah</w:t>
            </w:r>
            <w:proofErr w:type="spellEnd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(2024): 45 African countries, 2000-2020</w:t>
            </w:r>
          </w:p>
        </w:tc>
        <w:tc>
          <w:tcPr>
            <w:tcW w:w="1300" w:type="dxa"/>
          </w:tcPr>
          <w:p w14:paraId="5F68B946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System GMM</w:t>
            </w:r>
          </w:p>
        </w:tc>
        <w:tc>
          <w:tcPr>
            <w:tcW w:w="3426" w:type="dxa"/>
          </w:tcPr>
          <w:p w14:paraId="4F98A9B7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Institutional quality negatively associated with MDG/SDG attainment; openness positive.</w:t>
            </w:r>
          </w:p>
        </w:tc>
        <w:tc>
          <w:tcPr>
            <w:tcW w:w="2400" w:type="dxa"/>
          </w:tcPr>
          <w:p w14:paraId="2EB3B1EA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Outcome is development goals, not inequality.</w:t>
            </w:r>
          </w:p>
        </w:tc>
      </w:tr>
      <w:tr w:rsidR="00C3421D" w:rsidRPr="0025621F" w14:paraId="5F4D70D8" w14:textId="77777777" w:rsidTr="00852057">
        <w:tc>
          <w:tcPr>
            <w:tcW w:w="1900" w:type="dxa"/>
          </w:tcPr>
          <w:p w14:paraId="7AC400A2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Abdi et al. (2024): 24 African economies, 2004-2022</w:t>
            </w:r>
          </w:p>
        </w:tc>
        <w:tc>
          <w:tcPr>
            <w:tcW w:w="1300" w:type="dxa"/>
          </w:tcPr>
          <w:p w14:paraId="4C59360B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PMG; FMOLS</w:t>
            </w:r>
          </w:p>
        </w:tc>
        <w:tc>
          <w:tcPr>
            <w:tcW w:w="3426" w:type="dxa"/>
          </w:tcPr>
          <w:p w14:paraId="157B331E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Openness has a negative long-run effect on FDI; institutional quality positive.</w:t>
            </w:r>
          </w:p>
        </w:tc>
        <w:tc>
          <w:tcPr>
            <w:tcW w:w="2400" w:type="dxa"/>
          </w:tcPr>
          <w:p w14:paraId="3264C7B0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FDI outcome; authors call for country-specific work.</w:t>
            </w:r>
          </w:p>
        </w:tc>
      </w:tr>
      <w:tr w:rsidR="00C3421D" w:rsidRPr="0025621F" w14:paraId="11A28020" w14:textId="77777777" w:rsidTr="00852057">
        <w:tc>
          <w:tcPr>
            <w:tcW w:w="1900" w:type="dxa"/>
          </w:tcPr>
          <w:p w14:paraId="38EEFA5E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Agyei and </w:t>
            </w:r>
            <w:proofErr w:type="spellStart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Idan</w:t>
            </w:r>
            <w:proofErr w:type="spellEnd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(2022): 39 SSA countries</w:t>
            </w:r>
          </w:p>
        </w:tc>
        <w:tc>
          <w:tcPr>
            <w:tcW w:w="1300" w:type="dxa"/>
          </w:tcPr>
          <w:p w14:paraId="4307B134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GMM</w:t>
            </w:r>
          </w:p>
        </w:tc>
        <w:tc>
          <w:tcPr>
            <w:tcW w:w="3426" w:type="dxa"/>
          </w:tcPr>
          <w:p w14:paraId="1925F58E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Openness and institutions each promote inclusive growth; institutions amplify trade's effect.</w:t>
            </w:r>
          </w:p>
        </w:tc>
        <w:tc>
          <w:tcPr>
            <w:tcW w:w="2400" w:type="dxa"/>
          </w:tcPr>
          <w:p w14:paraId="6049FE02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Inclusive growth, not inequality; pooled.</w:t>
            </w:r>
          </w:p>
        </w:tc>
      </w:tr>
      <w:tr w:rsidR="00C3421D" w:rsidRPr="0025621F" w14:paraId="644529D2" w14:textId="77777777" w:rsidTr="00852057">
        <w:tc>
          <w:tcPr>
            <w:tcW w:w="1900" w:type="dxa"/>
          </w:tcPr>
          <w:p w14:paraId="221A0699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proofErr w:type="spellStart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Němečková</w:t>
            </w:r>
            <w:proofErr w:type="spellEnd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and Hayat (2022): 34 African countries</w:t>
            </w:r>
          </w:p>
        </w:tc>
        <w:tc>
          <w:tcPr>
            <w:tcW w:w="1300" w:type="dxa"/>
          </w:tcPr>
          <w:p w14:paraId="5B7BCD2F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Panel estimation</w:t>
            </w:r>
          </w:p>
        </w:tc>
        <w:tc>
          <w:tcPr>
            <w:tcW w:w="3426" w:type="dxa"/>
          </w:tcPr>
          <w:p w14:paraId="377B675B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Trade </w:t>
            </w:r>
            <w:proofErr w:type="spellStart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liberalisation</w:t>
            </w:r>
            <w:proofErr w:type="spellEnd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improves institutional quality, unevenly by component.</w:t>
            </w:r>
          </w:p>
        </w:tc>
        <w:tc>
          <w:tcPr>
            <w:tcW w:w="2400" w:type="dxa"/>
          </w:tcPr>
          <w:p w14:paraId="1438DB63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Reverse causality; no inequality outcome.</w:t>
            </w:r>
          </w:p>
        </w:tc>
      </w:tr>
      <w:tr w:rsidR="00C3421D" w:rsidRPr="0025621F" w14:paraId="59C133E9" w14:textId="77777777" w:rsidTr="00852057">
        <w:tc>
          <w:tcPr>
            <w:tcW w:w="1900" w:type="dxa"/>
          </w:tcPr>
          <w:p w14:paraId="4C625AB8" w14:textId="77777777" w:rsidR="00C3421D" w:rsidRPr="00247124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proofErr w:type="spellStart"/>
            <w:r w:rsidRPr="00247124">
              <w:rPr>
                <w:kern w:val="0"/>
                <w:sz w:val="20"/>
                <w:szCs w:val="20"/>
                <w:lang w:eastAsia="en-ZA"/>
                <w14:ligatures w14:val="none"/>
              </w:rPr>
              <w:t>Ogede</w:t>
            </w:r>
            <w:proofErr w:type="spellEnd"/>
            <w:r w:rsidRPr="00247124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et al. (2022): Nigeria, 1981-2019</w:t>
            </w:r>
          </w:p>
        </w:tc>
        <w:tc>
          <w:tcPr>
            <w:tcW w:w="1300" w:type="dxa"/>
          </w:tcPr>
          <w:p w14:paraId="743F213A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ARDL</w:t>
            </w:r>
          </w:p>
        </w:tc>
        <w:tc>
          <w:tcPr>
            <w:tcW w:w="3426" w:type="dxa"/>
          </w:tcPr>
          <w:p w14:paraId="34EAACDA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Openness and FDI reduce inequality in the short run; government spending raises it.</w:t>
            </w:r>
          </w:p>
        </w:tc>
        <w:tc>
          <w:tcPr>
            <w:tcW w:w="2400" w:type="dxa"/>
          </w:tcPr>
          <w:p w14:paraId="29F5E78F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No institutional conditioning or structural break.</w:t>
            </w:r>
          </w:p>
        </w:tc>
      </w:tr>
      <w:tr w:rsidR="00C3421D" w:rsidRPr="0025621F" w14:paraId="63CE3D9B" w14:textId="77777777" w:rsidTr="00852057">
        <w:tc>
          <w:tcPr>
            <w:tcW w:w="1900" w:type="dxa"/>
          </w:tcPr>
          <w:p w14:paraId="63F15F1D" w14:textId="77777777" w:rsidR="00C3421D" w:rsidRPr="00247124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proofErr w:type="spellStart"/>
            <w:r w:rsidRPr="00247124">
              <w:rPr>
                <w:kern w:val="0"/>
                <w:sz w:val="20"/>
                <w:szCs w:val="20"/>
                <w:lang w:eastAsia="en-ZA"/>
                <w14:ligatures w14:val="none"/>
              </w:rPr>
              <w:t>Onatunji</w:t>
            </w:r>
            <w:proofErr w:type="spellEnd"/>
            <w:r w:rsidRPr="00247124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and </w:t>
            </w:r>
            <w:proofErr w:type="spellStart"/>
            <w:r w:rsidRPr="00247124">
              <w:rPr>
                <w:kern w:val="0"/>
                <w:sz w:val="20"/>
                <w:szCs w:val="20"/>
                <w:lang w:eastAsia="en-ZA"/>
                <w14:ligatures w14:val="none"/>
              </w:rPr>
              <w:t>Akinlo</w:t>
            </w:r>
            <w:proofErr w:type="spellEnd"/>
            <w:r w:rsidRPr="00247124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(2026): Nigeria, 1996-2022</w:t>
            </w:r>
          </w:p>
        </w:tc>
        <w:tc>
          <w:tcPr>
            <w:tcW w:w="1300" w:type="dxa"/>
          </w:tcPr>
          <w:p w14:paraId="3DDAC3D6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ARDL; FMOLS; DOLS</w:t>
            </w:r>
          </w:p>
        </w:tc>
        <w:tc>
          <w:tcPr>
            <w:tcW w:w="3426" w:type="dxa"/>
          </w:tcPr>
          <w:p w14:paraId="0C97BC97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Growth, openness and inflation raise inequality; education and governance reduce it.</w:t>
            </w:r>
          </w:p>
        </w:tc>
        <w:tc>
          <w:tcPr>
            <w:tcW w:w="2400" w:type="dxa"/>
          </w:tcPr>
          <w:p w14:paraId="342AAA26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Governance as a direct determinant; short sample.</w:t>
            </w:r>
          </w:p>
        </w:tc>
      </w:tr>
      <w:tr w:rsidR="00C3421D" w:rsidRPr="0025621F" w14:paraId="58525E9E" w14:textId="77777777" w:rsidTr="00852057">
        <w:tc>
          <w:tcPr>
            <w:tcW w:w="1900" w:type="dxa"/>
          </w:tcPr>
          <w:p w14:paraId="7A1E6049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lastRenderedPageBreak/>
              <w:t xml:space="preserve">Olanrewaju and </w:t>
            </w:r>
            <w:proofErr w:type="spellStart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Akintayo</w:t>
            </w:r>
            <w:proofErr w:type="spellEnd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(2026): Nigeria and South Africa</w:t>
            </w:r>
          </w:p>
        </w:tc>
        <w:tc>
          <w:tcPr>
            <w:tcW w:w="1300" w:type="dxa"/>
          </w:tcPr>
          <w:p w14:paraId="7A60CFD2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Fourier ARDL</w:t>
            </w:r>
          </w:p>
        </w:tc>
        <w:tc>
          <w:tcPr>
            <w:tcW w:w="3426" w:type="dxa"/>
          </w:tcPr>
          <w:p w14:paraId="6F119C81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Institutional quality linked to higher inequality; smooth structural transitions matter.</w:t>
            </w:r>
          </w:p>
        </w:tc>
        <w:tc>
          <w:tcPr>
            <w:tcW w:w="2400" w:type="dxa"/>
          </w:tcPr>
          <w:p w14:paraId="11ADEC63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Trade is not the focus; smooth, not regime, breaks.</w:t>
            </w:r>
          </w:p>
        </w:tc>
      </w:tr>
      <w:tr w:rsidR="00C3421D" w:rsidRPr="0025621F" w14:paraId="64D17512" w14:textId="77777777" w:rsidTr="00852057">
        <w:tc>
          <w:tcPr>
            <w:tcW w:w="1900" w:type="dxa"/>
          </w:tcPr>
          <w:p w14:paraId="6B04A644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Ike et al. (2026): Nigeria, 1960-2024</w:t>
            </w:r>
          </w:p>
        </w:tc>
        <w:tc>
          <w:tcPr>
            <w:tcW w:w="1300" w:type="dxa"/>
          </w:tcPr>
          <w:p w14:paraId="2C6B7ADC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QQR; wavelet quantile correlation</w:t>
            </w:r>
          </w:p>
        </w:tc>
        <w:tc>
          <w:tcPr>
            <w:tcW w:w="3426" w:type="dxa"/>
          </w:tcPr>
          <w:p w14:paraId="32552303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Institutions mitigate ecological footprint; trade effect is regime-dependent.</w:t>
            </w:r>
          </w:p>
        </w:tc>
        <w:tc>
          <w:tcPr>
            <w:tcW w:w="2400" w:type="dxa"/>
          </w:tcPr>
          <w:p w14:paraId="072D02CF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Environmental outcome; no structural breaks.</w:t>
            </w:r>
          </w:p>
        </w:tc>
      </w:tr>
      <w:tr w:rsidR="00C3421D" w:rsidRPr="0025621F" w14:paraId="6ED8883E" w14:textId="77777777" w:rsidTr="00852057">
        <w:tc>
          <w:tcPr>
            <w:tcW w:w="1900" w:type="dxa"/>
          </w:tcPr>
          <w:p w14:paraId="52852461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proofErr w:type="spellStart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Kunawotor</w:t>
            </w:r>
            <w:proofErr w:type="spellEnd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et al. (2020): 40 African countries, 1990-2017</w:t>
            </w:r>
          </w:p>
        </w:tc>
        <w:tc>
          <w:tcPr>
            <w:tcW w:w="1300" w:type="dxa"/>
          </w:tcPr>
          <w:p w14:paraId="58D18C35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Difference GMM</w:t>
            </w:r>
          </w:p>
        </w:tc>
        <w:tc>
          <w:tcPr>
            <w:tcW w:w="3426" w:type="dxa"/>
          </w:tcPr>
          <w:p w14:paraId="79FCA777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Aggregate institutions insignificant; corruption control and rule of law reduce inequality.</w:t>
            </w:r>
          </w:p>
        </w:tc>
        <w:tc>
          <w:tcPr>
            <w:tcW w:w="2400" w:type="dxa"/>
          </w:tcPr>
          <w:p w14:paraId="6CB174BE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Trade not the focus; no interaction with openness.</w:t>
            </w:r>
          </w:p>
        </w:tc>
      </w:tr>
      <w:tr w:rsidR="00C3421D" w:rsidRPr="0025621F" w14:paraId="00DC1579" w14:textId="77777777" w:rsidTr="00852057">
        <w:tc>
          <w:tcPr>
            <w:tcW w:w="1900" w:type="dxa"/>
          </w:tcPr>
          <w:p w14:paraId="03EFB008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proofErr w:type="spellStart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Mehidi</w:t>
            </w:r>
            <w:proofErr w:type="spellEnd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and </w:t>
            </w:r>
            <w:proofErr w:type="spellStart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Oukaci</w:t>
            </w:r>
            <w:proofErr w:type="spellEnd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(2025): 22 oil-rich developing countries incl. Nigeria, 2000-2022</w:t>
            </w:r>
          </w:p>
        </w:tc>
        <w:tc>
          <w:tcPr>
            <w:tcW w:w="1300" w:type="dxa"/>
          </w:tcPr>
          <w:p w14:paraId="1D40DFFA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System GMM</w:t>
            </w:r>
          </w:p>
        </w:tc>
        <w:tc>
          <w:tcPr>
            <w:tcW w:w="3426" w:type="dxa"/>
          </w:tcPr>
          <w:p w14:paraId="5CDD2EB8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Inverted-U oil rent-inequality link; effect turns inequality-reducing above an institutional threshold (about -0.02).</w:t>
            </w:r>
          </w:p>
        </w:tc>
        <w:tc>
          <w:tcPr>
            <w:tcW w:w="2400" w:type="dxa"/>
          </w:tcPr>
          <w:p w14:paraId="2C562BD3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Oil rents, not trade; pooled.</w:t>
            </w:r>
          </w:p>
        </w:tc>
      </w:tr>
      <w:tr w:rsidR="00C3421D" w:rsidRPr="0025621F" w14:paraId="3C731C55" w14:textId="77777777" w:rsidTr="00852057">
        <w:tc>
          <w:tcPr>
            <w:tcW w:w="1900" w:type="dxa"/>
          </w:tcPr>
          <w:p w14:paraId="163071F1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proofErr w:type="spellStart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Kwakwa</w:t>
            </w:r>
            <w:proofErr w:type="spellEnd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(2023): 32 African countries, 2002-2021</w:t>
            </w:r>
          </w:p>
        </w:tc>
        <w:tc>
          <w:tcPr>
            <w:tcW w:w="1300" w:type="dxa"/>
          </w:tcPr>
          <w:p w14:paraId="5B8FD9C1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FMOLS; quantile regression</w:t>
            </w:r>
          </w:p>
        </w:tc>
        <w:tc>
          <w:tcPr>
            <w:tcW w:w="3426" w:type="dxa"/>
          </w:tcPr>
          <w:p w14:paraId="38A1B717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Institutions strengthen the effect of openness on clean-energy access.</w:t>
            </w:r>
          </w:p>
        </w:tc>
        <w:tc>
          <w:tcPr>
            <w:tcW w:w="2400" w:type="dxa"/>
          </w:tcPr>
          <w:p w14:paraId="2EF9B3CA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Energy-poverty outcome; shows the interaction approach.</w:t>
            </w:r>
          </w:p>
        </w:tc>
      </w:tr>
      <w:tr w:rsidR="00C3421D" w:rsidRPr="0025621F" w14:paraId="030BB434" w14:textId="77777777" w:rsidTr="00852057">
        <w:tc>
          <w:tcPr>
            <w:tcW w:w="1900" w:type="dxa"/>
          </w:tcPr>
          <w:p w14:paraId="2712BB74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Sattar and Khan (2021): 45 lower- and middle-income countries (Asia, SSA), 1995-2019</w:t>
            </w:r>
          </w:p>
        </w:tc>
        <w:tc>
          <w:tcPr>
            <w:tcW w:w="1300" w:type="dxa"/>
          </w:tcPr>
          <w:p w14:paraId="14AE0B10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Panel FMOLS; DOLS</w:t>
            </w:r>
          </w:p>
        </w:tc>
        <w:tc>
          <w:tcPr>
            <w:tcW w:w="3426" w:type="dxa"/>
          </w:tcPr>
          <w:p w14:paraId="73EB27F2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Openness and poverty raise inequality; inequality lowers openness.</w:t>
            </w:r>
          </w:p>
        </w:tc>
        <w:tc>
          <w:tcPr>
            <w:tcW w:w="2400" w:type="dxa"/>
          </w:tcPr>
          <w:p w14:paraId="1F686587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Not Africa-specific; no institutions.</w:t>
            </w:r>
          </w:p>
        </w:tc>
      </w:tr>
      <w:tr w:rsidR="00C3421D" w:rsidRPr="0025621F" w14:paraId="365B6DBF" w14:textId="77777777" w:rsidTr="00852057">
        <w:tc>
          <w:tcPr>
            <w:tcW w:w="1900" w:type="dxa"/>
          </w:tcPr>
          <w:p w14:paraId="730CDF4B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proofErr w:type="spellStart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Onatunji</w:t>
            </w:r>
            <w:proofErr w:type="spellEnd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(2025): BRICS economies, 2004-2015</w:t>
            </w:r>
          </w:p>
        </w:tc>
        <w:tc>
          <w:tcPr>
            <w:tcW w:w="1300" w:type="dxa"/>
          </w:tcPr>
          <w:p w14:paraId="4FDF2720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CS-ARDL; CCEMG</w:t>
            </w:r>
          </w:p>
        </w:tc>
        <w:tc>
          <w:tcPr>
            <w:tcW w:w="3426" w:type="dxa"/>
          </w:tcPr>
          <w:p w14:paraId="3EECD02A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Financial inclusion lowers inequality; institutional quality reinforces it.</w:t>
            </w:r>
          </w:p>
        </w:tc>
        <w:tc>
          <w:tcPr>
            <w:tcW w:w="2400" w:type="dxa"/>
          </w:tcPr>
          <w:p w14:paraId="1DFAB76C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Outside SSA; financial inclusion, not trade.</w:t>
            </w:r>
          </w:p>
        </w:tc>
      </w:tr>
      <w:tr w:rsidR="00C3421D" w:rsidRPr="0025621F" w14:paraId="2439B65E" w14:textId="77777777" w:rsidTr="00852057">
        <w:tc>
          <w:tcPr>
            <w:tcW w:w="1900" w:type="dxa"/>
          </w:tcPr>
          <w:p w14:paraId="6C8E051C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proofErr w:type="spellStart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lastRenderedPageBreak/>
              <w:t>Soti</w:t>
            </w:r>
            <w:proofErr w:type="spellEnd"/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 xml:space="preserve"> et al. (2025): Comoros, 1990-2022</w:t>
            </w:r>
          </w:p>
        </w:tc>
        <w:tc>
          <w:tcPr>
            <w:tcW w:w="1300" w:type="dxa"/>
          </w:tcPr>
          <w:p w14:paraId="1F670360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ARDL; DOLS; FMOLS</w:t>
            </w:r>
          </w:p>
        </w:tc>
        <w:tc>
          <w:tcPr>
            <w:tcW w:w="3426" w:type="dxa"/>
          </w:tcPr>
          <w:p w14:paraId="4DF94B9F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Openness worsens environmental quality; institutional quality effect is adverse under weak enforcement.</w:t>
            </w:r>
          </w:p>
        </w:tc>
        <w:tc>
          <w:tcPr>
            <w:tcW w:w="2400" w:type="dxa"/>
          </w:tcPr>
          <w:p w14:paraId="6FD6F31E" w14:textId="77777777" w:rsidR="00C3421D" w:rsidRPr="0025621F" w:rsidRDefault="00C3421D" w:rsidP="00852057">
            <w:pPr>
              <w:rPr>
                <w:kern w:val="0"/>
                <w:sz w:val="20"/>
                <w:szCs w:val="20"/>
                <w:lang w:eastAsia="en-ZA"/>
                <w14:ligatures w14:val="none"/>
              </w:rPr>
            </w:pPr>
            <w:r w:rsidRPr="0025621F">
              <w:rPr>
                <w:kern w:val="0"/>
                <w:sz w:val="20"/>
                <w:szCs w:val="20"/>
                <w:lang w:eastAsia="en-ZA"/>
                <w14:ligatures w14:val="none"/>
              </w:rPr>
              <w:t>Environmental outcome; no structural break.</w:t>
            </w:r>
          </w:p>
        </w:tc>
      </w:tr>
    </w:tbl>
    <w:p w14:paraId="55160059" w14:textId="6AEA3594" w:rsidR="00C3421D" w:rsidRPr="0025621F" w:rsidRDefault="00C3421D" w:rsidP="00C3421D">
      <w:pPr>
        <w:spacing w:before="60" w:after="200" w:line="240" w:lineRule="auto"/>
        <w:rPr>
          <w:lang w:eastAsia="en-ZA"/>
        </w:rPr>
      </w:pPr>
      <w:r>
        <w:rPr>
          <w:lang w:eastAsia="en-ZA"/>
        </w:rPr>
        <w:t>Authors’ Compilation, 2026</w:t>
      </w:r>
    </w:p>
    <w:p w14:paraId="24C865E3" w14:textId="77777777" w:rsidR="00C3421D" w:rsidRDefault="00C3421D"/>
    <w:sectPr w:rsidR="00C34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809AC"/>
    <w:multiLevelType w:val="hybridMultilevel"/>
    <w:tmpl w:val="23585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0E7"/>
    <w:rsid w:val="000F459B"/>
    <w:rsid w:val="00152754"/>
    <w:rsid w:val="001B1BF8"/>
    <w:rsid w:val="003E4FB9"/>
    <w:rsid w:val="004D3722"/>
    <w:rsid w:val="006655D3"/>
    <w:rsid w:val="007020E7"/>
    <w:rsid w:val="00A8760A"/>
    <w:rsid w:val="00B25114"/>
    <w:rsid w:val="00C3421D"/>
    <w:rsid w:val="00C3601F"/>
    <w:rsid w:val="00D22772"/>
    <w:rsid w:val="00F4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E1EA6"/>
  <w15:chartTrackingRefBased/>
  <w15:docId w15:val="{EC2218C0-F1A8-423F-A26F-CE5F76D3C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7020E7"/>
    <w:pPr>
      <w:spacing w:before="240" w:after="240" w:line="360" w:lineRule="auto"/>
      <w:jc w:val="both"/>
    </w:pPr>
    <w:rPr>
      <w:rFonts w:ascii="Times New Roman" w:eastAsia="Times New Roman" w:hAnsi="Times New Roman" w:cs="Times New Roman"/>
      <w:sz w:val="24"/>
      <w:szCs w:val="24"/>
      <w:highlight w:val="white"/>
      <w:lang w:val="en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0E7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highlight w:val="none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20E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highlight w:val="none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0E7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highlight w:val="none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20E7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2"/>
      <w:szCs w:val="22"/>
      <w:highlight w:val="none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20E7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E74B5" w:themeColor="accent1" w:themeShade="BF"/>
      <w:sz w:val="22"/>
      <w:szCs w:val="22"/>
      <w:highlight w:val="none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20E7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highlight w:val="none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20E7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highlight w:val="none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20E7"/>
    <w:pPr>
      <w:keepNext/>
      <w:keepLines/>
      <w:spacing w:before="0"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highlight w:val="none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20E7"/>
    <w:pPr>
      <w:keepNext/>
      <w:keepLines/>
      <w:spacing w:before="0"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highlight w:val="none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0E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20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0E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20E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20E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20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20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20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20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20E7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highlight w:val="none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702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0E7"/>
    <w:pPr>
      <w:numPr>
        <w:ilvl w:val="1"/>
      </w:numPr>
      <w:spacing w:before="0"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highlight w:val="none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02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20E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highlight w:val="none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7020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20E7"/>
    <w:pPr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highlight w:val="none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7020E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0E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sz w:val="22"/>
      <w:szCs w:val="22"/>
      <w:highlight w:val="none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0E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20E7"/>
    <w:rPr>
      <w:b/>
      <w:bCs/>
      <w:smallCaps/>
      <w:color w:val="2E74B5" w:themeColor="accent1" w:themeShade="BF"/>
      <w:spacing w:val="5"/>
    </w:rPr>
  </w:style>
  <w:style w:type="table" w:customStyle="1" w:styleId="NormalGrid">
    <w:name w:val="Normal Grid"/>
    <w:basedOn w:val="TableNormal"/>
    <w:uiPriority w:val="39"/>
    <w:rsid w:val="007020E7"/>
    <w:pPr>
      <w:spacing w:after="0" w:line="240" w:lineRule="auto"/>
    </w:pPr>
    <w:rPr>
      <w:rFonts w:ascii="Georgia"/>
      <w:sz w:val="21"/>
    </w:rPr>
    <w:tblPr>
      <w:tblCellMar>
        <w:top w:w="80" w:type="dxa"/>
        <w:left w:w="160" w:type="dxa"/>
        <w:bottom w:w="80" w:type="dxa"/>
        <w:right w:w="160" w:type="dxa"/>
      </w:tblCellMar>
    </w:tblPr>
  </w:style>
  <w:style w:type="table" w:styleId="TableGrid">
    <w:name w:val="Table Grid"/>
    <w:basedOn w:val="TableNormal"/>
    <w:uiPriority w:val="39"/>
    <w:rsid w:val="00C3421D"/>
    <w:pPr>
      <w:spacing w:after="0" w:line="240" w:lineRule="auto"/>
    </w:pPr>
    <w:rPr>
      <w:kern w:val="2"/>
      <w:lang w:val="en-Z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1324</Words>
  <Characters>7548</Characters>
  <Application>Microsoft Office Word</Application>
  <DocSecurity>0</DocSecurity>
  <Lines>62</Lines>
  <Paragraphs>17</Paragraphs>
  <ScaleCrop>false</ScaleCrop>
  <Company/>
  <LinksUpToDate>false</LinksUpToDate>
  <CharactersWithSpaces>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Paoli Behanzin</dc:creator>
  <cp:keywords/>
  <dc:description/>
  <cp:lastModifiedBy>African Science Frontiers Initiatives</cp:lastModifiedBy>
  <cp:revision>4</cp:revision>
  <dcterms:created xsi:type="dcterms:W3CDTF">2026-05-11T20:05:00Z</dcterms:created>
  <dcterms:modified xsi:type="dcterms:W3CDTF">2026-10-06T12:41:00Z</dcterms:modified>
</cp:coreProperties>
</file>