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Appendix A: Additional data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18"/>
          <w:szCs w:val="18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18"/>
          <w:szCs w:val="1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Table 1</w:t>
      </w:r>
      <w:r>
        <w:rPr>
          <w:rFonts w:ascii="Times New Roman" w:hAnsi="Times New Roman"/>
          <w:sz w:val="18"/>
          <w:szCs w:val="1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. 28-Day Daily Distribution Across 8 Markov States in TPE group (N=5,000)</w:t>
      </w:r>
    </w:p>
    <w:tbl>
      <w:tblPr>
        <w:tblW w:w="9638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494"/>
        <w:gridCol w:w="855"/>
        <w:gridCol w:w="1008"/>
        <w:gridCol w:w="1002"/>
        <w:gridCol w:w="1030"/>
        <w:gridCol w:w="999"/>
        <w:gridCol w:w="1231"/>
        <w:gridCol w:w="1281"/>
        <w:gridCol w:w="911"/>
        <w:gridCol w:w="827"/>
      </w:tblGrid>
      <w:tr>
        <w:tblPrEx>
          <w:shd w:val="clear" w:color="auto" w:fill="cad1d7"/>
        </w:tblPrEx>
        <w:trPr>
          <w:trHeight w:val="41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Day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Shock (Vaso+)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Shock (AKI+)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Shock (PLT+)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Shock (Triple)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Stable (Vaso-)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Post-ICU (Ward)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Discharged (Abs.)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Death (Abs.)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Survival 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1,625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875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750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1,750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100.0%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1,189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741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632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1,691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511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25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211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95.8%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870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622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531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1,612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752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153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62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398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92.0%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637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518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445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1,515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868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256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197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564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88.7%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466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429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373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1,404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912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344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363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709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85.8%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341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353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312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1,283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915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402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559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835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83.3%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249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289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260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1,156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895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444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762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945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81.1%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183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236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217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1,029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861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473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959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1,042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79.2%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134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192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181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906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821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491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1,148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1,127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77.5%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98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155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151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790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778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501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1,325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1,202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76.0%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72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125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126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682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734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504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1,490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1,267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74.7%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11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52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101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105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586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690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501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1,642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1,323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73.5%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12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38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81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87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500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647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494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1,783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1,370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72.6%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13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28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65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73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424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606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483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1,910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1,411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71.8%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14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21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52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61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358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566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471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2,025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1,446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71.1%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15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15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42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51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301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528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457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2,129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1,477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70.5%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16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11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34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42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253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493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441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2,223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1,503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69.9%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17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27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35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211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459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426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2,309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1,525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69.5%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18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21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29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176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428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410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2,386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1,544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69.1%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19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17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24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147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398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394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2,455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1,561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68.8%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20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14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20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122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371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378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2,516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1,576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68.5%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21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11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17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102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345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362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2,573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1,588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68.2%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22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14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85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321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347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2,625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1,597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68.1%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12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71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299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332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2,672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1,606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67.9%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24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59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278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318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2,715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1,613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67.7%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25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49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259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304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2,754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1,620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67.6%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26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41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241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291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2,788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1,627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67.5%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27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34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225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278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1,821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1,632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67.4%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49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28</w:t>
            </w:r>
          </w:p>
        </w:tc>
        <w:tc>
          <w:tcPr>
            <w:tcW w:type="dxa" w:w="8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</w:t>
            </w:r>
          </w:p>
        </w:tc>
        <w:tc>
          <w:tcPr>
            <w:tcW w:type="dxa" w:w="10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25</w:t>
            </w:r>
          </w:p>
        </w:tc>
        <w:tc>
          <w:tcPr>
            <w:tcW w:type="dxa" w:w="9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209</w:t>
            </w:r>
          </w:p>
        </w:tc>
        <w:tc>
          <w:tcPr>
            <w:tcW w:type="dxa" w:w="12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266</w:t>
            </w:r>
          </w:p>
        </w:tc>
        <w:tc>
          <w:tcPr>
            <w:tcW w:type="dxa" w:w="12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2,855</w:t>
            </w:r>
          </w:p>
        </w:tc>
        <w:tc>
          <w:tcPr>
            <w:tcW w:type="dxa" w:w="9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1,637</w:t>
            </w:r>
          </w:p>
        </w:tc>
        <w:tc>
          <w:tcPr>
            <w:tcW w:type="dxa" w:w="8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67.3%</w:t>
            </w:r>
          </w:p>
        </w:tc>
      </w:tr>
    </w:tbl>
    <w:p>
      <w:pPr>
        <w:pStyle w:val="Defaul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324" w:right="0" w:hanging="324"/>
        <w:jc w:val="left"/>
        <w:rPr>
          <w:rFonts w:ascii="Times New Roman" w:cs="Times New Roman" w:hAnsi="Times New Roman" w:eastAsia="Times New Roman"/>
          <w:sz w:val="18"/>
          <w:szCs w:val="18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216" w:right="0" w:hanging="216"/>
        <w:jc w:val="left"/>
        <w:rPr>
          <w:rFonts w:ascii="Times New Roman" w:cs="Times New Roman" w:hAnsi="Times New Roman" w:eastAsia="Times New Roman"/>
          <w:sz w:val="18"/>
          <w:szCs w:val="18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108" w:right="0" w:hanging="108"/>
        <w:jc w:val="left"/>
        <w:rPr>
          <w:rFonts w:ascii="Times New Roman" w:cs="Times New Roman" w:hAnsi="Times New Roman" w:eastAsia="Times New Roman"/>
          <w:sz w:val="18"/>
          <w:szCs w:val="18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18"/>
          <w:szCs w:val="18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18"/>
          <w:szCs w:val="18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sz w:val="18"/>
          <w:szCs w:val="1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Table 2</w:t>
      </w:r>
      <w:r>
        <w:rPr>
          <w:rFonts w:ascii="Times New Roman" w:hAnsi="Times New Roman"/>
          <w:sz w:val="18"/>
          <w:szCs w:val="18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. 28-Day Daily Distribution Across 8 Markov States in SC group (N=5,000)</w:t>
      </w:r>
    </w:p>
    <w:tbl>
      <w:tblPr>
        <w:tblW w:w="9061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384"/>
        <w:gridCol w:w="884"/>
        <w:gridCol w:w="949"/>
        <w:gridCol w:w="988"/>
        <w:gridCol w:w="1001"/>
        <w:gridCol w:w="979"/>
        <w:gridCol w:w="1202"/>
        <w:gridCol w:w="1041"/>
        <w:gridCol w:w="857"/>
        <w:gridCol w:w="776"/>
      </w:tblGrid>
      <w:tr>
        <w:tblPrEx>
          <w:shd w:val="clear" w:color="auto" w:fill="cad1d7"/>
        </w:tblPrEx>
        <w:trPr>
          <w:trHeight w:val="41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Day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Shock (Vaso+)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Shock (AKI+)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Shock (PLT+)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Shock (Triple)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Stable (Vaso-)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Post-ICU (Ward)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Discharged (Abs.)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Death (Abs.)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Survival 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1,625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875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750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1,750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100.0%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1,089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710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602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1,595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415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129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360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92.8%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731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576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484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1,455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582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124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370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678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86.4%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491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468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389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1,328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651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210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506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957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80.9%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330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380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312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1,212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682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280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599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1,202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76.0%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221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309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250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1,106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694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332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672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1,416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71.7%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148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251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201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1,009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690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370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728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1,603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67.9%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99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204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161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921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674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398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777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1,766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64.7%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67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165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129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840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645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415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831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1,908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61.8%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45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134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104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766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610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425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884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2,032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59.4%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30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109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83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699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572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430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937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2,140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57.2%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11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20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88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67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638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533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432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989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2,233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55.3%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12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14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72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54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582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494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431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1,039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2,314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53.7%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13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58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43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531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456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428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1,090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2,385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52.3%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14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12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65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58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524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482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405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1,008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2,446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51.1%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15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53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47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485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448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398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1,063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2,498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50.0%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16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43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38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449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416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390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1,116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2,543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49.1%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17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35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31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415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386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382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1,166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2,582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48.4%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18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28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25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384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358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374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1,213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2,616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47.7%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19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20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355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332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366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1,257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2,646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47.1%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20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19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16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328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308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358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1,298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2,671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46.6%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21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21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21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298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321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350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1,295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2,693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46.1%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22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17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17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275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298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342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1,340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2,711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45.8%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14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14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254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277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334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1,380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2,727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45.5%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24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11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11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235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257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326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1,421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2,739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45.2%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25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217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239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318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1,460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2,748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45.0%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26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201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222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310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1,498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2,755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44.9%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27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6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186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206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302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1,531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2,760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44.4%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3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28</w:t>
            </w:r>
          </w:p>
        </w:tc>
        <w:tc>
          <w:tcPr>
            <w:tcW w:type="dxa" w:w="88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</w:t>
            </w:r>
          </w:p>
        </w:tc>
        <w:tc>
          <w:tcPr>
            <w:tcW w:type="dxa" w:w="94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</w:t>
            </w:r>
          </w:p>
        </w:tc>
        <w:tc>
          <w:tcPr>
            <w:tcW w:type="dxa" w:w="9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8</w:t>
            </w:r>
          </w:p>
        </w:tc>
        <w:tc>
          <w:tcPr>
            <w:tcW w:type="dxa" w:w="100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170</w:t>
            </w:r>
          </w:p>
        </w:tc>
        <w:tc>
          <w:tcPr>
            <w:tcW w:type="dxa" w:w="9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215</w:t>
            </w:r>
          </w:p>
        </w:tc>
        <w:tc>
          <w:tcPr>
            <w:tcW w:type="dxa" w:w="12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280</w:t>
            </w:r>
          </w:p>
        </w:tc>
        <w:tc>
          <w:tcPr>
            <w:tcW w:type="dxa" w:w="104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1,556</w:t>
            </w:r>
          </w:p>
        </w:tc>
        <w:tc>
          <w:tcPr>
            <w:tcW w:type="dxa" w:w="8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2,764</w:t>
            </w:r>
          </w:p>
        </w:tc>
        <w:tc>
          <w:tcPr>
            <w:tcW w:type="dxa" w:w="7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b w:val="1"/>
                <w:b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44.7%</w:t>
            </w:r>
          </w:p>
        </w:tc>
      </w:tr>
    </w:tbl>
    <w:p>
      <w:pPr>
        <w:pStyle w:val="Defaul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324" w:right="0" w:hanging="324"/>
        <w:jc w:val="left"/>
        <w:rPr>
          <w:rFonts w:ascii="Times New Roman" w:cs="Times New Roman" w:hAnsi="Times New Roman" w:eastAsia="Times New Roman"/>
          <w:sz w:val="18"/>
          <w:szCs w:val="18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216" w:right="0" w:hanging="216"/>
        <w:jc w:val="left"/>
        <w:rPr>
          <w:rFonts w:ascii="Times New Roman" w:cs="Times New Roman" w:hAnsi="Times New Roman" w:eastAsia="Times New Roman"/>
          <w:sz w:val="18"/>
          <w:szCs w:val="18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108" w:right="0" w:hanging="108"/>
        <w:jc w:val="left"/>
        <w:rPr>
          <w:rFonts w:ascii="Times New Roman" w:cs="Times New Roman" w:hAnsi="Times New Roman" w:eastAsia="Times New Roman"/>
          <w:sz w:val="18"/>
          <w:szCs w:val="18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br w:type="page"/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Appendix B: Description of mathematical models and</w:t>
      </w: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formulas used in the study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Standardized Mean Difference (SMD) for Balance formula: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5756784" cy="2175927"/>
            <wp:effectExtent l="0" t="0" r="0" b="0"/>
            <wp:docPr id="1073741825" name="officeArt object" descr="Et bilde som inneholder tekst, Font, skjermbilde, hvit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Et bilde som inneholder tekst, Font, skjermbilde, hvitKI-generert innhold kan være feil." descr="Et bilde som inneholder tekst, Font, skjermbilde, hvitKI-generert innhold kan være feil.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784" cy="21759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This follows the standard proportional hazards assumption mapped to a discrete time step: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2868710" cy="366177"/>
            <wp:effectExtent l="0" t="0" r="0" b="0"/>
            <wp:docPr id="1073741826" name="officeArt object" descr="Et bilde som inneholder tekst, Font, hvit, kalligraf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Et bilde som inneholder tekst, Font, hvit, kalligrafi" descr="Et bilde som inneholder tekst, Font, hvit, kalligrafi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710" cy="3661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Endogenous Recovery and Flux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To ensure the model is "rich," we defined the probability of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stabilization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(moving from Shock to Vaso-). When TPE "saved" a patient from death, those patients were redistributed into the recovery pathway: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4723718" cy="1692251"/>
            <wp:effectExtent l="0" t="0" r="0" b="0"/>
            <wp:docPr id="1073741827" name="officeArt object" descr="Et bilde som inneholder tekst, Font, skjermbilde, hvit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Et bilde som inneholder tekst, Font, skjermbilde, hvitKI-generert innhold kan være feil." descr="Et bilde som inneholder tekst, Font, skjermbilde, hvitKI-generert innhold kan være feil.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3718" cy="16922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28-Day Cumulative Survival (S28)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final survival was the probability of not being in the "Death" state (</w:t>
      </w: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</w:t>
      </w:r>
      <w:r>
        <w:rPr>
          <w:rFonts w:ascii="Times New Roman" w:hAnsi="Times New Roman"/>
          <w:i w:val="1"/>
          <w:iCs w:val="1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death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) after 28 cycles. If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b w:val="1"/>
          <w:bCs w:val="1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was the transition matrix, and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b w:val="1"/>
          <w:bCs w:val="1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v</w:t>
      </w:r>
      <w:r>
        <w:rPr>
          <w:rFonts w:ascii="Times New Roman" w:hAnsi="Times New Roman"/>
          <w:b w:val="1"/>
          <w:bCs w:val="1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0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was the initial state vector (e.g., starting in "Triple Threat"):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1707484" cy="808690"/>
            <wp:effectExtent l="0" t="0" r="0" b="0"/>
            <wp:docPr id="1073741828" name="officeArt object" descr="Et bilde som inneholder tekst, Font, håndskrift, hvi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Et bilde som inneholder tekst, Font, håndskrift, hvit" descr="Et bilde som inneholder tekst, Font, håndskrift, hvit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484" cy="8086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Calculation of ARR and NNT for SOFA 8, 12, 16 and 20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Because this is a simulation study, we focused on effect estimates (28 day survival, ARR, NNT) and uncertainty quantification rather than null-hypothesis significance testing.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Absolute Risk Reduction (ARR)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Number Needed to Treat (NNT)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Uncertainty: Key inputs (treatment RR, phenotype multipliers, and timing penalty) were varied within prespecified ranges and propagated through the model using deterministic (one-way) and probabilistic sensitivity analyses, summarized as simulation intervals.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All simulations and matrix operations were executed in Python 3.10 using NumPy and SciPy.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2362641" cy="1369802"/>
            <wp:effectExtent l="0" t="0" r="0" b="0"/>
            <wp:docPr id="1073741829" name="officeArt object" descr="Et bilde som inneholder tekst, Font, skjermbilde, hvi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Et bilde som inneholder tekst, Font, skjermbilde, hvit" descr="Et bilde som inneholder tekst, Font, skjermbilde, hvit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641" cy="13698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Calculation of Hazard Ratio of TPE across SOFA scores 8, 12, 16, 20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 Bayesian Markov Chain Monte Carlo (MCMC) model was used to calculate the Hazard Ratio (HR) of TPE across SOFA scores of 8, 12, 16, and 20. The model used a log-linear interaction: ln(HR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S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) =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TPE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+ (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int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·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S). Priors were derived from a synthesis of 2023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–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2024 meta-analyses. Convergence was verified via Gelman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–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Rubin diagnostic (R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̂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= 1.00).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To calculate the specific posterior medians for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0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(Baseline Log-Hazard) and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int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(Interaction Coefficient), we used Bayesian Meta-Regression. This involves anchoring the model to known clinical outcomes from multi-center trials and solving for the coefficients that explain how treatment effect changes as patient severity increases (the SOFA score).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mathematical framework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We modeled the relationship as a log-linear function because Hazard Ratios are multiplicative, but in a regression model. We worked with the natural log (ln) to make the relationship additive: ln(HR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S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) =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TPE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+ (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int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·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S).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Where: S is the SOFA score.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Solving the Linear System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By plugging our two anchors into the equation, we created a system of two equations:</w:t>
      </w:r>
    </w:p>
    <w:p>
      <w:pPr>
        <w:pStyle w:val="Default"/>
        <w:numPr>
          <w:ilvl w:val="0"/>
          <w:numId w:val="2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</w:rPr>
      </w:pPr>
      <w:r>
        <w:rPr>
          <w:rFonts w:ascii="Times New Roman" w:hAnsi="Times New Roman"/>
          <w:kern w:val="2"/>
          <w:u w:color="000000"/>
          <w:rtl w:val="0"/>
          <w:lang w:val="en-US"/>
        </w:rPr>
        <w:t xml:space="preserve">For SOFA 8: ln(1.02) =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</w:rPr>
        <w:t xml:space="preserve">0 </w:t>
      </w:r>
      <w:r>
        <w:rPr>
          <w:rFonts w:ascii="Times New Roman" w:hAnsi="Times New Roman"/>
          <w:kern w:val="2"/>
          <w:u w:color="000000"/>
          <w:rtl w:val="0"/>
          <w:lang w:val="en-US"/>
        </w:rPr>
        <w:t xml:space="preserve">+ (8 </w:t>
      </w:r>
      <w:r>
        <w:rPr>
          <w:rFonts w:ascii="Times New Roman" w:hAnsi="Times New Roman" w:hint="default"/>
          <w:kern w:val="2"/>
          <w:u w:color="000000"/>
          <w:rtl w:val="0"/>
          <w:lang w:val="en-US"/>
        </w:rPr>
        <w:t xml:space="preserve">×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</w:rPr>
        <w:t>int</w:t>
      </w:r>
      <w:r>
        <w:rPr>
          <w:rFonts w:ascii="Times New Roman" w:hAnsi="Times New Roman"/>
          <w:kern w:val="2"/>
          <w:u w:color="000000"/>
          <w:rtl w:val="0"/>
          <w:lang w:val="en-US"/>
        </w:rPr>
        <w:t>)</w:t>
      </w:r>
    </w:p>
    <w:p>
      <w:pPr>
        <w:pStyle w:val="Default"/>
        <w:numPr>
          <w:ilvl w:val="0"/>
          <w:numId w:val="2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</w:rPr>
      </w:pPr>
      <w:r>
        <w:rPr>
          <w:rFonts w:ascii="Times New Roman" w:hAnsi="Times New Roman"/>
          <w:kern w:val="2"/>
          <w:u w:color="000000"/>
          <w:rtl w:val="0"/>
          <w:lang w:val="en-US"/>
        </w:rPr>
        <w:t xml:space="preserve">For SOFA 20: ln(0.62) =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</w:rPr>
        <w:t xml:space="preserve">0 </w:t>
      </w:r>
      <w:r>
        <w:rPr>
          <w:rFonts w:ascii="Times New Roman" w:hAnsi="Times New Roman"/>
          <w:kern w:val="2"/>
          <w:u w:color="000000"/>
          <w:rtl w:val="0"/>
          <w:lang w:val="en-US"/>
        </w:rPr>
        <w:t xml:space="preserve">+ (20 </w:t>
      </w:r>
      <w:r>
        <w:rPr>
          <w:rFonts w:ascii="Times New Roman" w:hAnsi="Times New Roman" w:hint="default"/>
          <w:kern w:val="2"/>
          <w:u w:color="000000"/>
          <w:rtl w:val="0"/>
          <w:lang w:val="en-US"/>
        </w:rPr>
        <w:t xml:space="preserve">×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</w:rPr>
        <w:t>int</w:t>
      </w:r>
      <w:r>
        <w:rPr>
          <w:rFonts w:ascii="Times New Roman" w:hAnsi="Times New Roman"/>
          <w:kern w:val="2"/>
          <w:u w:color="000000"/>
          <w:rtl w:val="0"/>
          <w:lang w:val="en-US"/>
        </w:rPr>
        <w:t>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Step 1: Convert HR to Log-Hazard</w:t>
      </w:r>
    </w:p>
    <w:p>
      <w:pPr>
        <w:pStyle w:val="Default"/>
        <w:numPr>
          <w:ilvl w:val="0"/>
          <w:numId w:val="4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</w:rPr>
      </w:pPr>
      <w:r>
        <w:rPr>
          <w:rFonts w:ascii="Times New Roman" w:hAnsi="Times New Roman"/>
          <w:kern w:val="2"/>
          <w:u w:color="000000"/>
          <w:rtl w:val="0"/>
          <w:lang w:val="en-US"/>
        </w:rPr>
        <w:t xml:space="preserve">ln(1.02) </w:t>
      </w:r>
      <w:r>
        <w:rPr>
          <w:rFonts w:ascii="Times New Roman" w:hAnsi="Times New Roman" w:hint="default"/>
          <w:kern w:val="2"/>
          <w:u w:color="000000"/>
          <w:rtl w:val="0"/>
          <w:lang w:val="en-US"/>
        </w:rPr>
        <w:t xml:space="preserve">≈ </w:t>
      </w:r>
      <w:r>
        <w:rPr>
          <w:rFonts w:ascii="Times New Roman" w:hAnsi="Times New Roman"/>
          <w:kern w:val="2"/>
          <w:u w:color="000000"/>
          <w:rtl w:val="0"/>
          <w:lang w:val="en-US"/>
        </w:rPr>
        <w:t>0.0198</w:t>
      </w:r>
    </w:p>
    <w:p>
      <w:pPr>
        <w:pStyle w:val="Default"/>
        <w:numPr>
          <w:ilvl w:val="0"/>
          <w:numId w:val="4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</w:rPr>
      </w:pPr>
      <w:r>
        <w:rPr>
          <w:rFonts w:ascii="Times New Roman" w:hAnsi="Times New Roman"/>
          <w:kern w:val="2"/>
          <w:u w:color="000000"/>
          <w:rtl w:val="0"/>
          <w:lang w:val="en-US"/>
        </w:rPr>
        <w:t xml:space="preserve">ln(0.62) </w:t>
      </w:r>
      <w:r>
        <w:rPr>
          <w:rFonts w:ascii="Times New Roman" w:hAnsi="Times New Roman" w:hint="default"/>
          <w:kern w:val="2"/>
          <w:u w:color="000000"/>
          <w:rtl w:val="0"/>
          <w:lang w:val="en-US"/>
        </w:rPr>
        <w:t xml:space="preserve">≈ </w:t>
      </w:r>
      <w:r>
        <w:rPr>
          <w:rFonts w:ascii="Times New Roman" w:hAnsi="Times New Roman"/>
          <w:kern w:val="2"/>
          <w:u w:color="000000"/>
          <w:rtl w:val="0"/>
          <w:lang w:val="en-US"/>
        </w:rPr>
        <w:t>-0.4780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Step 2: Isolate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 xml:space="preserve">int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(The interaction) subtract the first equation from the second: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(-0.4780) 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–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(0.0198) = (20 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×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int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) - (8 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×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int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-0.4978 = 12 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×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int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 xml:space="preserve">int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= -0.4978/12 = -0.04148 (The MCMC simulation refined this to -0.04075 after 10,000 iterations to adjust for standart error).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Step 3: Solve for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 xml:space="preserve">0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(the baseline):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0.0198 =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 xml:space="preserve">0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+ (8 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×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-0.04075)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0.0198 =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 xml:space="preserve">0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- 0.3260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 xml:space="preserve">0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= 0.0198 + 0.3260 = 0.3458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Calculation of probability of benefit (Pb) of TPE 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This study uses the Fundamental Bayes Formula to calculate Pb, expressed as: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2038943" cy="453653"/>
            <wp:effectExtent l="0" t="0" r="0" b="0"/>
            <wp:docPr id="1073741830" name="officeArt object" descr="Et bilde som inneholder Font, tekst, hvit, line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Et bilde som inneholder Font, tekst, hvit, lineKI-generert innhold kan være feil." descr="Et bilde som inneholder Font, tekst, hvit, lineKI-generert innhold kan være feil.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943" cy="4536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Where: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P(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θ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∣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D,S)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(The Posterior):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probability that TPE reduces mortality (the effect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θ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) given the simulated data (D) and the patient's SOFA severity (S).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P(D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∣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θ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,S)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(The Likelihood):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probability of observing the specific survival outcomes in your 10,000 patients, assuming our interaction model (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0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=0.3458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and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int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=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−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0.04075) is correct.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P(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θ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∣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S)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(The Prior):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Our pre-existing belief about TPE efficacy at a specific SOFA score, derived from the 2023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–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2024 TPE meta-analyses.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P(D)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(The Evidence):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 normalizing constant ensuring the total probability sums to 1.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28-Day Survival Probability Function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To compare TPE to SC, we have moved from the Hazard Ratio (HR) to the actual P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s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at day 28. This is modeled using a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Complementary Log-Log (CLL)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link function: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1361530" cy="292132"/>
            <wp:effectExtent l="0" t="0" r="0" b="0"/>
            <wp:docPr id="1073741831" name="officeArt object" descr="Et bilde som inneholder Font, tekst, hvit, kalligrafi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Et bilde som inneholder Font, tekst, hvit, kalligrafiKI-generert innhold kan være feil." descr="Et bilde som inneholder Font, tekst, hvit, kalligrafiKI-generert innhold kan være feil.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530" cy="2921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Given the specific MCMC results, the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Survival Delta (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Δ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P)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for the 10,000 patients can be defined as: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5756784" cy="1249461"/>
            <wp:effectExtent l="0" t="0" r="0" b="0"/>
            <wp:docPr id="1073741832" name="officeArt object" descr="Et bilde som inneholder tekst, Font, kvittering, hvit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Et bilde som inneholder tekst, Font, kvittering, hvitKI-generert innhold kan være feil." descr="Et bilde som inneholder tekst, Font, kvittering, hvitKI-generert innhold kan være feil.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784" cy="12494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Mathematical logic for the 10,000 patient simulation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simulation uses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Bernoulli Trials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for each of the 10,000 patients. For every virtual patient (i), the model "draws" an outcome (</w:t>
      </w: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y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i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):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5756784" cy="1536919"/>
            <wp:effectExtent l="0" t="0" r="0" b="0"/>
            <wp:docPr id="1073741833" name="officeArt object" descr="Et bilde som inneholder tekst, Font, skjermbilde, hvit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Et bilde som inneholder tekst, Font, skjermbilde, hvitKI-generert innhold kan være feil." descr="Et bilde som inneholder tekst, Font, skjermbilde, hvitKI-generert innhold kan være feil.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784" cy="15369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Bayesian "Fit" then aggregates these 10,000 outcomes to refine the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Credible Intervals.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SC (Control):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survival distribution is centered around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(1 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−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b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).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TPE (Intervention):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survival distribution shifts rightward as the SOFA score increases, specifically governed by the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int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coefficient.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Mathematical Methodology: Step-by-Step Formulas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Baseline Survival Modeling: The Logit Function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To calculate the Probability of Benefit of TPE (Pb) based on the baseline SOFA score, a logistic regression framework was utilized. The log-odds (</w:t>
      </w: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) of survival were modeled as a linear combination of the intercept and the SOFA and TPE coefficients. The logistic regression formula: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2516023" cy="313685"/>
            <wp:effectExtent l="0" t="0" r="0" b="0"/>
            <wp:docPr id="1073741834" name="officeArt object" descr="Et bilde som inneholder Font, tekst, typografi, kalligrafi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Et bilde som inneholder Font, tekst, typografi, kalligrafiKI-generert innhold kan være feil." descr="Et bilde som inneholder Font, tekst, typografi, kalligrafiKI-generert innhold kan være feil.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023" cy="3136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where: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-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0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= 2.45 (Intercept calibrated for average patient age of 65)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-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SOFA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= -0.15 (Change in log-odds of survival per SOFA point)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- 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β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TPE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= 0.58 (Treatment effect coefficient for TPE)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Inverse Logit (Probability Conversion) was used to convert log-odds back into a probability between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0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and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1: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1493710" cy="528097"/>
            <wp:effectExtent l="0" t="0" r="0" b="0"/>
            <wp:docPr id="1073741835" name="officeArt object" descr="Et bilde som inneholder Font, hvit, diagram, line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Et bilde som inneholder Font, hvit, diagram, lineKI-generert innhold kan være feil." descr="Et bilde som inneholder Font, hvit, diagram, lineKI-generert innhold kan være feil.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710" cy="5280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Decay Analysis (The Cost of Delay)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 scenario-based attrition model for delayed TPE initiation at 24h (Day 1), 48h (Day 2), and 72h (Day 3) was used for the decay analysis. We modeled treatment delay as a linear loss of absolute survival benefit (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Δ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S) of 3.4 percentage points per 24-hour delay, representing progression into irreversible organ injury (the "point of no return"). Importantly, this linear-absolute decay was not derived from the RR-based Markov calibration (which targets Day-28 survival endpoints under an assumed multiplicative treatment effect). Instead, it was an external, illustrative effect-modification assumption imposed for "what-if" comparisons of timing. Because absolute benefit depends on baseline risk, a fixed absolute decrement per day can deviate from a purely multiplicative RR/HR framework. We therefore interpreted these delayed-treatment results as pre-specified scenario targets used to quantify the potential magnitude of timing sensitivity, rather than as emergent outputs of the core transition model.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"Cost of Delay" Attrition Model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survival benefit of TPE (B) decays as a linear function of time (t) in the first 72 hours, reflecting the progression into irreversible organ injury.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Survival Decay Formula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4434827" cy="1169324"/>
            <wp:effectExtent l="0" t="0" r="0" b="0"/>
            <wp:docPr id="1073741836" name="officeArt object" descr="Et bilde som inneholder tekst, Font, kvittering, skjermbilde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Et bilde som inneholder tekst, Font, kvittering, skjermbildeKI-generert innhold kan være feil." descr="Et bilde som inneholder tekst, Font, kvittering, skjermbildeKI-generert innhold kan være feil.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827" cy="11693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Calculation of vasopressor-free days (VFD) and Length of Stay (LOS)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In this study, VFD and ICU LOS are reported as scenario-based secondary outcomes rather than as direct emergent outputs of the calibrated Markov mortality process. Specifically, the core Markov model is calibrated to reproduce Day-28 survival targets and does not, by itself, identify vasopressor weaning kinetics or discharge timing with externally validated transition/hazard structures. Therefore, for VFD and LOS we applied an additional layer of assumptions by specifying assumed inputs (by SOFA stratum and treatment arm), such as:</w:t>
      </w:r>
    </w:p>
    <w:p>
      <w:pPr>
        <w:pStyle w:val="Default"/>
        <w:numPr>
          <w:ilvl w:val="0"/>
          <w:numId w:val="6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mean vasopressor duration among survivors,</w:t>
      </w:r>
    </w:p>
    <w:p>
      <w:pPr>
        <w:pStyle w:val="Default"/>
        <w:numPr>
          <w:ilvl w:val="0"/>
          <w:numId w:val="6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mean ICU LOS among survivors,</w:t>
      </w:r>
    </w:p>
    <w:p>
      <w:pPr>
        <w:pStyle w:val="Default"/>
        <w:numPr>
          <w:ilvl w:val="0"/>
          <w:numId w:val="6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mean ICU LOS among non-survivors.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To calculate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VFD</w:t>
      </w:r>
      <w:r>
        <w:rPr>
          <w:rFonts w:ascii="Times New Roman" w:hAnsi="Times New Roman"/>
          <w:b w:val="1"/>
          <w:b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for a cohort over a 28-day observation period, we used a composite formula that accounts for both the duration of therapy in survivors and the mortality penalty for non-survivors.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1. Individual Patient VFD Formula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For any single patient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i,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the VFD is defined as: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3659665" cy="676102"/>
            <wp:effectExtent l="0" t="0" r="0" b="0"/>
            <wp:docPr id="1073741837" name="officeArt object" descr="Et bilde som inneholder tekst, Font, hvit,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Et bilde som inneholder tekst, Font, hvit, line" descr="Et bilde som inneholder tekst, Font, hvit, line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665" cy="6761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Where:</w:t>
      </w:r>
    </w:p>
    <w:p>
      <w:pPr>
        <w:pStyle w:val="Default"/>
        <w:numPr>
          <w:ilvl w:val="0"/>
          <w:numId w:val="8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d</w:t>
      </w:r>
      <w:r>
        <w:rPr>
          <w:rFonts w:ascii="Times New Roman" w:hAnsi="Times New Roman"/>
          <w:i w:val="1"/>
          <w:iCs w:val="1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i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: Total number of days (or partial days) the patient required vasopressor support.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2. Mean VFD for a Cohort (Population Average)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To calculate the mean VFD for a specific SOFA stratum (e.g., SOFA 16), we use the expected value based on the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survival probability (S)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and the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average duration (D)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of vasopressor use among survivors: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2510446" cy="451819"/>
            <wp:effectExtent l="0" t="0" r="0" b="0"/>
            <wp:docPr id="1073741838" name="officeArt object" descr="Et bilde som inneholder Font, tekst, hvit, Grafikk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Et bilde som inneholder Font, tekst, hvit, GrafikkKI-generert innhold kan være feil." descr="Et bilde som inneholder Font, tekst, hvit, GrafikkKI-generert innhold kan være feil.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446" cy="4518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Where:</w:t>
      </w:r>
    </w:p>
    <w:p>
      <w:pPr>
        <w:pStyle w:val="Default"/>
        <w:numPr>
          <w:ilvl w:val="0"/>
          <w:numId w:val="10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: Survival rate of the group (expressed as a decimal, e.g.,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0.582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for SOFA 16).</w:t>
      </w:r>
    </w:p>
    <w:p>
      <w:pPr>
        <w:pStyle w:val="Default"/>
        <w:numPr>
          <w:ilvl w:val="0"/>
          <w:numId w:val="10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D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ˉ</w:t>
      </w: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survivors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: The average number of days survivors in that group spent on vasopressors.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3. Calculation of VFD Gain (TPE vs. SC)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To find the therapeutic impact of TPE compared to the SC, we calculated the difference between the two group means: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2116974" cy="410731"/>
            <wp:effectExtent l="0" t="0" r="0" b="0"/>
            <wp:docPr id="1073741839" name="officeArt object" descr="Et bilde som inneholder Font, tekst, hvit, Grafikk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Et bilde som inneholder Font, tekst, hvit, GrafikkKI-generert innhold kan være feil." descr="Et bilde som inneholder Font, tekst, hvit, GrafikkKI-generert innhold kan være feil.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974" cy="4107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Substituting the survival-adjusted terms: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3629891" cy="410223"/>
            <wp:effectExtent l="0" t="0" r="0" b="0"/>
            <wp:docPr id="1073741840" name="officeArt object" descr="Bild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Bilde 8" descr="Bilde 8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891" cy="410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Where:</w:t>
      </w:r>
    </w:p>
    <w:p>
      <w:pPr>
        <w:pStyle w:val="Default"/>
        <w:numPr>
          <w:ilvl w:val="0"/>
          <w:numId w:val="12"/>
        </w:numPr>
        <w:spacing w:before="0" w:after="160" w:line="480" w:lineRule="auto"/>
        <w:jc w:val="left"/>
        <w:rPr>
          <w:rFonts w:ascii="Times New Roman" w:hAnsi="Times New Roman"/>
          <w:i w:val="1"/>
          <w:iCs w:val="1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Stpe: Survival rate of the TPE group,</w:t>
      </w:r>
    </w:p>
    <w:p>
      <w:pPr>
        <w:pStyle w:val="Default"/>
        <w:numPr>
          <w:ilvl w:val="0"/>
          <w:numId w:val="12"/>
        </w:numPr>
        <w:spacing w:before="0" w:after="160" w:line="480" w:lineRule="auto"/>
        <w:jc w:val="left"/>
        <w:rPr>
          <w:rFonts w:ascii="Times New Roman" w:hAnsi="Times New Roman"/>
          <w:i w:val="1"/>
          <w:iCs w:val="1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Ssc: Survival rate of the SC group,</w:t>
      </w:r>
    </w:p>
    <w:p>
      <w:pPr>
        <w:pStyle w:val="Default"/>
        <w:numPr>
          <w:ilvl w:val="0"/>
          <w:numId w:val="12"/>
        </w:numPr>
        <w:spacing w:before="0" w:after="160" w:line="480" w:lineRule="auto"/>
        <w:jc w:val="left"/>
        <w:rPr>
          <w:rFonts w:ascii="Times New Roman" w:hAnsi="Times New Roman"/>
          <w:i w:val="1"/>
          <w:iCs w:val="1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D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ˉ</w:t>
      </w: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tpe: The average number of days survivors in TPE group spent on vasopressors,</w:t>
      </w:r>
    </w:p>
    <w:p>
      <w:pPr>
        <w:pStyle w:val="Default"/>
        <w:numPr>
          <w:ilvl w:val="0"/>
          <w:numId w:val="12"/>
        </w:numPr>
        <w:spacing w:before="0" w:after="160" w:line="480" w:lineRule="auto"/>
        <w:jc w:val="left"/>
        <w:rPr>
          <w:rFonts w:ascii="Times New Roman" w:hAnsi="Times New Roman"/>
          <w:i w:val="1"/>
          <w:iCs w:val="1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D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ˉ</w:t>
      </w: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sc: The average number of days survivors in SC group spent on vasopressors,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Calculation of ICU Length of Stay (LOS)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1. Mean ICU LOS for a Single Cohort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average Length of Stay (LOS) for SC or TPE group was the sum of the average stay for survivors and the average stay for non-survivors, weighted by their respective probabilities: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LOS = (Ps 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× μ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s) + (Pns 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× μ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ns)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Where:</w:t>
      </w:r>
    </w:p>
    <w:p>
      <w:pPr>
        <w:pStyle w:val="Default"/>
        <w:numPr>
          <w:ilvl w:val="0"/>
          <w:numId w:val="14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Ps: Probability of Survival (expressed as a decimal).</w:t>
      </w:r>
    </w:p>
    <w:p>
      <w:pPr>
        <w:pStyle w:val="Default"/>
        <w:numPr>
          <w:ilvl w:val="0"/>
          <w:numId w:val="14"/>
        </w:numPr>
        <w:spacing w:before="0" w:after="160" w:line="480" w:lineRule="auto"/>
        <w:jc w:val="left"/>
        <w:rPr>
          <w:rFonts w:ascii="Times New Roman" w:hAnsi="Times New Roman" w:hint="default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μ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s: Mean LOS for patients who are successfully discharged (Survivors).</w:t>
      </w:r>
    </w:p>
    <w:p>
      <w:pPr>
        <w:pStyle w:val="Default"/>
        <w:numPr>
          <w:ilvl w:val="0"/>
          <w:numId w:val="14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Pns: Probability of Mortality (1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−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Ps).</w:t>
      </w:r>
    </w:p>
    <w:p>
      <w:pPr>
        <w:pStyle w:val="Default"/>
        <w:numPr>
          <w:ilvl w:val="0"/>
          <w:numId w:val="14"/>
        </w:numPr>
        <w:spacing w:before="0" w:after="160" w:line="480" w:lineRule="auto"/>
        <w:jc w:val="left"/>
        <w:rPr>
          <w:rFonts w:ascii="Times New Roman" w:hAnsi="Times New Roman" w:hint="default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μ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ns: Mean LOS for patients who die in the ICU (Non-survivors).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2. Comparison Formula (TPE vs. SC)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To determine the clinical and economic benefit, we calculated the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days saved (</w:t>
      </w:r>
      <w:r>
        <w:rPr>
          <w:rFonts w:ascii="Times New Roman" w:hAnsi="Times New Roman" w:hint="default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Δ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LOS). This was the difference between the expected stay under Standard of Care and the expected stay with TPE: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Δ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LOS = LOS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sc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−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LOS</w:t>
      </w:r>
      <w:r>
        <w:rPr>
          <w:rFonts w:ascii="Times New Roman" w:hAnsi="Times New Roman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tpe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Expanding the terms gives the complete comparative model: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kern w:val="2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Δ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LOS = [(Ps,sc 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× μ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s,sc) + (Pns,sc 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× μ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ns,sc)] 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− 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[(Ps,tpe 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× μ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s,tpe) + (Pns,tpe 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× μ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ns,tpe)]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Where:</w:t>
      </w:r>
    </w:p>
    <w:p>
      <w:pPr>
        <w:pStyle w:val="Default"/>
        <w:numPr>
          <w:ilvl w:val="0"/>
          <w:numId w:val="16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Ps,sc: Probability of Survival in SC group (expressed as a decimal) in SC group,</w:t>
      </w:r>
    </w:p>
    <w:p>
      <w:pPr>
        <w:pStyle w:val="Default"/>
        <w:numPr>
          <w:ilvl w:val="0"/>
          <w:numId w:val="16"/>
        </w:numPr>
        <w:spacing w:before="0" w:after="160" w:line="480" w:lineRule="auto"/>
        <w:jc w:val="left"/>
        <w:rPr>
          <w:rFonts w:ascii="Times New Roman" w:hAnsi="Times New Roman" w:hint="default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μ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s,sc: Mean LOS for patients who are successfully discharged (Survivors) in SC group,</w:t>
      </w:r>
    </w:p>
    <w:p>
      <w:pPr>
        <w:pStyle w:val="Default"/>
        <w:numPr>
          <w:ilvl w:val="0"/>
          <w:numId w:val="16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Pns,sc: Probability of Mortality (1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−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Ps) in SC group,</w:t>
      </w:r>
    </w:p>
    <w:p>
      <w:pPr>
        <w:pStyle w:val="Default"/>
        <w:numPr>
          <w:ilvl w:val="0"/>
          <w:numId w:val="16"/>
        </w:numPr>
        <w:spacing w:before="0" w:after="160" w:line="480" w:lineRule="auto"/>
        <w:jc w:val="left"/>
        <w:rPr>
          <w:rFonts w:ascii="Times New Roman" w:hAnsi="Times New Roman" w:hint="default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μ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ns,sc: Mean LOS for patients who die in the ICU (Non-survivors) in SC group,</w:t>
      </w:r>
    </w:p>
    <w:p>
      <w:pPr>
        <w:pStyle w:val="Default"/>
        <w:numPr>
          <w:ilvl w:val="0"/>
          <w:numId w:val="16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Ps,tpe: Probability of Survival in SC group (expressed as a decimal) in TPE group,</w:t>
      </w:r>
    </w:p>
    <w:p>
      <w:pPr>
        <w:pStyle w:val="Default"/>
        <w:numPr>
          <w:ilvl w:val="0"/>
          <w:numId w:val="16"/>
        </w:numPr>
        <w:spacing w:before="0" w:after="160" w:line="480" w:lineRule="auto"/>
        <w:jc w:val="left"/>
        <w:rPr>
          <w:rFonts w:ascii="Times New Roman" w:hAnsi="Times New Roman" w:hint="default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μ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s,tpe: Mean LOS for patients who are successfully discharged (Survivors) in TPE group,</w:t>
      </w:r>
    </w:p>
    <w:p>
      <w:pPr>
        <w:pStyle w:val="Default"/>
        <w:numPr>
          <w:ilvl w:val="0"/>
          <w:numId w:val="16"/>
        </w:numPr>
        <w:spacing w:before="0" w:after="160" w:line="480" w:lineRule="auto"/>
        <w:jc w:val="left"/>
        <w:rPr>
          <w:rFonts w:ascii="Times New Roman" w:hAnsi="Times New Roman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Pns,tpe: Probability of Mortality (1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−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Ps) in TPE group,</w:t>
      </w:r>
    </w:p>
    <w:p>
      <w:pPr>
        <w:pStyle w:val="Default"/>
        <w:numPr>
          <w:ilvl w:val="0"/>
          <w:numId w:val="16"/>
        </w:numPr>
        <w:spacing w:before="0" w:after="160" w:line="480" w:lineRule="auto"/>
        <w:jc w:val="left"/>
        <w:rPr>
          <w:rFonts w:ascii="Times New Roman" w:hAnsi="Times New Roman" w:hint="default"/>
          <w:kern w:val="2"/>
          <w:u w:color="00000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μ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ns,tpe: Mean LOS for patients who die in the ICU (Non-survivors) in TPE group,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VFD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and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LOS were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calculated as the expected time (number of cycles</w:t>
      </w:r>
      <w:r>
        <w:rPr>
          <w:rFonts w:ascii="Times New Roman" w:hAnsi="Times New Roman" w:hint="default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t) spent in specific subsets of states: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5346673" cy="714895"/>
            <wp:effectExtent l="0" t="0" r="0" b="0"/>
            <wp:docPr id="1073741841" name="officeArt object" descr="Et bilde som inneholder tekst, Font, hvi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Et bilde som inneholder tekst, Font, hvit" descr="Et bilde som inneholder tekst, Font, hvit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673" cy="7148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both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Statistical analysis of data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both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Uncertainty and robustness were assessed using a Probabilistic Sensitivity Analysis (PSA) with 10,000 Monte Carlo iterations. Baseline transition probabilities were modeled using Beta distributions, while the treatment Hazard Ratio was modeled using a Log-Normal distribution to account for clinical variance. Results are reported as Bayesian posterior distributions with 95% Credible Intervals (CrI). The 'Probability of Benefit' was calculated as the proportion of iterations where the Absolute Risk Reduction (ARR) remained positive.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both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p-values were calculated using Python 3.10 code based on the standard mathematical approach as: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both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5756784" cy="2562378"/>
            <wp:effectExtent l="0" t="0" r="0" b="0"/>
            <wp:docPr id="1073741842" name="officeArt object" descr="Et bilde som inneholder tekst, Font, skjermbilde, dokument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Et bilde som inneholder tekst, Font, skjermbilde, dokumentKI-generert innhold kan være feil." descr="Et bilde som inneholder tekst, Font, skjermbilde, dokumentKI-generert innhold kan være feil."/>
                    <pic:cNvPicPr>
                      <a:picLocks noChangeAspect="1"/>
                    </pic:cNvPicPr>
                  </pic:nvPicPr>
                  <pic:blipFill>
                    <a:blip r:embed="rId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784" cy="25623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both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5756784" cy="856664"/>
            <wp:effectExtent l="0" t="0" r="0" b="0"/>
            <wp:docPr id="1073741843" name="officeArt object" descr="Et bilde som inneholder tekst, Font, hvit, kvittering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Et bilde som inneholder tekst, Font, hvit, kvitteringKI-generert innhold kan være feil." descr="Et bilde som inneholder tekst, Font, hvit, kvitteringKI-generert innhold kan være feil."/>
                    <pic:cNvPicPr>
                      <a:picLocks noChangeAspect="1"/>
                    </pic:cNvPicPr>
                  </pic:nvPicPr>
                  <pic:blipFill>
                    <a:blip r:embed="rId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784" cy="8566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both"/>
        <w:rPr>
          <w:rFonts w:ascii="Times New Roman" w:cs="Times New Roman" w:hAnsi="Times New Roman" w:eastAsia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</w:t>
      </w:r>
      <w:r>
        <w:rPr>
          <w:rFonts w:ascii="Times New Roman" w:hAnsi="Times New Roman" w:hint="default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 </w:t>
      </w:r>
      <w:r>
        <w:rPr>
          <w:rFonts w:ascii="Times New Roman" w:hAnsi="Times New Roman"/>
          <w:i w:val="1"/>
          <w:iCs w:val="1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Z-Test for Proportions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both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Z-test was used to compare two survival proportions (for example, 58.2% vs 31.2% in SOFA 16). P-values were calculated using Python 3.10 code based on the standard mathematical approach: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both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inline distT="0" distB="0" distL="0" distR="0">
            <wp:extent cx="4200698" cy="1881796"/>
            <wp:effectExtent l="0" t="0" r="0" b="0"/>
            <wp:docPr id="1073741844" name="officeArt object" descr="Et bilde som inneholder tekst, Font, skjermbilde, algebra&#10;&#10;KI-generert innhold kan være feil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Et bilde som inneholder tekst, Font, skjermbilde, algebraKI-generert innhold kan være feil." descr="Et bilde som inneholder tekst, Font, skjermbilde, algebraKI-generert innhold kan være feil."/>
                    <pic:cNvPicPr>
                      <a:picLocks noChangeAspect="1"/>
                    </pic:cNvPicPr>
                  </pic:nvPicPr>
                  <pic:blipFill>
                    <a:blip r:embed="rId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698" cy="18817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both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No fixed p-value threshold (e.g., p &lt; 0.05) was used for inferential claims; p-values are shown, at most, as descriptive checks of simulated outputs.</w:t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both"/>
        <w:rPr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br w:type="page"/>
      </w:r>
    </w:p>
    <w:p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160" w:line="480" w:lineRule="auto"/>
        <w:ind w:left="0" w:right="0" w:firstLine="0"/>
        <w:jc w:val="both"/>
        <w:rPr>
          <w:rFonts w:ascii="Times New Roman" w:cs="Times New Roman" w:hAnsi="Times New Roman" w:eastAsia="Times New Roman"/>
          <w:kern w:val="2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Appendix C: Model Calibration and Validation Report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This appendix details the technical steps taken to ensure the simulation study accurately reflects historical clinical data and meta-analytical evidence.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Markov State Transition Probabilities (P-Matrix)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The 8-state model uses a time-dependent transition matrix </w:t>
      </w:r>
      <w:r>
        <w:rPr>
          <w:rFonts w:ascii="Times New Roman" w:hAnsi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</w:t>
      </w:r>
      <w:r>
        <w:rPr>
          <w:rFonts w:ascii="Times New Roman" w:hAnsi="Times New Roman"/>
          <w:i w:val="1"/>
          <w:iCs w:val="1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t</w:t>
      </w: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. The daily probability of transitioning to death (</w:t>
      </w:r>
      <w:r>
        <w:rPr>
          <w:rFonts w:ascii="Times New Roman" w:hAnsi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P</w:t>
      </w:r>
      <w:r>
        <w:rPr>
          <w:rFonts w:ascii="Times New Roman" w:hAnsi="Times New Roman"/>
          <w:i w:val="1"/>
          <w:iCs w:val="1"/>
          <w:u w:color="000000"/>
          <w:vertAlign w:val="subscript"/>
          <w:rtl w:val="0"/>
          <w:lang w:val="en-US"/>
          <w14:textOutline w14:w="12700" w14:cap="flat">
            <w14:noFill/>
            <w14:miter w14:lim="400000"/>
          </w14:textOutline>
        </w:rPr>
        <w:t>m</w:t>
      </w: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) was calibrated using a logit-transformed severity function:</w:t>
      </w:r>
      <w:r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893444</wp:posOffset>
            </wp:positionH>
            <wp:positionV relativeFrom="line">
              <wp:posOffset>289092</wp:posOffset>
            </wp:positionV>
            <wp:extent cx="2993766" cy="42000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5" name="officeArt object" descr="Image 29-04-2026 at 21.1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Image 29-04-2026 at 21.12.jpeg" descr="Image 29-04-2026 at 21.12.jpeg"/>
                    <pic:cNvPicPr>
                      <a:picLocks noChangeAspect="1"/>
                    </pic:cNvPicPr>
                  </pic:nvPicPr>
                  <pic:blipFill>
                    <a:blip r:embed="rId2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3766" cy="4200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81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Calibration Targets for Standard Care (SC):</w:t>
      </w:r>
    </w:p>
    <w:tbl>
      <w:tblPr>
        <w:tblW w:w="8371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970"/>
        <w:gridCol w:w="2430"/>
        <w:gridCol w:w="2431"/>
        <w:gridCol w:w="2540"/>
      </w:tblGrid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9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Stratum</w:t>
            </w:r>
          </w:p>
        </w:tc>
        <w:tc>
          <w:tcPr>
            <w:tcW w:type="dxa" w:w="24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Day 1 Mortality Target</w:t>
            </w:r>
          </w:p>
        </w:tc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Day 28 Survival Target</w:t>
            </w:r>
          </w:p>
        </w:tc>
        <w:tc>
          <w:tcPr>
            <w:tcW w:type="dxa" w:w="2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Calibrated Daily </w:t>
            </w:r>
            <w:r>
              <w:rPr>
                <w:rFonts w:ascii="Aptos" w:cs="Aptos" w:hAnsi="Aptos" w:eastAsia="Aptos"/>
                <w:i w:val="1"/>
                <w:iCs w:val="1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P</w:t>
            </w:r>
            <w:r>
              <w:rPr>
                <w:rFonts w:ascii="Aptos" w:cs="Aptos" w:hAnsi="Aptos" w:eastAsia="Aptos"/>
                <w:i w:val="1"/>
                <w:iCs w:val="1"/>
                <w:sz w:val="16"/>
                <w:szCs w:val="16"/>
                <w:u w:color="000000"/>
                <w:shd w:val="nil" w:color="auto" w:fill="auto"/>
                <w:vertAlign w:val="subscript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m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9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SOFA 8</w:t>
            </w:r>
          </w:p>
        </w:tc>
        <w:tc>
          <w:tcPr>
            <w:tcW w:type="dxa" w:w="24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2.8%</w:t>
            </w:r>
          </w:p>
        </w:tc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78.5%</w:t>
            </w:r>
          </w:p>
        </w:tc>
        <w:tc>
          <w:tcPr>
            <w:tcW w:type="dxa" w:w="2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0.0084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9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SOFA 12</w:t>
            </w:r>
          </w:p>
        </w:tc>
        <w:tc>
          <w:tcPr>
            <w:tcW w:type="dxa" w:w="24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5.7%</w:t>
            </w:r>
          </w:p>
        </w:tc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56.5%</w:t>
            </w:r>
          </w:p>
        </w:tc>
        <w:tc>
          <w:tcPr>
            <w:tcW w:type="dxa" w:w="2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0.0182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9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SOFA 16</w:t>
            </w:r>
          </w:p>
        </w:tc>
        <w:tc>
          <w:tcPr>
            <w:tcW w:type="dxa" w:w="24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9.0%</w:t>
            </w:r>
          </w:p>
        </w:tc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31.2%</w:t>
            </w:r>
          </w:p>
        </w:tc>
        <w:tc>
          <w:tcPr>
            <w:tcW w:type="dxa" w:w="2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6e9e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0.0345</w:t>
            </w:r>
          </w:p>
        </w:tc>
      </w:tr>
      <w:tr>
        <w:tblPrEx>
          <w:shd w:val="clear" w:color="auto" w:fill="cad1d7"/>
        </w:tblPrEx>
        <w:trPr>
          <w:trHeight w:val="255" w:hRule="atLeast"/>
        </w:trPr>
        <w:tc>
          <w:tcPr>
            <w:tcW w:type="dxa" w:w="9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SOFA 20</w:t>
            </w:r>
          </w:p>
        </w:tc>
        <w:tc>
          <w:tcPr>
            <w:tcW w:type="dxa" w:w="243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11.4%</w:t>
            </w:r>
          </w:p>
        </w:tc>
        <w:tc>
          <w:tcPr>
            <w:tcW w:type="dxa" w:w="243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12.8%</w:t>
            </w:r>
          </w:p>
        </w:tc>
        <w:tc>
          <w:tcPr>
            <w:tcW w:type="dxa" w:w="25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</w:tabs>
              <w:suppressAutoHyphens w:val="1"/>
              <w:bidi w:val="0"/>
              <w:spacing w:after="24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Aptos" w:cs="Aptos" w:hAnsi="Aptos" w:eastAsia="Aptos"/>
                <w:sz w:val="16"/>
                <w:szCs w:val="16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0.0510</w:t>
            </w:r>
          </w:p>
        </w:tc>
      </w:tr>
    </w:tbl>
    <w:p>
      <w:pPr>
        <w:pStyle w:val="Defaul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81" w:line="480" w:lineRule="auto"/>
        <w:ind w:left="324" w:right="0" w:hanging="324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81" w:line="480" w:lineRule="auto"/>
        <w:ind w:left="216" w:right="0" w:hanging="216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81" w:line="480" w:lineRule="auto"/>
        <w:ind w:left="108" w:right="0" w:hanging="108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Time-Dependency Functions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Hazards in the model are not constant. We applied exponential decay factors to simulate the "Golden Window" effect: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Mortality Decay ($\delta_m$): $0.95^t$ (5% daily reduction in hazard as the initial storm resolves).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Recovery Decay ($\delta_r$): $0.98^t$ (2% daily reduction in recovery probability simulating ICU-acquired weakness).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i w:val="1"/>
          <w:i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Bayesian MCMC Anchor Points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Hazard Ratio (HR) function was anchored to two data points derived from recent 2023</w:t>
      </w:r>
      <w:r>
        <w:rPr>
          <w:rFonts w:ascii="Times New Roman" w:hAnsi="Times New Roman" w:hint="default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–</w:t>
      </w: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2024 meta-analyses: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Low Severity (SOFA 8): HR \approx 1.02 (Neutrality).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High Severity (SOFA 20): HR \approx 0.62 (Rescue).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The resulting Bayesian posterior for the interaction coefficient (\beta_{int}) was -0.04075, ensuring the treatment effect scales precisely with illness severity.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Computational Environment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Software: Python 3.10.12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Key Libraries: NumPy (v1.23.5), SciPy (v1.10.1), Pandas (v1.5.3)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uppressAutoHyphens w:val="1"/>
        <w:bidi w:val="0"/>
        <w:spacing w:before="0" w:after="240" w:line="480" w:lineRule="auto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Random Seed: 42 (ensuring 100% reproducibility of the 10,000-patient cohort).</w:t>
      </w:r>
    </w:p>
    <w:sectPr>
      <w:headerReference w:type="default" r:id="rId25"/>
      <w:footerReference w:type="default" r:id="rId2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3"/>
  </w:abstractNum>
  <w:abstractNum w:abstractNumId="1">
    <w:multiLevelType w:val="hybridMultilevel"/>
    <w:styleLink w:val="Imported Style 3"/>
    <w:lvl w:ilvl="0">
      <w:start w:val="1"/>
      <w:numFmt w:val="decimal"/>
      <w:suff w:val="tab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4"/>
  </w:abstractNum>
  <w:abstractNum w:abstractNumId="3">
    <w:multiLevelType w:val="hybridMultilevel"/>
    <w:styleLink w:val="Imported Style 4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5"/>
  </w:abstractNum>
  <w:abstractNum w:abstractNumId="5">
    <w:multiLevelType w:val="hybridMultilevel"/>
    <w:styleLink w:val="Imported Style 5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>
    <w:multiLevelType w:val="hybridMultilevel"/>
    <w:numStyleLink w:val="Imported Style 6"/>
  </w:abstractNum>
  <w:abstractNum w:abstractNumId="7">
    <w:multiLevelType w:val="hybridMultilevel"/>
    <w:styleLink w:val="Imported Style 6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>
    <w:multiLevelType w:val="hybridMultilevel"/>
    <w:numStyleLink w:val="Imported Style 7"/>
  </w:abstractNum>
  <w:abstractNum w:abstractNumId="9">
    <w:multiLevelType w:val="hybridMultilevel"/>
    <w:styleLink w:val="Imported Style 7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0">
    <w:multiLevelType w:val="hybridMultilevel"/>
    <w:numStyleLink w:val="Imported Style 8"/>
  </w:abstractNum>
  <w:abstractNum w:abstractNumId="11">
    <w:multiLevelType w:val="hybridMultilevel"/>
    <w:styleLink w:val="Imported Style 8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2">
    <w:multiLevelType w:val="hybridMultilevel"/>
    <w:numStyleLink w:val="Imported Style 9"/>
  </w:abstractNum>
  <w:abstractNum w:abstractNumId="13">
    <w:multiLevelType w:val="hybridMultilevel"/>
    <w:styleLink w:val="Imported Style 9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4">
    <w:multiLevelType w:val="hybridMultilevel"/>
    <w:numStyleLink w:val="Imported Style 10"/>
  </w:abstractNum>
  <w:abstractNum w:abstractNumId="15">
    <w:multiLevelType w:val="hybridMultilevel"/>
    <w:styleLink w:val="Imported Style 10"/>
    <w:lvl w:ilvl="0">
      <w:start w:val="1"/>
      <w:numFmt w:val="bullet"/>
      <w:suff w:val="tab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3">
    <w:name w:val="Imported Style 3"/>
    <w:pPr>
      <w:numPr>
        <w:numId w:val="1"/>
      </w:numPr>
    </w:pPr>
  </w:style>
  <w:style w:type="numbering" w:styleId="Imported Style 4">
    <w:name w:val="Imported Style 4"/>
    <w:pPr>
      <w:numPr>
        <w:numId w:val="3"/>
      </w:numPr>
    </w:pPr>
  </w:style>
  <w:style w:type="numbering" w:styleId="Imported Style 5">
    <w:name w:val="Imported Style 5"/>
    <w:pPr>
      <w:numPr>
        <w:numId w:val="5"/>
      </w:numPr>
    </w:pPr>
  </w:style>
  <w:style w:type="numbering" w:styleId="Imported Style 6">
    <w:name w:val="Imported Style 6"/>
    <w:pPr>
      <w:numPr>
        <w:numId w:val="7"/>
      </w:numPr>
    </w:pPr>
  </w:style>
  <w:style w:type="numbering" w:styleId="Imported Style 7">
    <w:name w:val="Imported Style 7"/>
    <w:pPr>
      <w:numPr>
        <w:numId w:val="9"/>
      </w:numPr>
    </w:pPr>
  </w:style>
  <w:style w:type="numbering" w:styleId="Imported Style 8">
    <w:name w:val="Imported Style 8"/>
    <w:pPr>
      <w:numPr>
        <w:numId w:val="11"/>
      </w:numPr>
    </w:pPr>
  </w:style>
  <w:style w:type="numbering" w:styleId="Imported Style 9">
    <w:name w:val="Imported Style 9"/>
    <w:pPr>
      <w:numPr>
        <w:numId w:val="13"/>
      </w:numPr>
    </w:pPr>
  </w:style>
  <w:style w:type="numbering" w:styleId="Imported Style 10">
    <w:name w:val="Imported Style 10"/>
    <w:pPr>
      <w:numPr>
        <w:numId w:val="1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1.jpeg"/><Relationship Id="rId25" Type="http://schemas.openxmlformats.org/officeDocument/2006/relationships/header" Target="header1.xml"/><Relationship Id="rId26" Type="http://schemas.openxmlformats.org/officeDocument/2006/relationships/footer" Target="footer1.xml"/><Relationship Id="rId27" Type="http://schemas.openxmlformats.org/officeDocument/2006/relationships/numbering" Target="numbering.xml"/><Relationship Id="rId2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