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line="36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Host genotype and macro-chromosomal inversions influence gene expression and microbiome assembly in a complex holobiont</w:t>
      </w:r>
    </w:p>
    <w:p w:rsidR="00000000" w:rsidDel="00000000" w:rsidP="00000000" w:rsidRDefault="00000000" w:rsidRPr="00000000" w14:paraId="00000002">
      <w:pPr>
        <w:spacing w:after="200" w:line="360" w:lineRule="auto"/>
        <w:jc w:val="both"/>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3">
      <w:pPr>
        <w:spacing w:after="200" w:line="360" w:lineRule="auto"/>
        <w:jc w:val="both"/>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SUPPLEMENTARY FIGURES</w:t>
      </w:r>
    </w:p>
    <w:p w:rsidR="00000000" w:rsidDel="00000000" w:rsidP="00000000" w:rsidRDefault="00000000" w:rsidRPr="00000000" w14:paraId="00000005">
      <w:pPr>
        <w:spacing w:line="360" w:lineRule="auto"/>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Pr>
        <w:drawing>
          <wp:inline distB="114300" distT="114300" distL="114300" distR="114300">
            <wp:extent cx="5760000" cy="5118100"/>
            <wp:effectExtent b="0" l="0" r="0" t="0"/>
            <wp:docPr id="6"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5760000" cy="51181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 | a) Identification of inversions using MDS </w:t>
      </w:r>
      <w:r w:rsidDel="00000000" w:rsidR="00000000" w:rsidRPr="00000000">
        <w:rPr>
          <w:rFonts w:ascii="Times New Roman" w:cs="Times New Roman" w:eastAsia="Times New Roman" w:hAnsi="Times New Roman"/>
          <w:sz w:val="20"/>
          <w:szCs w:val="20"/>
          <w:rtl w:val="0"/>
        </w:rPr>
        <w:t xml:space="preserve">analyses for Chr2 (a.1), Chr4 (a.2), Chr11 (a.3), and Chr16 (a.4). Each cluster in the first axis corresponds to a karyotype arrangement. The samples are colour coded by locality and the reference samples with known karyotype are coded in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greyscale.</w:t>
      </w:r>
    </w:p>
    <w:p w:rsidR="00000000" w:rsidDel="00000000" w:rsidP="00000000" w:rsidRDefault="00000000" w:rsidRPr="00000000" w14:paraId="0000000B">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760000" cy="3276600"/>
            <wp:effectExtent b="0" l="0" r="0" t="0"/>
            <wp:docPr id="5"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760000" cy="32766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 | a) Genetic differentiation based on SNP genotyping  from RNAseq data for the 15 </w:t>
      </w:r>
      <w:r w:rsidDel="00000000" w:rsidR="00000000" w:rsidRPr="00000000">
        <w:rPr>
          <w:rFonts w:ascii="Times New Roman" w:cs="Times New Roman" w:eastAsia="Times New Roman" w:hAnsi="Times New Roman"/>
          <w:b w:val="1"/>
          <w:bCs w:val="1"/>
          <w:i w:val="1"/>
          <w:iCs w:val="1"/>
          <w:sz w:val="20"/>
          <w:szCs w:val="20"/>
          <w:rtl w:val="0"/>
        </w:rPr>
        <w:t xml:space="preserve">S. plicata</w:t>
      </w:r>
      <w:r w:rsidDel="00000000" w:rsidR="00000000" w:rsidRPr="00000000">
        <w:rPr>
          <w:rFonts w:ascii="Times New Roman" w:cs="Times New Roman" w:eastAsia="Times New Roman" w:hAnsi="Times New Roman"/>
          <w:b w:val="1"/>
          <w:bCs w:val="1"/>
          <w:sz w:val="20"/>
          <w:szCs w:val="20"/>
          <w:rtl w:val="0"/>
        </w:rPr>
        <w:t xml:space="preserve"> samples.</w:t>
      </w:r>
      <w:r w:rsidDel="00000000" w:rsidR="00000000" w:rsidRPr="00000000">
        <w:rPr>
          <w:rFonts w:ascii="Times New Roman" w:cs="Times New Roman" w:eastAsia="Times New Roman" w:hAnsi="Times New Roman"/>
          <w:sz w:val="20"/>
          <w:szCs w:val="20"/>
          <w:rtl w:val="0"/>
        </w:rPr>
        <w:t xml:space="preserve"> Multidimensional scaling (MDS) of individuals with SNPs from chromosomes without inversions (a.1), Chr2 (a.2), Chr4 (a.3), Chr11 (a.4), and Chr16 (a.5).</w:t>
      </w:r>
    </w:p>
    <w:p w:rsidR="00000000" w:rsidDel="00000000" w:rsidP="00000000" w:rsidRDefault="00000000" w:rsidRPr="00000000" w14:paraId="0000000E">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2880000" cy="2592000"/>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880000" cy="25920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S3 | </w:t>
      </w:r>
      <w:r w:rsidDel="00000000" w:rsidR="00000000" w:rsidRPr="00000000">
        <w:rPr>
          <w:rFonts w:ascii="Times New Roman" w:cs="Times New Roman" w:eastAsia="Times New Roman" w:hAnsi="Times New Roman"/>
          <w:b w:val="1"/>
          <w:bCs w:val="1"/>
          <w:sz w:val="20"/>
          <w:szCs w:val="20"/>
          <w:rtl w:val="0"/>
        </w:rPr>
        <w:t xml:space="preserve">a) </w:t>
      </w:r>
      <w:r w:rsidDel="00000000" w:rsidR="00000000" w:rsidRPr="00000000">
        <w:rPr>
          <w:rFonts w:ascii="Times New Roman" w:cs="Times New Roman" w:eastAsia="Times New Roman" w:hAnsi="Times New Roman"/>
          <w:b w:val="1"/>
          <w:bCs w:val="1"/>
          <w:sz w:val="20"/>
          <w:szCs w:val="20"/>
          <w:rtl w:val="0"/>
        </w:rPr>
        <w:t xml:space="preserve">Transcriptome expression for </w:t>
      </w:r>
      <w:r w:rsidDel="00000000" w:rsidR="00000000" w:rsidRPr="00000000">
        <w:rPr>
          <w:rFonts w:ascii="Times New Roman" w:cs="Times New Roman" w:eastAsia="Times New Roman" w:hAnsi="Times New Roman"/>
          <w:b w:val="1"/>
          <w:bCs w:val="1"/>
          <w:i w:val="1"/>
          <w:iCs w:val="1"/>
          <w:sz w:val="20"/>
          <w:szCs w:val="20"/>
          <w:rtl w:val="0"/>
        </w:rPr>
        <w:t xml:space="preserve">S. plicata</w:t>
      </w:r>
      <w:r w:rsidDel="00000000" w:rsidR="00000000" w:rsidRPr="00000000">
        <w:rPr>
          <w:rFonts w:ascii="Times New Roman" w:cs="Times New Roman" w:eastAsia="Times New Roman" w:hAnsi="Times New Roman"/>
          <w:b w:val="1"/>
          <w:bCs w:val="1"/>
          <w:sz w:val="20"/>
          <w:szCs w:val="20"/>
          <w:rtl w:val="0"/>
        </w:rPr>
        <w:t xml:space="preserve"> samples using all RNAseq data.</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760000" cy="3784600"/>
            <wp:effectExtent b="0" l="0" r="0" t="0"/>
            <wp:docPr id="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60000" cy="37846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S4 | a) Differential expression patterns of </w:t>
      </w:r>
      <w:r w:rsidDel="00000000" w:rsidR="00000000" w:rsidRPr="00000000">
        <w:rPr>
          <w:rFonts w:ascii="Times New Roman" w:cs="Times New Roman" w:eastAsia="Times New Roman" w:hAnsi="Times New Roman"/>
          <w:b w:val="1"/>
          <w:bCs w:val="1"/>
          <w:i w:val="1"/>
          <w:iCs w:val="1"/>
          <w:sz w:val="20"/>
          <w:szCs w:val="20"/>
          <w:rtl w:val="0"/>
        </w:rPr>
        <w:t xml:space="preserve">S. plicata</w:t>
      </w:r>
      <w:r w:rsidDel="00000000" w:rsidR="00000000" w:rsidRPr="00000000">
        <w:rPr>
          <w:rFonts w:ascii="Times New Roman" w:cs="Times New Roman" w:eastAsia="Times New Roman" w:hAnsi="Times New Roman"/>
          <w:b w:val="1"/>
          <w:bCs w:val="1"/>
          <w:sz w:val="20"/>
          <w:szCs w:val="20"/>
          <w:rtl w:val="0"/>
        </w:rPr>
        <w:t xml:space="preserve"> represented as vectorised PCAs for the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Population model (a.1), the Chr2 model (a.2), the Chr4 model (a.3), the Chr11 model (a.4), and the Chr16 model (a.5). Note that each arrow corresponds to the weight of a differentially expressed gene on the PCA.</w:t>
      </w:r>
    </w:p>
    <w:p w:rsidR="00000000" w:rsidDel="00000000" w:rsidP="00000000" w:rsidRDefault="00000000" w:rsidRPr="00000000" w14:paraId="00000018">
      <w:pPr>
        <w:spacing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760000" cy="6146800"/>
            <wp:effectExtent b="0" l="0" r="0" t="0"/>
            <wp:docPr id="2"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760000" cy="61468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S5 | Alpha diversity across populations and karyotypes</w:t>
      </w:r>
      <w:r w:rsidDel="00000000" w:rsidR="00000000" w:rsidRPr="00000000">
        <w:rPr>
          <w:rFonts w:ascii="Times New Roman" w:cs="Times New Roman" w:eastAsia="Times New Roman" w:hAnsi="Times New Roman"/>
          <w:sz w:val="20"/>
          <w:szCs w:val="20"/>
          <w:rtl w:val="0"/>
        </w:rPr>
        <w:t xml:space="preserve">. Boxplots show ASV richness (left column) and Shannon’s diversity index (right column) for samples grouped </w:t>
      </w:r>
      <w:r w:rsidDel="00000000" w:rsidR="00000000" w:rsidRPr="00000000">
        <w:rPr>
          <w:rFonts w:ascii="Times New Roman" w:cs="Times New Roman" w:eastAsia="Times New Roman" w:hAnsi="Times New Roman"/>
          <w:sz w:val="20"/>
          <w:szCs w:val="20"/>
          <w:rtl w:val="0"/>
        </w:rPr>
        <w:t xml:space="preserve">by Population</w:t>
      </w:r>
      <w:r w:rsidDel="00000000" w:rsidR="00000000" w:rsidRPr="00000000">
        <w:rPr>
          <w:rFonts w:ascii="Times New Roman" w:cs="Times New Roman" w:eastAsia="Times New Roman" w:hAnsi="Times New Roman"/>
          <w:sz w:val="20"/>
          <w:szCs w:val="20"/>
          <w:rtl w:val="0"/>
        </w:rPr>
        <w:t xml:space="preserve"> (a.1) and karyotype for Chr2 (a.2), Chr4 (a.3), Chr11 (a.4), and Chr16 (a.5). Boxes indicate interquartile ranges with medians. Asterisks in the top-left corner of each panel indicate significant differences among represented groups.</w:t>
      </w:r>
      <w:r w:rsidDel="00000000" w:rsidR="00000000" w:rsidRPr="00000000">
        <w:br w:type="page"/>
      </w:r>
      <w:r w:rsidDel="00000000" w:rsidR="00000000" w:rsidRPr="00000000">
        <w:rPr>
          <w:rtl w:val="0"/>
        </w:rPr>
      </w:r>
    </w:p>
    <w:p w:rsidR="00000000" w:rsidDel="00000000" w:rsidP="00000000" w:rsidRDefault="00000000" w:rsidRPr="00000000" w14:paraId="0000001B">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760000" cy="5486400"/>
            <wp:effectExtent b="0" l="0" r="0" t="0"/>
            <wp:docPr id="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60000" cy="54864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Figure S6 | a) </w:t>
      </w:r>
      <w:r w:rsidDel="00000000" w:rsidR="00000000" w:rsidRPr="00000000">
        <w:rPr>
          <w:rFonts w:ascii="Times New Roman" w:cs="Times New Roman" w:eastAsia="Times New Roman" w:hAnsi="Times New Roman"/>
          <w:b w:val="1"/>
          <w:bCs w:val="1"/>
          <w:sz w:val="20"/>
          <w:szCs w:val="20"/>
          <w:rtl w:val="0"/>
        </w:rPr>
        <w:t xml:space="preserve">Host-associated</w:t>
      </w:r>
      <w:r w:rsidDel="00000000" w:rsidR="00000000" w:rsidRPr="00000000">
        <w:rPr>
          <w:rFonts w:ascii="Times New Roman" w:cs="Times New Roman" w:eastAsia="Times New Roman" w:hAnsi="Times New Roman"/>
          <w:b w:val="1"/>
          <w:bCs w:val="1"/>
          <w:sz w:val="20"/>
          <w:szCs w:val="20"/>
          <w:rtl w:val="0"/>
        </w:rPr>
        <w:t xml:space="preserve"> functions of iASV bacteria</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a.1)</w:t>
      </w:r>
      <w:r w:rsidDel="00000000" w:rsidR="00000000" w:rsidRPr="00000000">
        <w:rPr>
          <w:rFonts w:ascii="Times New Roman" w:cs="Times New Roman" w:eastAsia="Times New Roman" w:hAnsi="Times New Roman"/>
          <w:sz w:val="20"/>
          <w:szCs w:val="20"/>
          <w:rtl w:val="0"/>
        </w:rPr>
        <w:t xml:space="preserve"> KEGG repertoire of iASVs whose genome could be recovered through GTDB. KEGG names in red correspond to symbiont lifestyle functions, KEGG names in blue correspond to parasitic and or pathogenic functions, and KEGG names in green correspond to host-dependent (symbiont and pathogen) lifestyle functions. </w:t>
      </w:r>
      <w:r w:rsidDel="00000000" w:rsidR="00000000" w:rsidRPr="00000000">
        <w:rPr>
          <w:rFonts w:ascii="Times New Roman" w:cs="Times New Roman" w:eastAsia="Times New Roman" w:hAnsi="Times New Roman"/>
          <w:b w:val="1"/>
          <w:bCs w:val="1"/>
          <w:sz w:val="20"/>
          <w:szCs w:val="20"/>
          <w:rtl w:val="0"/>
        </w:rPr>
        <w:t xml:space="preserve">a.2) </w:t>
      </w:r>
      <w:r w:rsidDel="00000000" w:rsidR="00000000" w:rsidRPr="00000000">
        <w:rPr>
          <w:rFonts w:ascii="Times New Roman" w:cs="Times New Roman" w:eastAsia="Times New Roman" w:hAnsi="Times New Roman"/>
          <w:sz w:val="20"/>
          <w:szCs w:val="20"/>
          <w:rtl w:val="0"/>
        </w:rPr>
        <w:t xml:space="preserve">Principal components analysis (PCA) based on the presence of KEGGs involved in microbial interactions with the host, representing the functional gene composition of iASVs with a representative GTDB genome. </w:t>
      </w:r>
      <w:r w:rsidDel="00000000" w:rsidR="00000000" w:rsidRPr="00000000">
        <w:br w:type="page"/>
      </w: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Pr>
        <w:drawing>
          <wp:inline distB="114300" distT="114300" distL="114300" distR="114300">
            <wp:extent cx="5760000" cy="2667000"/>
            <wp:effectExtent b="0" l="0" r="0" t="0"/>
            <wp:docPr id="4"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7600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S7 | </w:t>
      </w:r>
      <w:r w:rsidDel="00000000" w:rsidR="00000000" w:rsidRPr="00000000">
        <w:rPr>
          <w:rFonts w:ascii="Times New Roman" w:cs="Times New Roman" w:eastAsia="Times New Roman" w:hAnsi="Times New Roman"/>
          <w:b w:val="1"/>
          <w:bCs w:val="1"/>
          <w:sz w:val="20"/>
          <w:szCs w:val="20"/>
          <w:rtl w:val="0"/>
        </w:rPr>
        <w:t xml:space="preserve">Host-associated functions</w:t>
      </w:r>
      <w:r w:rsidDel="00000000" w:rsidR="00000000" w:rsidRPr="00000000">
        <w:rPr>
          <w:rFonts w:ascii="Times New Roman" w:cs="Times New Roman" w:eastAsia="Times New Roman" w:hAnsi="Times New Roman"/>
          <w:b w:val="1"/>
          <w:bCs w:val="1"/>
          <w:sz w:val="20"/>
          <w:szCs w:val="20"/>
          <w:rtl w:val="0"/>
        </w:rPr>
        <w:t xml:space="preserve"> of the iASVcorrelated with DEGs</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a.1)</w:t>
      </w:r>
      <w:r w:rsidDel="00000000" w:rsidR="00000000" w:rsidRPr="00000000">
        <w:rPr>
          <w:rFonts w:ascii="Times New Roman" w:cs="Times New Roman" w:eastAsia="Times New Roman" w:hAnsi="Times New Roman"/>
          <w:sz w:val="20"/>
          <w:szCs w:val="20"/>
          <w:rtl w:val="0"/>
        </w:rPr>
        <w:t xml:space="preserve"> KEGG repertoire of iASVs whose genome could be recovered through GTDB. KEGG names in red correspond to symbiont lifestyle functions, KEGG names in blue correspond to parasitic and or pathogenic functions, and KEGG names in green correspond to host-dependent (symbiont and pathogen) lifestyle functions. </w:t>
      </w:r>
      <w:r w:rsidDel="00000000" w:rsidR="00000000" w:rsidRPr="00000000">
        <w:rPr>
          <w:rFonts w:ascii="Times New Roman" w:cs="Times New Roman" w:eastAsia="Times New Roman" w:hAnsi="Times New Roman"/>
          <w:b w:val="1"/>
          <w:bCs w:val="1"/>
          <w:sz w:val="20"/>
          <w:szCs w:val="20"/>
          <w:rtl w:val="0"/>
        </w:rPr>
        <w:t xml:space="preserve">a.2) </w:t>
      </w:r>
      <w:r w:rsidDel="00000000" w:rsidR="00000000" w:rsidRPr="00000000">
        <w:rPr>
          <w:rFonts w:ascii="Times New Roman" w:cs="Times New Roman" w:eastAsia="Times New Roman" w:hAnsi="Times New Roman"/>
          <w:sz w:val="20"/>
          <w:szCs w:val="20"/>
          <w:rtl w:val="0"/>
        </w:rPr>
        <w:t xml:space="preserve">Principal components analysis (PCA) based on the presence of KEGGs involved in microbial interactions with the host, representing the functional gene composition of representative genomes of correlated iASVs.</w:t>
      </w:r>
    </w:p>
    <w:sectPr>
      <w:pgSz w:h="16838" w:w="11906" w:orient="portrait"/>
      <w:pgMar w:bottom="1440.0000000000002" w:top="1440.0000000000002"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6.png"/><Relationship Id="rId12"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image" Target="media/image5.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