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95842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b/>
          <w:bCs/>
          <w:i/>
          <w:iCs/>
          <w:lang w:val="en-GB"/>
        </w:rPr>
      </w:pPr>
      <w:r>
        <w:rPr>
          <w:rFonts w:ascii="Times New Roman" w:hAnsi="Times New Roman"/>
          <w:b/>
          <w:bCs/>
          <w:i/>
          <w:iCs/>
          <w:noProof/>
          <w:lang w:val="en-GB"/>
        </w:rPr>
        <w:drawing>
          <wp:inline distT="0" distB="0" distL="0" distR="0" wp14:anchorId="27865E6B" wp14:editId="7858EB62">
            <wp:extent cx="5400000" cy="8303646"/>
            <wp:effectExtent l="0" t="0" r="0" b="0"/>
            <wp:docPr id="1334688264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303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ABC3E7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b/>
          <w:bCs/>
          <w:i/>
          <w:iCs/>
          <w:lang w:val="en-GB"/>
        </w:rPr>
      </w:pPr>
    </w:p>
    <w:p w14:paraId="7E874C48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i/>
          <w:iCs/>
          <w:lang w:val="en-GB"/>
        </w:rPr>
      </w:pPr>
      <w:r w:rsidRPr="00C96938">
        <w:rPr>
          <w:rFonts w:ascii="Times New Roman" w:hAnsi="Times New Roman"/>
          <w:b/>
          <w:bCs/>
          <w:i/>
          <w:iCs/>
          <w:lang w:val="en-GB"/>
        </w:rPr>
        <w:lastRenderedPageBreak/>
        <w:t xml:space="preserve">Supplementary Figure 1. </w:t>
      </w:r>
      <w:r w:rsidRPr="00C96938">
        <w:rPr>
          <w:rFonts w:ascii="Times New Roman" w:hAnsi="Times New Roman"/>
          <w:i/>
          <w:iCs/>
          <w:lang w:val="en-GB"/>
        </w:rPr>
        <w:t>mRNA expression of PDE4 isoforms in lumbar spinal cord of SOD1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G93A</w:t>
      </w:r>
      <w:r w:rsidRPr="00C96938">
        <w:rPr>
          <w:rFonts w:ascii="Times New Roman" w:hAnsi="Times New Roman"/>
          <w:i/>
          <w:iCs/>
          <w:lang w:val="en-GB"/>
        </w:rPr>
        <w:t xml:space="preserve"> and WT mice. mRNA expression of A1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A</w:t>
      </w:r>
      <w:r w:rsidRPr="00C96938">
        <w:rPr>
          <w:rFonts w:ascii="Times New Roman" w:hAnsi="Times New Roman"/>
          <w:i/>
          <w:iCs/>
          <w:lang w:val="en-GB"/>
        </w:rPr>
        <w:t>), B1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B</w:t>
      </w:r>
      <w:r w:rsidRPr="00C96938">
        <w:rPr>
          <w:rFonts w:ascii="Times New Roman" w:hAnsi="Times New Roman"/>
          <w:i/>
          <w:iCs/>
          <w:lang w:val="en-GB"/>
        </w:rPr>
        <w:t>), B2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C</w:t>
      </w:r>
      <w:r w:rsidRPr="00C96938">
        <w:rPr>
          <w:rFonts w:ascii="Times New Roman" w:hAnsi="Times New Roman"/>
          <w:i/>
          <w:iCs/>
          <w:lang w:val="en-GB"/>
        </w:rPr>
        <w:t>), B4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D</w:t>
      </w:r>
      <w:r w:rsidRPr="00C96938">
        <w:rPr>
          <w:rFonts w:ascii="Times New Roman" w:hAnsi="Times New Roman"/>
          <w:i/>
          <w:iCs/>
          <w:lang w:val="en-GB"/>
        </w:rPr>
        <w:t>), D1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E</w:t>
      </w:r>
      <w:r w:rsidRPr="00C96938">
        <w:rPr>
          <w:rFonts w:ascii="Times New Roman" w:hAnsi="Times New Roman"/>
          <w:i/>
          <w:iCs/>
          <w:lang w:val="en-GB"/>
        </w:rPr>
        <w:t>), D3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F</w:t>
      </w:r>
      <w:r w:rsidRPr="00C96938">
        <w:rPr>
          <w:rFonts w:ascii="Times New Roman" w:hAnsi="Times New Roman"/>
          <w:i/>
          <w:iCs/>
          <w:lang w:val="en-GB"/>
        </w:rPr>
        <w:t>), D4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G</w:t>
      </w:r>
      <w:r w:rsidRPr="00C96938">
        <w:rPr>
          <w:rFonts w:ascii="Times New Roman" w:hAnsi="Times New Roman"/>
          <w:i/>
          <w:iCs/>
          <w:lang w:val="en-GB"/>
        </w:rPr>
        <w:t>), D5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H</w:t>
      </w:r>
      <w:r w:rsidRPr="00C96938">
        <w:rPr>
          <w:rFonts w:ascii="Times New Roman" w:hAnsi="Times New Roman"/>
          <w:i/>
          <w:iCs/>
          <w:lang w:val="en-GB"/>
        </w:rPr>
        <w:t>), D6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I</w:t>
      </w:r>
      <w:r w:rsidRPr="00C96938">
        <w:rPr>
          <w:rFonts w:ascii="Times New Roman" w:hAnsi="Times New Roman"/>
          <w:i/>
          <w:iCs/>
          <w:lang w:val="en-GB"/>
        </w:rPr>
        <w:t>), D7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J</w:t>
      </w:r>
      <w:r w:rsidRPr="00C96938">
        <w:rPr>
          <w:rFonts w:ascii="Times New Roman" w:hAnsi="Times New Roman"/>
          <w:i/>
          <w:iCs/>
          <w:lang w:val="en-GB"/>
        </w:rPr>
        <w:t>), and D9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K</w:t>
      </w:r>
      <w:r w:rsidRPr="00C96938">
        <w:rPr>
          <w:rFonts w:ascii="Times New Roman" w:hAnsi="Times New Roman"/>
          <w:i/>
          <w:iCs/>
          <w:lang w:val="en-GB"/>
        </w:rPr>
        <w:t xml:space="preserve">) isoforms of PDE4 is reported as mean ± SEM of at least </w:t>
      </w:r>
      <w:r>
        <w:rPr>
          <w:rFonts w:ascii="Times New Roman" w:hAnsi="Times New Roman"/>
          <w:i/>
          <w:iCs/>
          <w:lang w:val="en-GB"/>
        </w:rPr>
        <w:t>7</w:t>
      </w:r>
      <w:r w:rsidRPr="00C96938">
        <w:rPr>
          <w:rFonts w:ascii="Times New Roman" w:hAnsi="Times New Roman"/>
          <w:i/>
          <w:iCs/>
          <w:lang w:val="en-GB"/>
        </w:rPr>
        <w:t xml:space="preserve"> independent experiments. Two-way ANOVA, followed by Tukey post-hoc test. **p&lt;0.01, and ***p&lt;0.001 vs the 30-day-old condition (within the genotype).</w:t>
      </w:r>
    </w:p>
    <w:p w14:paraId="77F34372" w14:textId="77777777" w:rsidR="005D1378" w:rsidRPr="00C96938" w:rsidRDefault="005D1378" w:rsidP="005D1378">
      <w:pPr>
        <w:spacing w:line="360" w:lineRule="auto"/>
        <w:ind w:right="-1"/>
        <w:jc w:val="center"/>
        <w:rPr>
          <w:rFonts w:ascii="Times New Roman" w:hAnsi="Times New Roman"/>
          <w:b/>
          <w:bCs/>
          <w:i/>
          <w:iCs/>
          <w:lang w:val="en-GB"/>
        </w:rPr>
      </w:pPr>
      <w:r>
        <w:rPr>
          <w:rFonts w:ascii="Times New Roman" w:hAnsi="Times New Roman"/>
          <w:b/>
          <w:bCs/>
          <w:i/>
          <w:iCs/>
          <w:noProof/>
          <w:lang w:val="en-GB"/>
        </w:rPr>
        <w:lastRenderedPageBreak/>
        <w:drawing>
          <wp:inline distT="0" distB="0" distL="0" distR="0" wp14:anchorId="0F496D7B" wp14:editId="09E02E32">
            <wp:extent cx="5400000" cy="8230485"/>
            <wp:effectExtent l="0" t="0" r="0" b="0"/>
            <wp:docPr id="51989013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230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6F5A55" w14:textId="77777777" w:rsidR="005D1378" w:rsidRDefault="005D1378" w:rsidP="005D1378">
      <w:pPr>
        <w:spacing w:line="360" w:lineRule="auto"/>
        <w:ind w:right="-1"/>
        <w:jc w:val="both"/>
        <w:rPr>
          <w:rFonts w:ascii="Times New Roman" w:hAnsi="Times New Roman"/>
          <w:b/>
          <w:bCs/>
          <w:i/>
          <w:iCs/>
          <w:lang w:val="en-GB"/>
        </w:rPr>
      </w:pPr>
    </w:p>
    <w:p w14:paraId="2CE95AB4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i/>
          <w:iCs/>
          <w:lang w:val="en-GB"/>
        </w:rPr>
      </w:pPr>
      <w:r w:rsidRPr="00C96938">
        <w:rPr>
          <w:rFonts w:ascii="Times New Roman" w:hAnsi="Times New Roman"/>
          <w:b/>
          <w:bCs/>
          <w:i/>
          <w:iCs/>
          <w:lang w:val="en-GB"/>
        </w:rPr>
        <w:lastRenderedPageBreak/>
        <w:t xml:space="preserve">Supplementary Figure 2. </w:t>
      </w:r>
      <w:r w:rsidRPr="00C96938">
        <w:rPr>
          <w:rFonts w:ascii="Times New Roman" w:hAnsi="Times New Roman"/>
          <w:i/>
          <w:iCs/>
          <w:lang w:val="en-GB"/>
        </w:rPr>
        <w:t>mRNA expression of PDE4 isoforms in thoracic spinal cord of SOD1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G93A</w:t>
      </w:r>
      <w:r w:rsidRPr="00C96938">
        <w:rPr>
          <w:rFonts w:ascii="Times New Roman" w:hAnsi="Times New Roman"/>
          <w:i/>
          <w:iCs/>
          <w:lang w:val="en-GB"/>
        </w:rPr>
        <w:t xml:space="preserve"> and WT mice. mRNA expression of A1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A</w:t>
      </w:r>
      <w:r w:rsidRPr="00C96938">
        <w:rPr>
          <w:rFonts w:ascii="Times New Roman" w:hAnsi="Times New Roman"/>
          <w:i/>
          <w:iCs/>
          <w:lang w:val="en-GB"/>
        </w:rPr>
        <w:t>), B1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B</w:t>
      </w:r>
      <w:r w:rsidRPr="00C96938">
        <w:rPr>
          <w:rFonts w:ascii="Times New Roman" w:hAnsi="Times New Roman"/>
          <w:i/>
          <w:iCs/>
          <w:lang w:val="en-GB"/>
        </w:rPr>
        <w:t>), B2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C</w:t>
      </w:r>
      <w:r w:rsidRPr="00C96938">
        <w:rPr>
          <w:rFonts w:ascii="Times New Roman" w:hAnsi="Times New Roman"/>
          <w:i/>
          <w:iCs/>
          <w:lang w:val="en-GB"/>
        </w:rPr>
        <w:t>), D1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D</w:t>
      </w:r>
      <w:r w:rsidRPr="00C96938">
        <w:rPr>
          <w:rFonts w:ascii="Times New Roman" w:hAnsi="Times New Roman"/>
          <w:i/>
          <w:iCs/>
          <w:lang w:val="en-GB"/>
        </w:rPr>
        <w:t>), D3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E</w:t>
      </w:r>
      <w:r w:rsidRPr="00C96938">
        <w:rPr>
          <w:rFonts w:ascii="Times New Roman" w:hAnsi="Times New Roman"/>
          <w:i/>
          <w:iCs/>
          <w:lang w:val="en-GB"/>
        </w:rPr>
        <w:t>), D4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F</w:t>
      </w:r>
      <w:r w:rsidRPr="00C96938">
        <w:rPr>
          <w:rFonts w:ascii="Times New Roman" w:hAnsi="Times New Roman"/>
          <w:i/>
          <w:iCs/>
          <w:lang w:val="en-GB"/>
        </w:rPr>
        <w:t>), D5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G</w:t>
      </w:r>
      <w:r w:rsidRPr="00C96938">
        <w:rPr>
          <w:rFonts w:ascii="Times New Roman" w:hAnsi="Times New Roman"/>
          <w:i/>
          <w:iCs/>
          <w:lang w:val="en-GB"/>
        </w:rPr>
        <w:t>), D6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H</w:t>
      </w:r>
      <w:r w:rsidRPr="00C96938">
        <w:rPr>
          <w:rFonts w:ascii="Times New Roman" w:hAnsi="Times New Roman"/>
          <w:i/>
          <w:iCs/>
          <w:lang w:val="en-GB"/>
        </w:rPr>
        <w:t>), D7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I</w:t>
      </w:r>
      <w:r w:rsidRPr="00C96938">
        <w:rPr>
          <w:rFonts w:ascii="Times New Roman" w:hAnsi="Times New Roman"/>
          <w:i/>
          <w:iCs/>
          <w:lang w:val="en-GB"/>
        </w:rPr>
        <w:t>), and D9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J</w:t>
      </w:r>
      <w:r w:rsidRPr="00C96938">
        <w:rPr>
          <w:rFonts w:ascii="Times New Roman" w:hAnsi="Times New Roman"/>
          <w:i/>
          <w:iCs/>
          <w:lang w:val="en-GB"/>
        </w:rPr>
        <w:t xml:space="preserve">) isoforms of PDE4 is reported as mean ± SEM of at least </w:t>
      </w:r>
      <w:r>
        <w:rPr>
          <w:rFonts w:ascii="Times New Roman" w:hAnsi="Times New Roman"/>
          <w:i/>
          <w:iCs/>
          <w:lang w:val="en-GB"/>
        </w:rPr>
        <w:t>7</w:t>
      </w:r>
      <w:r w:rsidRPr="00C96938">
        <w:rPr>
          <w:rFonts w:ascii="Times New Roman" w:hAnsi="Times New Roman"/>
          <w:i/>
          <w:iCs/>
          <w:lang w:val="en-GB"/>
        </w:rPr>
        <w:t xml:space="preserve"> independent experiments. Two-way ANOVA, followed by Tukey post-hoc test. *p&lt;0.05 and **p&lt;0.01 vs the 30-day-old condition (within the genotype); 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#</w:t>
      </w:r>
      <w:r w:rsidRPr="00C96938">
        <w:rPr>
          <w:rFonts w:ascii="Times New Roman" w:hAnsi="Times New Roman"/>
          <w:i/>
          <w:iCs/>
          <w:lang w:val="en-GB"/>
        </w:rPr>
        <w:t>p&lt;0.05 vs the 90-day-old condition (within the genotype).</w:t>
      </w:r>
    </w:p>
    <w:p w14:paraId="58EF41CB" w14:textId="77777777" w:rsidR="005D1378" w:rsidRPr="00C96938" w:rsidRDefault="005D1378" w:rsidP="005D1378">
      <w:pPr>
        <w:spacing w:line="360" w:lineRule="auto"/>
        <w:ind w:right="-1"/>
        <w:jc w:val="center"/>
        <w:rPr>
          <w:rFonts w:ascii="Times New Roman" w:hAnsi="Times New Roman"/>
          <w:lang w:val="en-GB"/>
        </w:rPr>
      </w:pPr>
      <w:r>
        <w:rPr>
          <w:rFonts w:ascii="Times New Roman" w:hAnsi="Times New Roman"/>
          <w:noProof/>
          <w:lang w:val="en-GB"/>
        </w:rPr>
        <w:drawing>
          <wp:inline distT="0" distB="0" distL="0" distR="0" wp14:anchorId="3DBD5210" wp14:editId="28381090">
            <wp:extent cx="5400000" cy="6015300"/>
            <wp:effectExtent l="0" t="0" r="0" b="0"/>
            <wp:docPr id="29168058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0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BFA56" w14:textId="77777777" w:rsidR="005D1378" w:rsidRDefault="005D1378" w:rsidP="005D1378">
      <w:pPr>
        <w:spacing w:line="360" w:lineRule="auto"/>
        <w:ind w:right="-1"/>
        <w:jc w:val="both"/>
        <w:rPr>
          <w:rFonts w:ascii="Times New Roman" w:hAnsi="Times New Roman"/>
          <w:b/>
          <w:bCs/>
          <w:i/>
          <w:iCs/>
          <w:lang w:val="en-GB"/>
        </w:rPr>
      </w:pPr>
    </w:p>
    <w:p w14:paraId="5F7F9D2B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i/>
          <w:iCs/>
          <w:lang w:val="en-GB"/>
        </w:rPr>
      </w:pPr>
      <w:r w:rsidRPr="00C96938">
        <w:rPr>
          <w:rFonts w:ascii="Times New Roman" w:hAnsi="Times New Roman"/>
          <w:b/>
          <w:bCs/>
          <w:i/>
          <w:iCs/>
          <w:lang w:val="en-GB"/>
        </w:rPr>
        <w:t xml:space="preserve">Supplementary Figure 3. </w:t>
      </w:r>
      <w:r w:rsidRPr="00C96938">
        <w:rPr>
          <w:rFonts w:ascii="Times New Roman" w:hAnsi="Times New Roman"/>
          <w:i/>
          <w:iCs/>
          <w:lang w:val="en-GB"/>
        </w:rPr>
        <w:t>mRNA expression of PDE4 isoforms in cervical spinal cord of SOD1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G93A</w:t>
      </w:r>
      <w:r w:rsidRPr="00C96938">
        <w:rPr>
          <w:rFonts w:ascii="Times New Roman" w:hAnsi="Times New Roman"/>
          <w:i/>
          <w:iCs/>
          <w:lang w:val="en-GB"/>
        </w:rPr>
        <w:t xml:space="preserve"> and WT mice. mRNA expression of A11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A</w:t>
      </w:r>
      <w:r w:rsidRPr="00C96938">
        <w:rPr>
          <w:rFonts w:ascii="Times New Roman" w:hAnsi="Times New Roman"/>
          <w:i/>
          <w:iCs/>
          <w:lang w:val="en-GB"/>
        </w:rPr>
        <w:t>), B2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B</w:t>
      </w:r>
      <w:r w:rsidRPr="00C96938">
        <w:rPr>
          <w:rFonts w:ascii="Times New Roman" w:hAnsi="Times New Roman"/>
          <w:i/>
          <w:iCs/>
          <w:lang w:val="en-GB"/>
        </w:rPr>
        <w:t>), B4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C</w:t>
      </w:r>
      <w:r w:rsidRPr="00C96938">
        <w:rPr>
          <w:rFonts w:ascii="Times New Roman" w:hAnsi="Times New Roman"/>
          <w:i/>
          <w:iCs/>
          <w:lang w:val="en-GB"/>
        </w:rPr>
        <w:t>), and B5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D</w:t>
      </w:r>
      <w:r w:rsidRPr="00C96938">
        <w:rPr>
          <w:rFonts w:ascii="Times New Roman" w:hAnsi="Times New Roman"/>
          <w:i/>
          <w:iCs/>
          <w:lang w:val="en-GB"/>
        </w:rPr>
        <w:t xml:space="preserve">) isoforms of </w:t>
      </w:r>
      <w:r w:rsidRPr="00C96938">
        <w:rPr>
          <w:rFonts w:ascii="Times New Roman" w:hAnsi="Times New Roman"/>
          <w:i/>
          <w:iCs/>
          <w:lang w:val="en-GB"/>
        </w:rPr>
        <w:lastRenderedPageBreak/>
        <w:t xml:space="preserve">PDE4 is reported as mean ± SEM of at least </w:t>
      </w:r>
      <w:r>
        <w:rPr>
          <w:rFonts w:ascii="Times New Roman" w:hAnsi="Times New Roman"/>
          <w:i/>
          <w:iCs/>
          <w:lang w:val="en-GB"/>
        </w:rPr>
        <w:t>7</w:t>
      </w:r>
      <w:r w:rsidRPr="00C96938">
        <w:rPr>
          <w:rFonts w:ascii="Times New Roman" w:hAnsi="Times New Roman"/>
          <w:i/>
          <w:iCs/>
          <w:lang w:val="en-GB"/>
        </w:rPr>
        <w:t xml:space="preserve"> independent experiments. Two-way ANOVA, followed by Tukey post-hoc test. *p&lt;0.05 and ***p&lt;0.001 vs the 30-day-old condition (within the genotype); 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#</w:t>
      </w:r>
      <w:r w:rsidRPr="00C96938">
        <w:rPr>
          <w:rFonts w:ascii="Times New Roman" w:hAnsi="Times New Roman"/>
          <w:i/>
          <w:iCs/>
          <w:lang w:val="en-GB"/>
        </w:rPr>
        <w:t>p&lt;0.05 vs the 90-day-old condition (within the genotype).</w:t>
      </w:r>
    </w:p>
    <w:p w14:paraId="1765DF23" w14:textId="77777777" w:rsidR="005D1378" w:rsidRPr="00C96938" w:rsidRDefault="005D1378" w:rsidP="005D1378">
      <w:pPr>
        <w:spacing w:line="360" w:lineRule="auto"/>
        <w:ind w:right="-1"/>
        <w:jc w:val="center"/>
        <w:rPr>
          <w:rFonts w:ascii="Times New Roman" w:hAnsi="Times New Roman"/>
          <w:color w:val="0070C0"/>
          <w:lang w:val="en-GB"/>
        </w:rPr>
      </w:pPr>
      <w:r>
        <w:rPr>
          <w:rFonts w:ascii="Times New Roman" w:hAnsi="Times New Roman"/>
          <w:noProof/>
          <w:color w:val="0070C0"/>
          <w:lang w:val="en-GB"/>
        </w:rPr>
        <w:lastRenderedPageBreak/>
        <w:drawing>
          <wp:inline distT="0" distB="0" distL="0" distR="0" wp14:anchorId="1254B142" wp14:editId="332832F8">
            <wp:extent cx="5400000" cy="8353157"/>
            <wp:effectExtent l="0" t="0" r="0" b="0"/>
            <wp:docPr id="122027899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353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2E03CD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i/>
          <w:iCs/>
          <w:vertAlign w:val="superscript"/>
          <w:lang w:val="en-GB"/>
        </w:rPr>
      </w:pPr>
      <w:r w:rsidRPr="00C96938">
        <w:rPr>
          <w:rFonts w:ascii="Times New Roman" w:hAnsi="Times New Roman"/>
          <w:b/>
          <w:bCs/>
          <w:i/>
          <w:iCs/>
          <w:lang w:val="en-GB"/>
        </w:rPr>
        <w:lastRenderedPageBreak/>
        <w:t xml:space="preserve">Supplementary Figure 4. </w:t>
      </w:r>
      <w:r w:rsidRPr="00C96938">
        <w:rPr>
          <w:rFonts w:ascii="Times New Roman" w:hAnsi="Times New Roman"/>
          <w:i/>
          <w:iCs/>
          <w:lang w:val="en-GB"/>
        </w:rPr>
        <w:t>mRNA expression of PDE4 isoforms in motor cortex of SOD1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G93A</w:t>
      </w:r>
      <w:r w:rsidRPr="00C96938">
        <w:rPr>
          <w:rFonts w:ascii="Times New Roman" w:hAnsi="Times New Roman"/>
          <w:i/>
          <w:iCs/>
          <w:lang w:val="en-GB"/>
        </w:rPr>
        <w:t xml:space="preserve"> and WT mice. PCA loading plot of mRNA expression data is reported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A</w:t>
      </w:r>
      <w:r w:rsidRPr="00C96938">
        <w:rPr>
          <w:rFonts w:ascii="Times New Roman" w:hAnsi="Times New Roman"/>
          <w:i/>
          <w:iCs/>
          <w:lang w:val="en-GB"/>
        </w:rPr>
        <w:t>). mRNA expression of A1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B</w:t>
      </w:r>
      <w:r w:rsidRPr="00C96938">
        <w:rPr>
          <w:rFonts w:ascii="Times New Roman" w:hAnsi="Times New Roman"/>
          <w:i/>
          <w:iCs/>
          <w:lang w:val="en-GB"/>
        </w:rPr>
        <w:t>), A11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C</w:t>
      </w:r>
      <w:r w:rsidRPr="00C96938">
        <w:rPr>
          <w:rFonts w:ascii="Times New Roman" w:hAnsi="Times New Roman"/>
          <w:i/>
          <w:iCs/>
          <w:lang w:val="en-GB"/>
        </w:rPr>
        <w:t>), B1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D</w:t>
      </w:r>
      <w:r w:rsidRPr="00C96938">
        <w:rPr>
          <w:rFonts w:ascii="Times New Roman" w:hAnsi="Times New Roman"/>
          <w:i/>
          <w:iCs/>
          <w:lang w:val="en-GB"/>
        </w:rPr>
        <w:t>), B2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E</w:t>
      </w:r>
      <w:r w:rsidRPr="00C96938">
        <w:rPr>
          <w:rFonts w:ascii="Times New Roman" w:hAnsi="Times New Roman"/>
          <w:i/>
          <w:iCs/>
          <w:lang w:val="en-GB"/>
        </w:rPr>
        <w:t>), B4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F</w:t>
      </w:r>
      <w:r w:rsidRPr="00C96938">
        <w:rPr>
          <w:rFonts w:ascii="Times New Roman" w:hAnsi="Times New Roman"/>
          <w:i/>
          <w:iCs/>
          <w:lang w:val="en-GB"/>
        </w:rPr>
        <w:t>), B5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G</w:t>
      </w:r>
      <w:r w:rsidRPr="00C96938">
        <w:rPr>
          <w:rFonts w:ascii="Times New Roman" w:hAnsi="Times New Roman"/>
          <w:i/>
          <w:iCs/>
          <w:lang w:val="en-GB"/>
        </w:rPr>
        <w:t>), D1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H</w:t>
      </w:r>
      <w:r w:rsidRPr="00C96938">
        <w:rPr>
          <w:rFonts w:ascii="Times New Roman" w:hAnsi="Times New Roman"/>
          <w:i/>
          <w:iCs/>
          <w:lang w:val="en-GB"/>
        </w:rPr>
        <w:t>), D3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I</w:t>
      </w:r>
      <w:r w:rsidRPr="00C96938">
        <w:rPr>
          <w:rFonts w:ascii="Times New Roman" w:hAnsi="Times New Roman"/>
          <w:i/>
          <w:iCs/>
          <w:lang w:val="en-GB"/>
        </w:rPr>
        <w:t>), D4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J</w:t>
      </w:r>
      <w:r w:rsidRPr="00C96938">
        <w:rPr>
          <w:rFonts w:ascii="Times New Roman" w:hAnsi="Times New Roman"/>
          <w:i/>
          <w:iCs/>
          <w:lang w:val="en-GB"/>
        </w:rPr>
        <w:t>), D5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K</w:t>
      </w:r>
      <w:r w:rsidRPr="00C96938">
        <w:rPr>
          <w:rFonts w:ascii="Times New Roman" w:hAnsi="Times New Roman"/>
          <w:i/>
          <w:iCs/>
          <w:lang w:val="en-GB"/>
        </w:rPr>
        <w:t>), D6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L</w:t>
      </w:r>
      <w:r w:rsidRPr="00C96938">
        <w:rPr>
          <w:rFonts w:ascii="Times New Roman" w:hAnsi="Times New Roman"/>
          <w:i/>
          <w:iCs/>
          <w:lang w:val="en-GB"/>
        </w:rPr>
        <w:t>), D7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M</w:t>
      </w:r>
      <w:r w:rsidRPr="00C96938">
        <w:rPr>
          <w:rFonts w:ascii="Times New Roman" w:hAnsi="Times New Roman"/>
          <w:i/>
          <w:iCs/>
          <w:lang w:val="en-GB"/>
        </w:rPr>
        <w:t>), and D9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M</w:t>
      </w:r>
      <w:r w:rsidRPr="00C96938">
        <w:rPr>
          <w:rFonts w:ascii="Times New Roman" w:hAnsi="Times New Roman"/>
          <w:i/>
          <w:iCs/>
          <w:lang w:val="en-GB"/>
        </w:rPr>
        <w:t xml:space="preserve">) isoforms of PDE4 is reported as mean ± SEM of at least </w:t>
      </w:r>
      <w:r>
        <w:rPr>
          <w:rFonts w:ascii="Times New Roman" w:hAnsi="Times New Roman"/>
          <w:i/>
          <w:iCs/>
          <w:lang w:val="en-GB"/>
        </w:rPr>
        <w:t>6</w:t>
      </w:r>
      <w:r w:rsidRPr="00C96938">
        <w:rPr>
          <w:rFonts w:ascii="Times New Roman" w:hAnsi="Times New Roman"/>
          <w:i/>
          <w:iCs/>
          <w:lang w:val="en-GB"/>
        </w:rPr>
        <w:t xml:space="preserve"> independent experiments. Two-way ANOVA, followed by Tukey post-hoc test. </w:t>
      </w:r>
    </w:p>
    <w:p w14:paraId="00F9F38A" w14:textId="77777777" w:rsidR="005D1378" w:rsidRPr="00C96938" w:rsidRDefault="005D1378" w:rsidP="005D1378">
      <w:pPr>
        <w:spacing w:line="360" w:lineRule="auto"/>
        <w:ind w:right="-1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noProof/>
          <w:lang w:val="en-GB"/>
        </w:rPr>
        <w:lastRenderedPageBreak/>
        <w:drawing>
          <wp:inline distT="0" distB="0" distL="0" distR="0" wp14:anchorId="39477C80" wp14:editId="57C17166">
            <wp:extent cx="5400000" cy="8523838"/>
            <wp:effectExtent l="0" t="0" r="0" b="0"/>
            <wp:docPr id="38196677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523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00AA86" w14:textId="77777777" w:rsidR="005D1378" w:rsidRPr="00C96938" w:rsidRDefault="005D1378" w:rsidP="005D1378">
      <w:pPr>
        <w:spacing w:line="360" w:lineRule="auto"/>
        <w:ind w:right="-1"/>
        <w:jc w:val="center"/>
        <w:rPr>
          <w:rFonts w:ascii="Times New Roman" w:hAnsi="Times New Roman"/>
          <w:lang w:val="en-GB"/>
        </w:rPr>
      </w:pPr>
    </w:p>
    <w:p w14:paraId="049A94B4" w14:textId="77777777" w:rsidR="005D1378" w:rsidRDefault="005D1378" w:rsidP="005D1378">
      <w:pPr>
        <w:spacing w:line="360" w:lineRule="auto"/>
        <w:ind w:right="-1"/>
        <w:jc w:val="both"/>
        <w:rPr>
          <w:rFonts w:ascii="Times New Roman" w:hAnsi="Times New Roman"/>
          <w:i/>
          <w:iCs/>
          <w:lang w:val="en-GB"/>
        </w:rPr>
      </w:pPr>
      <w:r w:rsidRPr="00C96938">
        <w:rPr>
          <w:rFonts w:ascii="Times New Roman" w:hAnsi="Times New Roman"/>
          <w:b/>
          <w:bCs/>
          <w:i/>
          <w:iCs/>
          <w:lang w:val="en-GB"/>
        </w:rPr>
        <w:t xml:space="preserve">Supplementary Figure 5. </w:t>
      </w:r>
      <w:r w:rsidRPr="00C96938">
        <w:rPr>
          <w:rFonts w:ascii="Times New Roman" w:hAnsi="Times New Roman"/>
          <w:i/>
          <w:iCs/>
          <w:lang w:val="en-GB"/>
        </w:rPr>
        <w:t>mRNA expression distribution of PDE4 isoforms in hind limb muscles of SOD1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G93A</w:t>
      </w:r>
      <w:r w:rsidRPr="00C96938">
        <w:rPr>
          <w:rFonts w:ascii="Times New Roman" w:hAnsi="Times New Roman"/>
          <w:i/>
          <w:iCs/>
          <w:lang w:val="en-GB"/>
        </w:rPr>
        <w:t xml:space="preserve"> and WT mice. mRNA expression of A11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A</w:t>
      </w:r>
      <w:r w:rsidRPr="00C96938">
        <w:rPr>
          <w:rFonts w:ascii="Times New Roman" w:hAnsi="Times New Roman"/>
          <w:i/>
          <w:iCs/>
          <w:lang w:val="en-GB"/>
        </w:rPr>
        <w:t>), B4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B</w:t>
      </w:r>
      <w:r w:rsidRPr="00C96938">
        <w:rPr>
          <w:rFonts w:ascii="Times New Roman" w:hAnsi="Times New Roman"/>
          <w:i/>
          <w:iCs/>
          <w:lang w:val="en-GB"/>
        </w:rPr>
        <w:t>), D1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C</w:t>
      </w:r>
      <w:r w:rsidRPr="00C96938">
        <w:rPr>
          <w:rFonts w:ascii="Times New Roman" w:hAnsi="Times New Roman"/>
          <w:i/>
          <w:iCs/>
          <w:lang w:val="en-GB"/>
        </w:rPr>
        <w:t>), D4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D</w:t>
      </w:r>
      <w:r w:rsidRPr="00C96938">
        <w:rPr>
          <w:rFonts w:ascii="Times New Roman" w:hAnsi="Times New Roman"/>
          <w:i/>
          <w:iCs/>
          <w:lang w:val="en-GB"/>
        </w:rPr>
        <w:t>), D5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E</w:t>
      </w:r>
      <w:r w:rsidRPr="00C96938">
        <w:rPr>
          <w:rFonts w:ascii="Times New Roman" w:hAnsi="Times New Roman"/>
          <w:i/>
          <w:iCs/>
          <w:lang w:val="en-GB"/>
        </w:rPr>
        <w:t>), D6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F</w:t>
      </w:r>
      <w:r w:rsidRPr="00C96938">
        <w:rPr>
          <w:rFonts w:ascii="Times New Roman" w:hAnsi="Times New Roman"/>
          <w:i/>
          <w:iCs/>
          <w:lang w:val="en-GB"/>
        </w:rPr>
        <w:t>), and D9 (</w:t>
      </w:r>
      <w:r w:rsidRPr="00C96938">
        <w:rPr>
          <w:rFonts w:ascii="Times New Roman" w:hAnsi="Times New Roman"/>
          <w:b/>
          <w:bCs/>
          <w:i/>
          <w:iCs/>
          <w:lang w:val="en-GB"/>
        </w:rPr>
        <w:t>G</w:t>
      </w:r>
      <w:r w:rsidRPr="00C96938">
        <w:rPr>
          <w:rFonts w:ascii="Times New Roman" w:hAnsi="Times New Roman"/>
          <w:i/>
          <w:iCs/>
          <w:lang w:val="en-GB"/>
        </w:rPr>
        <w:t xml:space="preserve">) isoforms of PDE4 is reported as mean ± SEM of at least </w:t>
      </w:r>
      <w:r>
        <w:rPr>
          <w:rFonts w:ascii="Times New Roman" w:hAnsi="Times New Roman"/>
          <w:i/>
          <w:iCs/>
          <w:lang w:val="en-GB"/>
        </w:rPr>
        <w:t>6</w:t>
      </w:r>
      <w:r w:rsidRPr="00C96938">
        <w:rPr>
          <w:rFonts w:ascii="Times New Roman" w:hAnsi="Times New Roman"/>
          <w:i/>
          <w:iCs/>
          <w:lang w:val="en-GB"/>
        </w:rPr>
        <w:t xml:space="preserve"> independent experiments. Two-way ANOVA, followed by Tukey post-hoc test. *p&lt;0.05, **p&lt;0.01, and ***p&lt;0.001 vs the 30-day-old condition (within the genotype); </w:t>
      </w:r>
      <w:r w:rsidRPr="00C96938">
        <w:rPr>
          <w:rFonts w:ascii="Times New Roman" w:hAnsi="Times New Roman"/>
          <w:i/>
          <w:iCs/>
          <w:vertAlign w:val="superscript"/>
          <w:lang w:val="en-GB"/>
        </w:rPr>
        <w:t>#</w:t>
      </w:r>
      <w:r w:rsidRPr="00C96938">
        <w:rPr>
          <w:rFonts w:ascii="Times New Roman" w:hAnsi="Times New Roman"/>
          <w:i/>
          <w:iCs/>
          <w:lang w:val="en-GB"/>
        </w:rPr>
        <w:t>p&lt;0.05 vs the 90-day-old condition (within the genotype).</w:t>
      </w:r>
    </w:p>
    <w:p w14:paraId="1E50D2C7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78"/>
    <w:rsid w:val="005B6877"/>
    <w:rsid w:val="005D1378"/>
    <w:rsid w:val="0087366A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2FAF"/>
  <w15:chartTrackingRefBased/>
  <w15:docId w15:val="{6CF6237A-CB4D-4045-97BC-D1C1F579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378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val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378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378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378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378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378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378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378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378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378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378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1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378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1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378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1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378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1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2026-10-09T11:14:00Z</dcterms:created>
  <dcterms:modified xsi:type="dcterms:W3CDTF">2026-10-09T11:15:00Z</dcterms:modified>
</cp:coreProperties>
</file>