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56724" w14:textId="3199BA9B" w:rsidR="00824146" w:rsidRPr="00F40262" w:rsidRDefault="005C2E89" w:rsidP="00F40262">
      <w:pPr>
        <w:spacing w:line="480" w:lineRule="auto"/>
        <w:jc w:val="center"/>
        <w:rPr>
          <w:rFonts w:ascii="Times New Roman" w:hAnsi="Times New Roman" w:cs="Times New Roman"/>
          <w:b/>
          <w:bCs/>
          <w:sz w:val="24"/>
          <w:szCs w:val="24"/>
        </w:rPr>
      </w:pPr>
      <w:r w:rsidRPr="00F40262">
        <w:rPr>
          <w:rFonts w:ascii="Times New Roman" w:hAnsi="Times New Roman" w:cs="Times New Roman"/>
          <w:b/>
          <w:bCs/>
          <w:sz w:val="24"/>
          <w:szCs w:val="24"/>
        </w:rPr>
        <w:t>Effects of biochar application on soil nitrogen conversion and microbial community composition</w:t>
      </w:r>
    </w:p>
    <w:p w14:paraId="1D4A421B" w14:textId="1A318B43" w:rsidR="005C2E89" w:rsidRDefault="005C2E89" w:rsidP="00F40262">
      <w:pPr>
        <w:spacing w:line="480" w:lineRule="auto"/>
        <w:ind w:firstLineChars="200" w:firstLine="480"/>
        <w:jc w:val="center"/>
        <w:rPr>
          <w:rFonts w:ascii="Times New Roman" w:eastAsia="宋体" w:hAnsi="Times New Roman" w:cs="Times New Roman"/>
          <w:i/>
          <w:iCs/>
          <w:kern w:val="0"/>
          <w:sz w:val="24"/>
          <w:szCs w:val="24"/>
        </w:rPr>
      </w:pPr>
      <w:proofErr w:type="spellStart"/>
      <w:r w:rsidRPr="00F40262">
        <w:rPr>
          <w:rFonts w:ascii="Times New Roman" w:eastAsia="宋体" w:hAnsi="Times New Roman" w:cs="Times New Roman"/>
          <w:i/>
          <w:iCs/>
          <w:kern w:val="0"/>
          <w:sz w:val="24"/>
          <w:szCs w:val="24"/>
        </w:rPr>
        <w:t>Pingnan</w:t>
      </w:r>
      <w:proofErr w:type="spellEnd"/>
      <w:r w:rsidRPr="00F40262">
        <w:rPr>
          <w:rFonts w:ascii="Times New Roman" w:eastAsia="宋体" w:hAnsi="Times New Roman" w:cs="Times New Roman"/>
          <w:i/>
          <w:iCs/>
          <w:kern w:val="0"/>
          <w:sz w:val="24"/>
          <w:szCs w:val="24"/>
        </w:rPr>
        <w:t xml:space="preserve"> Zhao,</w:t>
      </w:r>
      <w:r w:rsidRPr="00F40262">
        <w:rPr>
          <w:rFonts w:ascii="Times New Roman" w:eastAsia="宋体" w:hAnsi="Times New Roman" w:cs="Times New Roman"/>
          <w:i/>
          <w:iCs/>
          <w:kern w:val="0"/>
          <w:sz w:val="24"/>
          <w:szCs w:val="24"/>
          <w:vertAlign w:val="superscript"/>
        </w:rPr>
        <w:t xml:space="preserve"> </w:t>
      </w:r>
      <w:r w:rsidRPr="00F40262">
        <w:rPr>
          <w:rFonts w:ascii="Times New Roman" w:eastAsia="宋体" w:hAnsi="Times New Roman" w:cs="Times New Roman"/>
          <w:i/>
          <w:iCs/>
          <w:kern w:val="0"/>
          <w:sz w:val="24"/>
          <w:szCs w:val="24"/>
        </w:rPr>
        <w:t xml:space="preserve">Shen Wang, Dong Liu, </w:t>
      </w:r>
      <w:proofErr w:type="spellStart"/>
      <w:r w:rsidRPr="00F40262">
        <w:rPr>
          <w:rFonts w:ascii="Times New Roman" w:eastAsia="宋体" w:hAnsi="Times New Roman" w:cs="Times New Roman"/>
          <w:i/>
          <w:iCs/>
          <w:kern w:val="0"/>
          <w:sz w:val="24"/>
          <w:szCs w:val="24"/>
        </w:rPr>
        <w:t>Hongxu</w:t>
      </w:r>
      <w:proofErr w:type="spellEnd"/>
      <w:r w:rsidRPr="00F40262">
        <w:rPr>
          <w:rFonts w:ascii="Times New Roman" w:eastAsia="宋体" w:hAnsi="Times New Roman" w:cs="Times New Roman"/>
          <w:i/>
          <w:iCs/>
          <w:kern w:val="0"/>
          <w:sz w:val="24"/>
          <w:szCs w:val="24"/>
        </w:rPr>
        <w:t xml:space="preserve"> Li, Song Han</w:t>
      </w:r>
      <w:r w:rsidRPr="00F40262">
        <w:rPr>
          <w:rFonts w:ascii="Times New Roman" w:eastAsia="宋体" w:hAnsi="Times New Roman" w:cs="Times New Roman"/>
          <w:i/>
          <w:iCs/>
          <w:kern w:val="0"/>
          <w:sz w:val="24"/>
          <w:szCs w:val="24"/>
          <w:vertAlign w:val="superscript"/>
        </w:rPr>
        <w:t>*</w:t>
      </w:r>
      <w:r w:rsidR="00F40262">
        <w:rPr>
          <w:rFonts w:ascii="Times New Roman" w:eastAsia="宋体" w:hAnsi="Times New Roman" w:cs="Times New Roman" w:hint="eastAsia"/>
          <w:i/>
          <w:iCs/>
          <w:kern w:val="0"/>
          <w:sz w:val="24"/>
          <w:szCs w:val="24"/>
        </w:rPr>
        <w:t>，</w:t>
      </w:r>
      <w:r w:rsidR="00F40262">
        <w:rPr>
          <w:rFonts w:ascii="Times New Roman" w:eastAsia="宋体" w:hAnsi="Times New Roman" w:cs="Times New Roman" w:hint="eastAsia"/>
          <w:i/>
          <w:iCs/>
          <w:kern w:val="0"/>
          <w:sz w:val="24"/>
          <w:szCs w:val="24"/>
        </w:rPr>
        <w:t>Ming</w:t>
      </w:r>
      <w:r w:rsidR="00F40262">
        <w:rPr>
          <w:rFonts w:ascii="Times New Roman" w:eastAsia="宋体" w:hAnsi="Times New Roman" w:cs="Times New Roman"/>
          <w:i/>
          <w:iCs/>
          <w:kern w:val="0"/>
          <w:sz w:val="24"/>
          <w:szCs w:val="24"/>
        </w:rPr>
        <w:t xml:space="preserve"> </w:t>
      </w:r>
      <w:r w:rsidR="00F40262">
        <w:rPr>
          <w:rFonts w:ascii="Times New Roman" w:eastAsia="宋体" w:hAnsi="Times New Roman" w:cs="Times New Roman" w:hint="eastAsia"/>
          <w:i/>
          <w:iCs/>
          <w:kern w:val="0"/>
          <w:sz w:val="24"/>
          <w:szCs w:val="24"/>
        </w:rPr>
        <w:t>Li</w:t>
      </w:r>
      <w:r w:rsidR="00F40262" w:rsidRPr="00963D7E">
        <w:rPr>
          <w:rFonts w:ascii="Times New Roman" w:eastAsia="宋体" w:hAnsi="Times New Roman" w:cs="Times New Roman"/>
          <w:i/>
          <w:iCs/>
          <w:kern w:val="0"/>
          <w:sz w:val="24"/>
          <w:szCs w:val="24"/>
          <w:vertAlign w:val="superscript"/>
        </w:rPr>
        <w:t>*</w:t>
      </w:r>
      <w:r w:rsidR="00963D7E" w:rsidRPr="00963D7E">
        <w:rPr>
          <w:rFonts w:ascii="Times New Roman" w:eastAsia="宋体" w:hAnsi="Times New Roman" w:cs="Times New Roman"/>
          <w:i/>
          <w:iCs/>
          <w:kern w:val="0"/>
          <w:sz w:val="24"/>
          <w:szCs w:val="24"/>
          <w:vertAlign w:val="superscript"/>
        </w:rPr>
        <w:t>*</w:t>
      </w:r>
    </w:p>
    <w:p w14:paraId="57B5315B" w14:textId="77777777" w:rsidR="00F40262" w:rsidRPr="00F40262" w:rsidRDefault="00F40262" w:rsidP="00F40262">
      <w:pPr>
        <w:spacing w:line="480" w:lineRule="auto"/>
        <w:ind w:firstLineChars="200" w:firstLine="480"/>
        <w:jc w:val="center"/>
        <w:rPr>
          <w:rFonts w:ascii="Times New Roman" w:eastAsia="宋体" w:hAnsi="Times New Roman" w:cs="Times New Roman"/>
          <w:i/>
          <w:iCs/>
          <w:kern w:val="0"/>
          <w:sz w:val="24"/>
          <w:szCs w:val="24"/>
        </w:rPr>
      </w:pPr>
    </w:p>
    <w:p w14:paraId="6B3E6D23" w14:textId="5D3348D9" w:rsidR="005C2E89" w:rsidRDefault="005C2E89" w:rsidP="00F40262">
      <w:pPr>
        <w:spacing w:line="480" w:lineRule="auto"/>
        <w:jc w:val="center"/>
        <w:rPr>
          <w:rFonts w:ascii="Times New Roman" w:eastAsia="宋体" w:hAnsi="Times New Roman" w:cs="Times New Roman"/>
          <w:i/>
          <w:iCs/>
          <w:kern w:val="0"/>
          <w:sz w:val="24"/>
          <w:szCs w:val="24"/>
        </w:rPr>
      </w:pPr>
      <w:r w:rsidRPr="00F40262">
        <w:rPr>
          <w:rFonts w:ascii="Times New Roman" w:eastAsia="宋体" w:hAnsi="Times New Roman" w:cs="Times New Roman"/>
          <w:i/>
          <w:iCs/>
          <w:kern w:val="0"/>
          <w:sz w:val="24"/>
          <w:szCs w:val="24"/>
        </w:rPr>
        <w:t>College of Forestry</w:t>
      </w:r>
      <w:r w:rsidRPr="00F40262">
        <w:rPr>
          <w:rFonts w:ascii="Times New Roman" w:eastAsia="宋体" w:hAnsi="Times New Roman" w:cs="Times New Roman"/>
          <w:i/>
          <w:iCs/>
          <w:kern w:val="0"/>
          <w:sz w:val="24"/>
          <w:szCs w:val="24"/>
        </w:rPr>
        <w:t>，</w:t>
      </w:r>
      <w:r w:rsidRPr="00F40262">
        <w:rPr>
          <w:rFonts w:ascii="Times New Roman" w:eastAsia="宋体" w:hAnsi="Times New Roman" w:cs="Times New Roman"/>
          <w:i/>
          <w:iCs/>
          <w:kern w:val="0"/>
          <w:sz w:val="24"/>
          <w:szCs w:val="24"/>
        </w:rPr>
        <w:t>Northeast Forestry University</w:t>
      </w:r>
      <w:r w:rsidRPr="00F40262">
        <w:rPr>
          <w:rFonts w:ascii="Times New Roman" w:eastAsia="宋体" w:hAnsi="Times New Roman" w:cs="Times New Roman"/>
          <w:i/>
          <w:iCs/>
          <w:kern w:val="0"/>
          <w:sz w:val="24"/>
          <w:szCs w:val="24"/>
        </w:rPr>
        <w:t>，</w:t>
      </w:r>
      <w:r w:rsidRPr="00F40262">
        <w:rPr>
          <w:rFonts w:ascii="Times New Roman" w:eastAsia="宋体" w:hAnsi="Times New Roman" w:cs="Times New Roman"/>
          <w:i/>
          <w:iCs/>
          <w:kern w:val="0"/>
          <w:sz w:val="24"/>
          <w:szCs w:val="24"/>
        </w:rPr>
        <w:t>Harbin 150040</w:t>
      </w:r>
      <w:r w:rsidRPr="00F40262">
        <w:rPr>
          <w:rFonts w:ascii="Times New Roman" w:eastAsia="宋体" w:hAnsi="Times New Roman" w:cs="Times New Roman"/>
          <w:i/>
          <w:iCs/>
          <w:kern w:val="0"/>
          <w:sz w:val="24"/>
          <w:szCs w:val="24"/>
        </w:rPr>
        <w:t>，</w:t>
      </w:r>
      <w:r w:rsidRPr="00F40262">
        <w:rPr>
          <w:rFonts w:ascii="Times New Roman" w:eastAsia="宋体" w:hAnsi="Times New Roman" w:cs="Times New Roman"/>
          <w:i/>
          <w:iCs/>
          <w:kern w:val="0"/>
          <w:sz w:val="24"/>
          <w:szCs w:val="24"/>
        </w:rPr>
        <w:t>China</w:t>
      </w:r>
    </w:p>
    <w:p w14:paraId="137E900A" w14:textId="56098711" w:rsidR="00F40262" w:rsidRDefault="00F40262" w:rsidP="00F40262">
      <w:pPr>
        <w:spacing w:line="480" w:lineRule="auto"/>
        <w:jc w:val="center"/>
        <w:rPr>
          <w:rFonts w:ascii="Times New Roman" w:eastAsia="宋体" w:hAnsi="Times New Roman" w:cs="Times New Roman"/>
          <w:i/>
          <w:iCs/>
          <w:kern w:val="0"/>
          <w:sz w:val="24"/>
          <w:szCs w:val="24"/>
        </w:rPr>
      </w:pPr>
    </w:p>
    <w:p w14:paraId="468F8578" w14:textId="0B0034D3" w:rsidR="00F40262" w:rsidRDefault="00F40262" w:rsidP="00F40262">
      <w:pPr>
        <w:spacing w:line="480" w:lineRule="auto"/>
        <w:jc w:val="center"/>
        <w:rPr>
          <w:rFonts w:ascii="Times New Roman" w:eastAsia="宋体" w:hAnsi="Times New Roman" w:cs="Times New Roman"/>
          <w:i/>
          <w:iCs/>
          <w:kern w:val="0"/>
          <w:sz w:val="24"/>
          <w:szCs w:val="24"/>
        </w:rPr>
      </w:pPr>
    </w:p>
    <w:p w14:paraId="21F7292B" w14:textId="77777777" w:rsidR="00F40262" w:rsidRPr="00F40262" w:rsidRDefault="00F40262" w:rsidP="00F40262">
      <w:pPr>
        <w:spacing w:line="480" w:lineRule="auto"/>
        <w:jc w:val="center"/>
        <w:rPr>
          <w:rFonts w:ascii="Times New Roman" w:eastAsia="宋体" w:hAnsi="Times New Roman" w:cs="Times New Roman"/>
          <w:i/>
          <w:iCs/>
          <w:kern w:val="0"/>
          <w:sz w:val="24"/>
          <w:szCs w:val="24"/>
        </w:rPr>
      </w:pPr>
    </w:p>
    <w:p w14:paraId="666AE6E7" w14:textId="77777777" w:rsidR="005C2E89" w:rsidRPr="0035579B" w:rsidRDefault="005C2E89" w:rsidP="00F40262">
      <w:pPr>
        <w:spacing w:line="480" w:lineRule="auto"/>
        <w:ind w:firstLineChars="200" w:firstLine="480"/>
        <w:jc w:val="center"/>
        <w:rPr>
          <w:rFonts w:ascii="Times New Roman" w:eastAsia="宋体" w:hAnsi="Times New Roman" w:cs="Times New Roman"/>
          <w:sz w:val="24"/>
          <w:szCs w:val="24"/>
        </w:rPr>
      </w:pPr>
      <w:r w:rsidRPr="0035579B">
        <w:rPr>
          <w:rFonts w:ascii="Times New Roman" w:hAnsi="Times New Roman" w:cs="Times New Roman"/>
          <w:sz w:val="24"/>
          <w:szCs w:val="24"/>
          <w:vertAlign w:val="superscript"/>
        </w:rPr>
        <w:t>*</w:t>
      </w:r>
      <w:r w:rsidRPr="0035579B">
        <w:rPr>
          <w:rFonts w:ascii="Times New Roman" w:eastAsia="宋体" w:hAnsi="Times New Roman" w:cs="Times New Roman"/>
          <w:sz w:val="24"/>
          <w:szCs w:val="24"/>
        </w:rPr>
        <w:t>Corresponding author:</w:t>
      </w:r>
    </w:p>
    <w:p w14:paraId="2E292B13" w14:textId="0405F2DA" w:rsidR="005C2E89" w:rsidRDefault="005C2E89" w:rsidP="00F40262">
      <w:pPr>
        <w:spacing w:line="480" w:lineRule="auto"/>
        <w:ind w:firstLineChars="200" w:firstLine="48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Song</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Han</w:t>
      </w:r>
      <w:r w:rsidRPr="0035579B">
        <w:rPr>
          <w:rFonts w:ascii="Times New Roman" w:eastAsia="宋体" w:hAnsi="Times New Roman" w:cs="Times New Roman"/>
          <w:sz w:val="24"/>
          <w:szCs w:val="24"/>
        </w:rPr>
        <w:t xml:space="preserve">, E-mail: </w:t>
      </w:r>
      <w:r w:rsidRPr="00F40262">
        <w:rPr>
          <w:rFonts w:ascii="Times New Roman" w:eastAsia="宋体" w:hAnsi="Times New Roman" w:cs="Times New Roman"/>
          <w:sz w:val="24"/>
          <w:szCs w:val="24"/>
        </w:rPr>
        <w:t>songh77@126.com</w:t>
      </w:r>
    </w:p>
    <w:p w14:paraId="7AA4ECBF" w14:textId="32543C2C" w:rsidR="00F40262" w:rsidRDefault="005C2E89" w:rsidP="00F40262">
      <w:pPr>
        <w:spacing w:line="480" w:lineRule="auto"/>
        <w:ind w:firstLineChars="200" w:firstLine="48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Ming</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L</w:t>
      </w:r>
      <w:r w:rsidR="000070E6">
        <w:rPr>
          <w:rFonts w:ascii="Times New Roman" w:eastAsia="宋体" w:hAnsi="Times New Roman" w:cs="Times New Roman"/>
          <w:sz w:val="24"/>
          <w:szCs w:val="24"/>
        </w:rPr>
        <w:t>i</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E-mail</w:t>
      </w:r>
      <w:r>
        <w:rPr>
          <w:rFonts w:ascii="Times New Roman" w:eastAsia="宋体" w:hAnsi="Times New Roman" w:cs="Times New Roman" w:hint="eastAsia"/>
          <w:sz w:val="24"/>
          <w:szCs w:val="24"/>
        </w:rPr>
        <w:t>：</w:t>
      </w:r>
      <w:r w:rsidR="00F40262" w:rsidRPr="00F40262">
        <w:rPr>
          <w:rFonts w:ascii="Times New Roman" w:eastAsia="宋体" w:hAnsi="Times New Roman" w:cs="Times New Roman"/>
          <w:sz w:val="24"/>
          <w:szCs w:val="24"/>
        </w:rPr>
        <w:t>liming1986@nefu.edu.cn</w:t>
      </w:r>
    </w:p>
    <w:p w14:paraId="43DD3BCE" w14:textId="77777777" w:rsidR="00F40262" w:rsidRDefault="00F40262">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719898F5" w14:textId="77777777" w:rsidR="005C2E89" w:rsidRPr="005C2E89" w:rsidRDefault="005C2E89"/>
    <w:p w14:paraId="79E91C25" w14:textId="3B96FE85" w:rsidR="005C2E89" w:rsidRPr="005C2E89" w:rsidRDefault="005C2E89" w:rsidP="005C2E89">
      <w:pPr>
        <w:ind w:firstLineChars="200" w:firstLine="420"/>
        <w:jc w:val="left"/>
        <w:rPr>
          <w:rFonts w:ascii="Times New Roman" w:hAnsi="Times New Roman" w:cs="Times New Roman"/>
        </w:rPr>
      </w:pPr>
      <w:r w:rsidRPr="005C2E89">
        <w:rPr>
          <w:rFonts w:ascii="Times New Roman" w:hAnsi="Times New Roman" w:cs="Times New Roman"/>
        </w:rPr>
        <w:t>The composition of the straw used in the experiments is analy</w:t>
      </w:r>
      <w:r w:rsidR="000070E6">
        <w:rPr>
          <w:rFonts w:ascii="Times New Roman" w:hAnsi="Times New Roman" w:cs="Times New Roman"/>
        </w:rPr>
        <w:t>z</w:t>
      </w:r>
      <w:r w:rsidRPr="005C2E89">
        <w:rPr>
          <w:rFonts w:ascii="Times New Roman" w:hAnsi="Times New Roman" w:cs="Times New Roman"/>
        </w:rPr>
        <w:t xml:space="preserve">ed in Table </w:t>
      </w:r>
      <w:r w:rsidR="00963D7E">
        <w:rPr>
          <w:rFonts w:ascii="Times New Roman" w:hAnsi="Times New Roman" w:cs="Times New Roman" w:hint="eastAsia"/>
        </w:rPr>
        <w:t>S</w:t>
      </w:r>
      <w:r w:rsidRPr="005C2E89">
        <w:rPr>
          <w:rFonts w:ascii="Times New Roman" w:hAnsi="Times New Roman" w:cs="Times New Roman"/>
        </w:rPr>
        <w:t xml:space="preserve">1 and the elemental analysis is shown in Table </w:t>
      </w:r>
      <w:r w:rsidR="00963D7E">
        <w:rPr>
          <w:rFonts w:ascii="Times New Roman" w:hAnsi="Times New Roman" w:cs="Times New Roman" w:hint="eastAsia"/>
        </w:rPr>
        <w:t>S</w:t>
      </w:r>
      <w:r w:rsidRPr="005C2E89">
        <w:rPr>
          <w:rFonts w:ascii="Times New Roman" w:hAnsi="Times New Roman" w:cs="Times New Roman"/>
        </w:rPr>
        <w:t>2</w:t>
      </w:r>
    </w:p>
    <w:p w14:paraId="626B6F3E" w14:textId="2AAEFE33" w:rsidR="005C2E89" w:rsidRDefault="005C2E89" w:rsidP="005C2E89">
      <w:pPr>
        <w:ind w:firstLineChars="200" w:firstLine="340"/>
        <w:rPr>
          <w:rFonts w:ascii="Times New Roman" w:eastAsia="宋体" w:hAnsi="Times New Roman" w:cs="Times New Roman"/>
          <w:kern w:val="0"/>
          <w:sz w:val="20"/>
          <w:szCs w:val="20"/>
        </w:rPr>
      </w:pPr>
      <w:r>
        <w:rPr>
          <w:rFonts w:ascii="Tahoma" w:hAnsi="Tahoma" w:cs="Tahoma"/>
          <w:b/>
          <w:bCs/>
          <w:color w:val="231F20"/>
          <w:sz w:val="17"/>
        </w:rPr>
        <w:t xml:space="preserve">Table </w:t>
      </w:r>
      <w:r w:rsidR="00963D7E">
        <w:rPr>
          <w:rFonts w:ascii="Tahoma" w:hAnsi="Tahoma" w:cs="Tahoma" w:hint="eastAsia"/>
          <w:b/>
          <w:bCs/>
          <w:color w:val="231F20"/>
          <w:sz w:val="17"/>
        </w:rPr>
        <w:t>S</w:t>
      </w:r>
      <w:r>
        <w:rPr>
          <w:rFonts w:ascii="Tahoma" w:hAnsi="Tahoma" w:cs="Tahoma"/>
          <w:b/>
          <w:bCs/>
          <w:color w:val="231F20"/>
          <w:sz w:val="17"/>
        </w:rPr>
        <w:t>1</w:t>
      </w:r>
      <w:r>
        <w:rPr>
          <w:rFonts w:ascii="Times New Roman" w:hAnsi="Times New Roman" w:cs="Times New Roman"/>
          <w:color w:val="231F20"/>
          <w:sz w:val="17"/>
        </w:rPr>
        <w:t xml:space="preserve"> Analysis of straw components</w:t>
      </w:r>
    </w:p>
    <w:tbl>
      <w:tblPr>
        <w:tblStyle w:val="a7"/>
        <w:tblW w:w="0" w:type="auto"/>
        <w:tblInd w:w="0" w:type="dxa"/>
        <w:tblBorders>
          <w:top w:val="single" w:sz="12" w:space="0" w:color="auto"/>
          <w:left w:val="none" w:sz="0" w:space="0" w:color="auto"/>
          <w:bottom w:val="single" w:sz="12" w:space="0" w:color="auto"/>
          <w:right w:val="none" w:sz="0" w:space="0" w:color="auto"/>
          <w:insideV w:val="none" w:sz="0" w:space="0" w:color="auto"/>
        </w:tblBorders>
        <w:tblLook w:val="04A0" w:firstRow="1" w:lastRow="0" w:firstColumn="1" w:lastColumn="0" w:noHBand="0" w:noVBand="1"/>
      </w:tblPr>
      <w:tblGrid>
        <w:gridCol w:w="1382"/>
        <w:gridCol w:w="1382"/>
        <w:gridCol w:w="1383"/>
        <w:gridCol w:w="1523"/>
        <w:gridCol w:w="1243"/>
        <w:gridCol w:w="1383"/>
      </w:tblGrid>
      <w:tr w:rsidR="005C2E89" w14:paraId="563C0E50" w14:textId="77777777" w:rsidTr="00E90C96">
        <w:tc>
          <w:tcPr>
            <w:tcW w:w="1382" w:type="dxa"/>
            <w:vMerge w:val="restart"/>
            <w:tcBorders>
              <w:top w:val="single" w:sz="12" w:space="0" w:color="auto"/>
              <w:left w:val="nil"/>
              <w:bottom w:val="single" w:sz="4" w:space="0" w:color="auto"/>
              <w:right w:val="nil"/>
            </w:tcBorders>
            <w:hideMark/>
          </w:tcPr>
          <w:p w14:paraId="4E977F74"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Sample</w:t>
            </w:r>
          </w:p>
        </w:tc>
        <w:tc>
          <w:tcPr>
            <w:tcW w:w="1382" w:type="dxa"/>
            <w:vMerge w:val="restart"/>
            <w:tcBorders>
              <w:top w:val="single" w:sz="12" w:space="0" w:color="auto"/>
              <w:left w:val="nil"/>
              <w:bottom w:val="single" w:sz="4" w:space="0" w:color="auto"/>
              <w:right w:val="nil"/>
            </w:tcBorders>
            <w:hideMark/>
          </w:tcPr>
          <w:p w14:paraId="25016E7E"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Ash/%</w:t>
            </w:r>
          </w:p>
        </w:tc>
        <w:tc>
          <w:tcPr>
            <w:tcW w:w="5532" w:type="dxa"/>
            <w:gridSpan w:val="4"/>
            <w:tcBorders>
              <w:top w:val="single" w:sz="12" w:space="0" w:color="auto"/>
              <w:left w:val="nil"/>
              <w:bottom w:val="single" w:sz="4" w:space="0" w:color="auto"/>
              <w:right w:val="nil"/>
            </w:tcBorders>
            <w:hideMark/>
          </w:tcPr>
          <w:p w14:paraId="42F89A16" w14:textId="77777777" w:rsidR="005C2E89" w:rsidRDefault="005C2E89" w:rsidP="00E90C96">
            <w:pPr>
              <w:jc w:val="center"/>
              <w:rPr>
                <w:rFonts w:ascii="Times New Roman" w:eastAsia="宋体" w:hAnsi="Times New Roman" w:cs="Times New Roman"/>
                <w:kern w:val="0"/>
                <w:sz w:val="17"/>
                <w:szCs w:val="17"/>
              </w:rPr>
            </w:pPr>
            <w:proofErr w:type="gramStart"/>
            <w:r>
              <w:rPr>
                <w:rFonts w:ascii="Times New Roman" w:hAnsi="Times New Roman" w:cs="Times New Roman"/>
                <w:sz w:val="17"/>
                <w:szCs w:val="17"/>
              </w:rPr>
              <w:t>Components</w:t>
            </w:r>
            <w:proofErr w:type="gramEnd"/>
            <w:r>
              <w:rPr>
                <w:rFonts w:ascii="Times New Roman" w:hAnsi="Times New Roman" w:cs="Times New Roman"/>
                <w:sz w:val="17"/>
                <w:szCs w:val="17"/>
              </w:rPr>
              <w:t xml:space="preserve"> analysis/%</w:t>
            </w:r>
          </w:p>
        </w:tc>
      </w:tr>
      <w:tr w:rsidR="005C2E89" w14:paraId="42F213A5" w14:textId="77777777" w:rsidTr="00E90C96">
        <w:tc>
          <w:tcPr>
            <w:tcW w:w="0" w:type="auto"/>
            <w:vMerge/>
            <w:tcBorders>
              <w:top w:val="single" w:sz="12" w:space="0" w:color="auto"/>
              <w:left w:val="nil"/>
              <w:bottom w:val="single" w:sz="4" w:space="0" w:color="auto"/>
              <w:right w:val="nil"/>
            </w:tcBorders>
            <w:vAlign w:val="center"/>
            <w:hideMark/>
          </w:tcPr>
          <w:p w14:paraId="58FE0879" w14:textId="77777777" w:rsidR="005C2E89" w:rsidRDefault="005C2E89" w:rsidP="00E90C96">
            <w:pPr>
              <w:widowControl/>
              <w:jc w:val="left"/>
              <w:rPr>
                <w:rFonts w:ascii="Times New Roman" w:eastAsia="宋体" w:hAnsi="Times New Roman" w:cs="Times New Roman"/>
                <w:kern w:val="0"/>
                <w:sz w:val="17"/>
                <w:szCs w:val="17"/>
              </w:rPr>
            </w:pPr>
          </w:p>
        </w:tc>
        <w:tc>
          <w:tcPr>
            <w:tcW w:w="0" w:type="auto"/>
            <w:vMerge/>
            <w:tcBorders>
              <w:top w:val="single" w:sz="12" w:space="0" w:color="auto"/>
              <w:left w:val="nil"/>
              <w:bottom w:val="single" w:sz="4" w:space="0" w:color="auto"/>
              <w:right w:val="nil"/>
            </w:tcBorders>
            <w:vAlign w:val="center"/>
            <w:hideMark/>
          </w:tcPr>
          <w:p w14:paraId="2497FC00" w14:textId="77777777" w:rsidR="005C2E89" w:rsidRDefault="005C2E89" w:rsidP="00E90C96">
            <w:pPr>
              <w:widowControl/>
              <w:jc w:val="left"/>
              <w:rPr>
                <w:rFonts w:ascii="Times New Roman" w:eastAsia="宋体" w:hAnsi="Times New Roman" w:cs="Times New Roman"/>
                <w:kern w:val="0"/>
                <w:sz w:val="17"/>
                <w:szCs w:val="17"/>
              </w:rPr>
            </w:pPr>
          </w:p>
        </w:tc>
        <w:tc>
          <w:tcPr>
            <w:tcW w:w="1383" w:type="dxa"/>
            <w:tcBorders>
              <w:top w:val="single" w:sz="4" w:space="0" w:color="auto"/>
              <w:left w:val="nil"/>
              <w:bottom w:val="single" w:sz="4" w:space="0" w:color="auto"/>
              <w:right w:val="nil"/>
            </w:tcBorders>
            <w:hideMark/>
          </w:tcPr>
          <w:p w14:paraId="75AB5102"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Cellulose</w:t>
            </w:r>
          </w:p>
        </w:tc>
        <w:tc>
          <w:tcPr>
            <w:tcW w:w="1523" w:type="dxa"/>
            <w:tcBorders>
              <w:top w:val="single" w:sz="4" w:space="0" w:color="auto"/>
              <w:left w:val="nil"/>
              <w:bottom w:val="single" w:sz="4" w:space="0" w:color="auto"/>
              <w:right w:val="nil"/>
            </w:tcBorders>
            <w:hideMark/>
          </w:tcPr>
          <w:p w14:paraId="484F9EBB" w14:textId="77777777" w:rsidR="005C2E89" w:rsidRDefault="005C2E89" w:rsidP="00E90C96">
            <w:pPr>
              <w:rPr>
                <w:rFonts w:ascii="Times New Roman" w:eastAsia="宋体" w:hAnsi="Times New Roman" w:cs="Times New Roman"/>
                <w:kern w:val="0"/>
                <w:sz w:val="17"/>
                <w:szCs w:val="17"/>
              </w:rPr>
            </w:pPr>
            <w:r>
              <w:rPr>
                <w:rFonts w:ascii="Times New Roman" w:hAnsi="Times New Roman" w:cs="Times New Roman"/>
                <w:sz w:val="17"/>
                <w:szCs w:val="17"/>
              </w:rPr>
              <w:t>Hemi-cellulose</w:t>
            </w:r>
          </w:p>
        </w:tc>
        <w:tc>
          <w:tcPr>
            <w:tcW w:w="1243" w:type="dxa"/>
            <w:tcBorders>
              <w:top w:val="single" w:sz="4" w:space="0" w:color="auto"/>
              <w:left w:val="nil"/>
              <w:bottom w:val="single" w:sz="4" w:space="0" w:color="auto"/>
              <w:right w:val="nil"/>
            </w:tcBorders>
            <w:hideMark/>
          </w:tcPr>
          <w:p w14:paraId="31894014"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Lignin</w:t>
            </w:r>
          </w:p>
        </w:tc>
        <w:tc>
          <w:tcPr>
            <w:tcW w:w="1383" w:type="dxa"/>
            <w:tcBorders>
              <w:top w:val="single" w:sz="4" w:space="0" w:color="auto"/>
              <w:left w:val="nil"/>
              <w:bottom w:val="single" w:sz="4" w:space="0" w:color="auto"/>
              <w:right w:val="nil"/>
            </w:tcBorders>
            <w:hideMark/>
          </w:tcPr>
          <w:p w14:paraId="796C186D"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Extractable</w:t>
            </w:r>
          </w:p>
        </w:tc>
      </w:tr>
      <w:tr w:rsidR="005C2E89" w14:paraId="3EA18099" w14:textId="77777777" w:rsidTr="00E90C96">
        <w:tc>
          <w:tcPr>
            <w:tcW w:w="1382" w:type="dxa"/>
            <w:tcBorders>
              <w:top w:val="single" w:sz="4" w:space="0" w:color="auto"/>
              <w:left w:val="nil"/>
              <w:bottom w:val="single" w:sz="12" w:space="0" w:color="auto"/>
              <w:right w:val="nil"/>
            </w:tcBorders>
            <w:hideMark/>
          </w:tcPr>
          <w:p w14:paraId="5BE87921"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Corn straw</w:t>
            </w:r>
          </w:p>
        </w:tc>
        <w:tc>
          <w:tcPr>
            <w:tcW w:w="1382" w:type="dxa"/>
            <w:tcBorders>
              <w:top w:val="single" w:sz="4" w:space="0" w:color="auto"/>
              <w:left w:val="nil"/>
              <w:bottom w:val="single" w:sz="12" w:space="0" w:color="auto"/>
              <w:right w:val="nil"/>
            </w:tcBorders>
            <w:hideMark/>
          </w:tcPr>
          <w:p w14:paraId="007BDF2D"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7.44</w:t>
            </w:r>
          </w:p>
        </w:tc>
        <w:tc>
          <w:tcPr>
            <w:tcW w:w="1383" w:type="dxa"/>
            <w:tcBorders>
              <w:top w:val="single" w:sz="4" w:space="0" w:color="auto"/>
              <w:left w:val="nil"/>
              <w:bottom w:val="single" w:sz="12" w:space="0" w:color="auto"/>
              <w:right w:val="nil"/>
            </w:tcBorders>
            <w:hideMark/>
          </w:tcPr>
          <w:p w14:paraId="2B2D8250"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22.82</w:t>
            </w:r>
          </w:p>
        </w:tc>
        <w:tc>
          <w:tcPr>
            <w:tcW w:w="1523" w:type="dxa"/>
            <w:tcBorders>
              <w:top w:val="single" w:sz="4" w:space="0" w:color="auto"/>
              <w:left w:val="nil"/>
              <w:bottom w:val="single" w:sz="12" w:space="0" w:color="auto"/>
              <w:right w:val="nil"/>
            </w:tcBorders>
            <w:hideMark/>
          </w:tcPr>
          <w:p w14:paraId="0BECFD0D"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43.01</w:t>
            </w:r>
          </w:p>
        </w:tc>
        <w:tc>
          <w:tcPr>
            <w:tcW w:w="1243" w:type="dxa"/>
            <w:tcBorders>
              <w:top w:val="single" w:sz="4" w:space="0" w:color="auto"/>
              <w:left w:val="nil"/>
              <w:bottom w:val="single" w:sz="12" w:space="0" w:color="auto"/>
              <w:right w:val="nil"/>
            </w:tcBorders>
            <w:hideMark/>
          </w:tcPr>
          <w:p w14:paraId="1DB48D5D"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15.59</w:t>
            </w:r>
          </w:p>
        </w:tc>
        <w:tc>
          <w:tcPr>
            <w:tcW w:w="1383" w:type="dxa"/>
            <w:tcBorders>
              <w:top w:val="single" w:sz="4" w:space="0" w:color="auto"/>
              <w:left w:val="nil"/>
              <w:bottom w:val="single" w:sz="12" w:space="0" w:color="auto"/>
              <w:right w:val="nil"/>
            </w:tcBorders>
            <w:hideMark/>
          </w:tcPr>
          <w:p w14:paraId="329FFC5E" w14:textId="77777777" w:rsidR="005C2E89" w:rsidRDefault="005C2E89" w:rsidP="00E90C96">
            <w:pPr>
              <w:jc w:val="center"/>
              <w:rPr>
                <w:rFonts w:ascii="Times New Roman" w:eastAsia="宋体" w:hAnsi="Times New Roman" w:cs="Times New Roman"/>
                <w:kern w:val="0"/>
                <w:sz w:val="17"/>
                <w:szCs w:val="17"/>
              </w:rPr>
            </w:pPr>
            <w:r>
              <w:rPr>
                <w:rFonts w:ascii="Times New Roman" w:hAnsi="Times New Roman" w:cs="Times New Roman"/>
                <w:sz w:val="17"/>
                <w:szCs w:val="17"/>
              </w:rPr>
              <w:t>18.58</w:t>
            </w:r>
          </w:p>
        </w:tc>
      </w:tr>
    </w:tbl>
    <w:p w14:paraId="54CF32A1" w14:textId="165AA1C1" w:rsidR="005C2E89" w:rsidRDefault="005C2E89" w:rsidP="005C2E89">
      <w:pPr>
        <w:ind w:firstLineChars="200" w:firstLine="340"/>
        <w:jc w:val="left"/>
        <w:rPr>
          <w:rFonts w:ascii="Times New Roman" w:hAnsi="Times New Roman" w:cs="Times New Roman"/>
          <w:color w:val="231F20"/>
          <w:sz w:val="17"/>
          <w:szCs w:val="17"/>
        </w:rPr>
      </w:pPr>
      <w:r>
        <w:rPr>
          <w:rFonts w:ascii="Tahoma" w:hAnsi="Tahoma" w:cs="Tahoma"/>
          <w:b/>
          <w:bCs/>
          <w:color w:val="231F20"/>
          <w:sz w:val="17"/>
          <w:szCs w:val="17"/>
        </w:rPr>
        <w:t xml:space="preserve">Table </w:t>
      </w:r>
      <w:r w:rsidR="00963D7E">
        <w:rPr>
          <w:rFonts w:ascii="Tahoma" w:hAnsi="Tahoma" w:cs="Tahoma" w:hint="eastAsia"/>
          <w:b/>
          <w:bCs/>
          <w:color w:val="231F20"/>
          <w:sz w:val="17"/>
          <w:szCs w:val="17"/>
        </w:rPr>
        <w:t>S</w:t>
      </w:r>
      <w:r>
        <w:rPr>
          <w:rFonts w:ascii="Tahoma" w:hAnsi="Tahoma" w:cs="Tahoma"/>
          <w:b/>
          <w:bCs/>
          <w:color w:val="231F20"/>
          <w:sz w:val="17"/>
          <w:szCs w:val="17"/>
        </w:rPr>
        <w:t>2</w:t>
      </w:r>
      <w:r>
        <w:rPr>
          <w:rFonts w:ascii="Times New Roman" w:hAnsi="Times New Roman" w:cs="Times New Roman"/>
          <w:color w:val="231F20"/>
          <w:sz w:val="17"/>
          <w:szCs w:val="17"/>
        </w:rPr>
        <w:t xml:space="preserve"> Element analysis of straw</w:t>
      </w:r>
    </w:p>
    <w:tbl>
      <w:tblPr>
        <w:tblStyle w:val="a7"/>
        <w:tblW w:w="0" w:type="auto"/>
        <w:tblInd w:w="0" w:type="dxa"/>
        <w:tblBorders>
          <w:top w:val="single" w:sz="12" w:space="0" w:color="auto"/>
          <w:left w:val="none" w:sz="0" w:space="0" w:color="auto"/>
          <w:bottom w:val="single" w:sz="12" w:space="0" w:color="auto"/>
          <w:right w:val="none" w:sz="0" w:space="0" w:color="auto"/>
          <w:insideV w:val="none" w:sz="0" w:space="0" w:color="auto"/>
        </w:tblBorders>
        <w:tblLook w:val="04A0" w:firstRow="1" w:lastRow="0" w:firstColumn="1" w:lastColumn="0" w:noHBand="0" w:noVBand="1"/>
      </w:tblPr>
      <w:tblGrid>
        <w:gridCol w:w="1253"/>
        <w:gridCol w:w="869"/>
        <w:gridCol w:w="850"/>
        <w:gridCol w:w="789"/>
        <w:gridCol w:w="907"/>
        <w:gridCol w:w="907"/>
        <w:gridCol w:w="907"/>
        <w:gridCol w:w="907"/>
        <w:gridCol w:w="907"/>
      </w:tblGrid>
      <w:tr w:rsidR="005C2E89" w14:paraId="51ADDB7F" w14:textId="77777777" w:rsidTr="00E90C96">
        <w:tc>
          <w:tcPr>
            <w:tcW w:w="1253" w:type="dxa"/>
            <w:vMerge w:val="restart"/>
            <w:tcBorders>
              <w:top w:val="single" w:sz="12" w:space="0" w:color="auto"/>
              <w:left w:val="nil"/>
              <w:bottom w:val="single" w:sz="4" w:space="0" w:color="auto"/>
              <w:right w:val="nil"/>
            </w:tcBorders>
            <w:hideMark/>
          </w:tcPr>
          <w:p w14:paraId="2BD61FC2" w14:textId="77777777" w:rsidR="005C2E89" w:rsidRDefault="005C2E89" w:rsidP="00E90C96">
            <w:pPr>
              <w:rPr>
                <w:sz w:val="17"/>
                <w:szCs w:val="17"/>
              </w:rPr>
            </w:pPr>
            <w:r>
              <w:rPr>
                <w:rFonts w:ascii="Times New Roman" w:hAnsi="Times New Roman" w:cs="Times New Roman"/>
                <w:sz w:val="17"/>
                <w:szCs w:val="17"/>
              </w:rPr>
              <w:t>Sample</w:t>
            </w:r>
          </w:p>
        </w:tc>
        <w:tc>
          <w:tcPr>
            <w:tcW w:w="7043" w:type="dxa"/>
            <w:gridSpan w:val="8"/>
            <w:tcBorders>
              <w:top w:val="single" w:sz="12" w:space="0" w:color="auto"/>
              <w:left w:val="nil"/>
              <w:bottom w:val="single" w:sz="4" w:space="0" w:color="auto"/>
              <w:right w:val="nil"/>
            </w:tcBorders>
            <w:hideMark/>
          </w:tcPr>
          <w:p w14:paraId="508D2413" w14:textId="77777777" w:rsidR="005C2E89" w:rsidRDefault="005C2E89" w:rsidP="00E90C96">
            <w:pPr>
              <w:rPr>
                <w:sz w:val="17"/>
                <w:szCs w:val="17"/>
              </w:rPr>
            </w:pPr>
            <w:r>
              <w:rPr>
                <w:rFonts w:ascii="Times New Roman" w:hAnsi="Times New Roman" w:cs="Times New Roman"/>
                <w:sz w:val="17"/>
                <w:szCs w:val="17"/>
              </w:rPr>
              <w:t>Ultimate analysis/%</w:t>
            </w:r>
          </w:p>
        </w:tc>
      </w:tr>
      <w:tr w:rsidR="005C2E89" w14:paraId="14904ED7" w14:textId="77777777" w:rsidTr="00E90C96">
        <w:tc>
          <w:tcPr>
            <w:tcW w:w="0" w:type="auto"/>
            <w:vMerge/>
            <w:tcBorders>
              <w:top w:val="single" w:sz="12" w:space="0" w:color="auto"/>
              <w:left w:val="nil"/>
              <w:bottom w:val="single" w:sz="4" w:space="0" w:color="auto"/>
              <w:right w:val="nil"/>
            </w:tcBorders>
            <w:vAlign w:val="center"/>
            <w:hideMark/>
          </w:tcPr>
          <w:p w14:paraId="15CA74E0" w14:textId="77777777" w:rsidR="005C2E89" w:rsidRDefault="005C2E89" w:rsidP="00E90C96">
            <w:pPr>
              <w:widowControl/>
              <w:jc w:val="left"/>
              <w:rPr>
                <w:sz w:val="17"/>
                <w:szCs w:val="17"/>
              </w:rPr>
            </w:pPr>
          </w:p>
        </w:tc>
        <w:tc>
          <w:tcPr>
            <w:tcW w:w="869" w:type="dxa"/>
            <w:tcBorders>
              <w:top w:val="single" w:sz="4" w:space="0" w:color="auto"/>
              <w:left w:val="nil"/>
              <w:bottom w:val="single" w:sz="4" w:space="0" w:color="auto"/>
              <w:right w:val="nil"/>
            </w:tcBorders>
            <w:hideMark/>
          </w:tcPr>
          <w:p w14:paraId="12F271C5" w14:textId="77777777" w:rsidR="005C2E89" w:rsidRDefault="005C2E89" w:rsidP="00E90C96">
            <w:pPr>
              <w:rPr>
                <w:sz w:val="17"/>
                <w:szCs w:val="17"/>
              </w:rPr>
            </w:pPr>
            <w:r>
              <w:rPr>
                <w:rFonts w:ascii="Times New Roman" w:hAnsi="Times New Roman" w:cs="Times New Roman"/>
                <w:sz w:val="17"/>
                <w:szCs w:val="17"/>
              </w:rPr>
              <w:t>C</w:t>
            </w:r>
          </w:p>
        </w:tc>
        <w:tc>
          <w:tcPr>
            <w:tcW w:w="850" w:type="dxa"/>
            <w:tcBorders>
              <w:top w:val="single" w:sz="4" w:space="0" w:color="auto"/>
              <w:left w:val="nil"/>
              <w:bottom w:val="single" w:sz="4" w:space="0" w:color="auto"/>
              <w:right w:val="nil"/>
            </w:tcBorders>
            <w:hideMark/>
          </w:tcPr>
          <w:p w14:paraId="7A035579" w14:textId="77777777" w:rsidR="005C2E89" w:rsidRDefault="005C2E89" w:rsidP="00E90C96">
            <w:pPr>
              <w:rPr>
                <w:sz w:val="17"/>
                <w:szCs w:val="17"/>
              </w:rPr>
            </w:pPr>
            <w:r>
              <w:rPr>
                <w:rFonts w:ascii="Times New Roman" w:hAnsi="Times New Roman" w:cs="Times New Roman"/>
                <w:sz w:val="17"/>
                <w:szCs w:val="17"/>
              </w:rPr>
              <w:t>H</w:t>
            </w:r>
          </w:p>
        </w:tc>
        <w:tc>
          <w:tcPr>
            <w:tcW w:w="789" w:type="dxa"/>
            <w:tcBorders>
              <w:top w:val="single" w:sz="4" w:space="0" w:color="auto"/>
              <w:left w:val="nil"/>
              <w:bottom w:val="single" w:sz="4" w:space="0" w:color="auto"/>
              <w:right w:val="nil"/>
            </w:tcBorders>
            <w:hideMark/>
          </w:tcPr>
          <w:p w14:paraId="6CF30B06" w14:textId="77777777" w:rsidR="005C2E89" w:rsidRDefault="005C2E89" w:rsidP="00E90C96">
            <w:pPr>
              <w:rPr>
                <w:sz w:val="17"/>
                <w:szCs w:val="17"/>
              </w:rPr>
            </w:pPr>
            <w:r>
              <w:rPr>
                <w:rFonts w:ascii="Times New Roman" w:hAnsi="Times New Roman" w:cs="Times New Roman"/>
                <w:sz w:val="17"/>
                <w:szCs w:val="17"/>
              </w:rPr>
              <w:t>O</w:t>
            </w:r>
          </w:p>
        </w:tc>
        <w:tc>
          <w:tcPr>
            <w:tcW w:w="907" w:type="dxa"/>
            <w:tcBorders>
              <w:top w:val="single" w:sz="4" w:space="0" w:color="auto"/>
              <w:left w:val="nil"/>
              <w:bottom w:val="single" w:sz="4" w:space="0" w:color="auto"/>
              <w:right w:val="nil"/>
            </w:tcBorders>
            <w:hideMark/>
          </w:tcPr>
          <w:p w14:paraId="42FADFFD" w14:textId="77777777" w:rsidR="005C2E89" w:rsidRDefault="005C2E89" w:rsidP="00E90C96">
            <w:pPr>
              <w:rPr>
                <w:sz w:val="17"/>
                <w:szCs w:val="17"/>
              </w:rPr>
            </w:pPr>
            <w:r>
              <w:rPr>
                <w:rFonts w:ascii="Times New Roman" w:hAnsi="Times New Roman" w:cs="Times New Roman"/>
                <w:sz w:val="17"/>
                <w:szCs w:val="17"/>
              </w:rPr>
              <w:t>N</w:t>
            </w:r>
          </w:p>
        </w:tc>
        <w:tc>
          <w:tcPr>
            <w:tcW w:w="907" w:type="dxa"/>
            <w:tcBorders>
              <w:top w:val="single" w:sz="4" w:space="0" w:color="auto"/>
              <w:left w:val="nil"/>
              <w:bottom w:val="single" w:sz="4" w:space="0" w:color="auto"/>
              <w:right w:val="nil"/>
            </w:tcBorders>
            <w:hideMark/>
          </w:tcPr>
          <w:p w14:paraId="2D6FBBA9" w14:textId="77777777" w:rsidR="005C2E89" w:rsidRDefault="005C2E89" w:rsidP="00E90C96">
            <w:pPr>
              <w:rPr>
                <w:sz w:val="17"/>
                <w:szCs w:val="17"/>
              </w:rPr>
            </w:pPr>
            <w:r>
              <w:rPr>
                <w:rFonts w:ascii="Times New Roman" w:hAnsi="Times New Roman" w:cs="Times New Roman"/>
                <w:sz w:val="17"/>
                <w:szCs w:val="17"/>
              </w:rPr>
              <w:t>S</w:t>
            </w:r>
          </w:p>
        </w:tc>
        <w:tc>
          <w:tcPr>
            <w:tcW w:w="907" w:type="dxa"/>
            <w:tcBorders>
              <w:top w:val="single" w:sz="4" w:space="0" w:color="auto"/>
              <w:left w:val="nil"/>
              <w:bottom w:val="single" w:sz="4" w:space="0" w:color="auto"/>
              <w:right w:val="nil"/>
            </w:tcBorders>
            <w:hideMark/>
          </w:tcPr>
          <w:p w14:paraId="327F1890" w14:textId="77777777" w:rsidR="005C2E89" w:rsidRDefault="005C2E89" w:rsidP="00E90C96">
            <w:pPr>
              <w:rPr>
                <w:sz w:val="17"/>
                <w:szCs w:val="17"/>
              </w:rPr>
            </w:pPr>
            <w:r>
              <w:rPr>
                <w:rFonts w:ascii="Times New Roman" w:hAnsi="Times New Roman" w:cs="Times New Roman"/>
                <w:sz w:val="17"/>
                <w:szCs w:val="17"/>
              </w:rPr>
              <w:t>Cl</w:t>
            </w:r>
          </w:p>
        </w:tc>
        <w:tc>
          <w:tcPr>
            <w:tcW w:w="907" w:type="dxa"/>
            <w:tcBorders>
              <w:top w:val="single" w:sz="4" w:space="0" w:color="auto"/>
              <w:left w:val="nil"/>
              <w:bottom w:val="single" w:sz="4" w:space="0" w:color="auto"/>
              <w:right w:val="nil"/>
            </w:tcBorders>
            <w:hideMark/>
          </w:tcPr>
          <w:p w14:paraId="50DE21CE" w14:textId="77777777" w:rsidR="005C2E89" w:rsidRDefault="005C2E89" w:rsidP="00E90C96">
            <w:pPr>
              <w:rPr>
                <w:sz w:val="17"/>
                <w:szCs w:val="17"/>
              </w:rPr>
            </w:pPr>
            <w:r>
              <w:rPr>
                <w:rFonts w:ascii="Times New Roman" w:hAnsi="Times New Roman" w:cs="Times New Roman"/>
                <w:sz w:val="17"/>
                <w:szCs w:val="17"/>
              </w:rPr>
              <w:t>H/C</w:t>
            </w:r>
          </w:p>
        </w:tc>
        <w:tc>
          <w:tcPr>
            <w:tcW w:w="907" w:type="dxa"/>
            <w:tcBorders>
              <w:top w:val="single" w:sz="4" w:space="0" w:color="auto"/>
              <w:left w:val="nil"/>
              <w:bottom w:val="single" w:sz="4" w:space="0" w:color="auto"/>
              <w:right w:val="nil"/>
            </w:tcBorders>
            <w:hideMark/>
          </w:tcPr>
          <w:p w14:paraId="74C3BF56" w14:textId="77777777" w:rsidR="005C2E89" w:rsidRDefault="005C2E89" w:rsidP="00E90C96">
            <w:pPr>
              <w:rPr>
                <w:sz w:val="17"/>
                <w:szCs w:val="17"/>
              </w:rPr>
            </w:pPr>
            <w:r>
              <w:rPr>
                <w:rFonts w:ascii="Times New Roman" w:hAnsi="Times New Roman" w:cs="Times New Roman"/>
                <w:sz w:val="17"/>
                <w:szCs w:val="17"/>
              </w:rPr>
              <w:t>O/C</w:t>
            </w:r>
          </w:p>
        </w:tc>
      </w:tr>
      <w:tr w:rsidR="005C2E89" w14:paraId="728848D0" w14:textId="77777777" w:rsidTr="00E90C96">
        <w:tc>
          <w:tcPr>
            <w:tcW w:w="1253" w:type="dxa"/>
            <w:tcBorders>
              <w:top w:val="single" w:sz="4" w:space="0" w:color="auto"/>
              <w:left w:val="nil"/>
              <w:bottom w:val="single" w:sz="12" w:space="0" w:color="auto"/>
              <w:right w:val="nil"/>
            </w:tcBorders>
            <w:hideMark/>
          </w:tcPr>
          <w:p w14:paraId="7F2D46AC" w14:textId="77777777" w:rsidR="005C2E89" w:rsidRDefault="005C2E89" w:rsidP="00E90C96">
            <w:pPr>
              <w:rPr>
                <w:sz w:val="17"/>
                <w:szCs w:val="17"/>
              </w:rPr>
            </w:pPr>
            <w:r>
              <w:rPr>
                <w:rFonts w:ascii="Times New Roman" w:hAnsi="Times New Roman" w:cs="Times New Roman"/>
                <w:sz w:val="17"/>
                <w:szCs w:val="17"/>
              </w:rPr>
              <w:t>Corn straw</w:t>
            </w:r>
          </w:p>
        </w:tc>
        <w:tc>
          <w:tcPr>
            <w:tcW w:w="869" w:type="dxa"/>
            <w:tcBorders>
              <w:top w:val="single" w:sz="4" w:space="0" w:color="auto"/>
              <w:left w:val="nil"/>
              <w:bottom w:val="single" w:sz="12" w:space="0" w:color="auto"/>
              <w:right w:val="nil"/>
            </w:tcBorders>
            <w:hideMark/>
          </w:tcPr>
          <w:p w14:paraId="06FD3A03" w14:textId="77777777" w:rsidR="005C2E89" w:rsidRDefault="005C2E89" w:rsidP="00E90C96">
            <w:pPr>
              <w:rPr>
                <w:sz w:val="17"/>
                <w:szCs w:val="17"/>
              </w:rPr>
            </w:pPr>
            <w:r>
              <w:rPr>
                <w:rFonts w:ascii="Times New Roman" w:hAnsi="Times New Roman" w:cs="Times New Roman"/>
                <w:sz w:val="17"/>
                <w:szCs w:val="17"/>
              </w:rPr>
              <w:t>43.83</w:t>
            </w:r>
          </w:p>
        </w:tc>
        <w:tc>
          <w:tcPr>
            <w:tcW w:w="850" w:type="dxa"/>
            <w:tcBorders>
              <w:top w:val="single" w:sz="4" w:space="0" w:color="auto"/>
              <w:left w:val="nil"/>
              <w:bottom w:val="single" w:sz="12" w:space="0" w:color="auto"/>
              <w:right w:val="nil"/>
            </w:tcBorders>
            <w:hideMark/>
          </w:tcPr>
          <w:p w14:paraId="3BA72C94" w14:textId="77777777" w:rsidR="005C2E89" w:rsidRDefault="005C2E89" w:rsidP="00E90C96">
            <w:pPr>
              <w:rPr>
                <w:sz w:val="17"/>
                <w:szCs w:val="17"/>
              </w:rPr>
            </w:pPr>
            <w:r>
              <w:rPr>
                <w:rFonts w:ascii="Times New Roman" w:hAnsi="Times New Roman" w:cs="Times New Roman"/>
                <w:sz w:val="17"/>
                <w:szCs w:val="17"/>
              </w:rPr>
              <w:t>5.75</w:t>
            </w:r>
          </w:p>
        </w:tc>
        <w:tc>
          <w:tcPr>
            <w:tcW w:w="789" w:type="dxa"/>
            <w:tcBorders>
              <w:top w:val="single" w:sz="4" w:space="0" w:color="auto"/>
              <w:left w:val="nil"/>
              <w:bottom w:val="single" w:sz="12" w:space="0" w:color="auto"/>
              <w:right w:val="nil"/>
            </w:tcBorders>
            <w:hideMark/>
          </w:tcPr>
          <w:p w14:paraId="1765F90B" w14:textId="77777777" w:rsidR="005C2E89" w:rsidRDefault="005C2E89" w:rsidP="00E90C96">
            <w:pPr>
              <w:rPr>
                <w:sz w:val="17"/>
                <w:szCs w:val="17"/>
              </w:rPr>
            </w:pPr>
            <w:r>
              <w:rPr>
                <w:rFonts w:ascii="Times New Roman" w:hAnsi="Times New Roman" w:cs="Times New Roman"/>
                <w:sz w:val="17"/>
                <w:szCs w:val="17"/>
              </w:rPr>
              <w:t>49.00</w:t>
            </w:r>
          </w:p>
        </w:tc>
        <w:tc>
          <w:tcPr>
            <w:tcW w:w="907" w:type="dxa"/>
            <w:tcBorders>
              <w:top w:val="single" w:sz="4" w:space="0" w:color="auto"/>
              <w:left w:val="nil"/>
              <w:bottom w:val="single" w:sz="12" w:space="0" w:color="auto"/>
              <w:right w:val="nil"/>
            </w:tcBorders>
            <w:hideMark/>
          </w:tcPr>
          <w:p w14:paraId="3E0FD537" w14:textId="77777777" w:rsidR="005C2E89" w:rsidRDefault="005C2E89" w:rsidP="00E90C96">
            <w:pPr>
              <w:rPr>
                <w:sz w:val="17"/>
                <w:szCs w:val="17"/>
              </w:rPr>
            </w:pPr>
            <w:r>
              <w:rPr>
                <w:rFonts w:ascii="Times New Roman" w:hAnsi="Times New Roman" w:cs="Times New Roman"/>
                <w:sz w:val="17"/>
                <w:szCs w:val="17"/>
              </w:rPr>
              <w:t>0.97</w:t>
            </w:r>
          </w:p>
        </w:tc>
        <w:tc>
          <w:tcPr>
            <w:tcW w:w="907" w:type="dxa"/>
            <w:tcBorders>
              <w:top w:val="single" w:sz="4" w:space="0" w:color="auto"/>
              <w:left w:val="nil"/>
              <w:bottom w:val="single" w:sz="12" w:space="0" w:color="auto"/>
              <w:right w:val="nil"/>
            </w:tcBorders>
            <w:hideMark/>
          </w:tcPr>
          <w:p w14:paraId="00737DFE" w14:textId="77777777" w:rsidR="005C2E89" w:rsidRDefault="005C2E89" w:rsidP="00E90C96">
            <w:pPr>
              <w:rPr>
                <w:sz w:val="17"/>
                <w:szCs w:val="17"/>
              </w:rPr>
            </w:pPr>
            <w:r>
              <w:rPr>
                <w:rFonts w:ascii="Times New Roman" w:hAnsi="Times New Roman" w:cs="Times New Roman"/>
                <w:sz w:val="17"/>
                <w:szCs w:val="17"/>
              </w:rPr>
              <w:t>0.13</w:t>
            </w:r>
          </w:p>
        </w:tc>
        <w:tc>
          <w:tcPr>
            <w:tcW w:w="907" w:type="dxa"/>
            <w:tcBorders>
              <w:top w:val="single" w:sz="4" w:space="0" w:color="auto"/>
              <w:left w:val="nil"/>
              <w:bottom w:val="single" w:sz="12" w:space="0" w:color="auto"/>
              <w:right w:val="nil"/>
            </w:tcBorders>
            <w:hideMark/>
          </w:tcPr>
          <w:p w14:paraId="69B53909" w14:textId="77777777" w:rsidR="005C2E89" w:rsidRDefault="005C2E89" w:rsidP="00E90C96">
            <w:pPr>
              <w:rPr>
                <w:sz w:val="17"/>
                <w:szCs w:val="17"/>
              </w:rPr>
            </w:pPr>
            <w:r>
              <w:rPr>
                <w:rFonts w:ascii="Times New Roman" w:hAnsi="Times New Roman" w:cs="Times New Roman"/>
                <w:sz w:val="17"/>
                <w:szCs w:val="17"/>
              </w:rPr>
              <w:t>0.32</w:t>
            </w:r>
          </w:p>
        </w:tc>
        <w:tc>
          <w:tcPr>
            <w:tcW w:w="907" w:type="dxa"/>
            <w:tcBorders>
              <w:top w:val="single" w:sz="4" w:space="0" w:color="auto"/>
              <w:left w:val="nil"/>
              <w:bottom w:val="single" w:sz="12" w:space="0" w:color="auto"/>
              <w:right w:val="nil"/>
            </w:tcBorders>
            <w:hideMark/>
          </w:tcPr>
          <w:p w14:paraId="6859FE36" w14:textId="77777777" w:rsidR="005C2E89" w:rsidRDefault="005C2E89" w:rsidP="00E90C96">
            <w:pPr>
              <w:rPr>
                <w:sz w:val="17"/>
                <w:szCs w:val="17"/>
              </w:rPr>
            </w:pPr>
            <w:r>
              <w:rPr>
                <w:rFonts w:ascii="Times New Roman" w:hAnsi="Times New Roman" w:cs="Times New Roman"/>
                <w:sz w:val="17"/>
                <w:szCs w:val="17"/>
              </w:rPr>
              <w:t>1.57</w:t>
            </w:r>
          </w:p>
        </w:tc>
        <w:tc>
          <w:tcPr>
            <w:tcW w:w="907" w:type="dxa"/>
            <w:tcBorders>
              <w:top w:val="single" w:sz="4" w:space="0" w:color="auto"/>
              <w:left w:val="nil"/>
              <w:bottom w:val="single" w:sz="12" w:space="0" w:color="auto"/>
              <w:right w:val="nil"/>
            </w:tcBorders>
            <w:hideMark/>
          </w:tcPr>
          <w:p w14:paraId="5F7A5128" w14:textId="77777777" w:rsidR="005C2E89" w:rsidRDefault="005C2E89" w:rsidP="00E90C96">
            <w:pPr>
              <w:rPr>
                <w:sz w:val="17"/>
                <w:szCs w:val="17"/>
              </w:rPr>
            </w:pPr>
            <w:r>
              <w:rPr>
                <w:rFonts w:ascii="Times New Roman" w:hAnsi="Times New Roman" w:cs="Times New Roman"/>
                <w:sz w:val="17"/>
                <w:szCs w:val="17"/>
              </w:rPr>
              <w:t>0.84</w:t>
            </w:r>
          </w:p>
        </w:tc>
      </w:tr>
    </w:tbl>
    <w:p w14:paraId="77932125" w14:textId="2C897DE4" w:rsidR="005C2E89" w:rsidRDefault="005C2E89"/>
    <w:p w14:paraId="0340F3EA" w14:textId="73E1117E" w:rsidR="005C2E89" w:rsidRPr="005C2E89" w:rsidRDefault="005C2E89" w:rsidP="005C2E89">
      <w:pPr>
        <w:ind w:firstLineChars="200" w:firstLine="420"/>
        <w:jc w:val="left"/>
        <w:rPr>
          <w:rFonts w:ascii="Times New Roman" w:hAnsi="Times New Roman" w:cs="Times New Roman"/>
        </w:rPr>
      </w:pPr>
      <w:r w:rsidRPr="005C2E89">
        <w:rPr>
          <w:rFonts w:ascii="Times New Roman" w:hAnsi="Times New Roman" w:cs="Times New Roman"/>
        </w:rPr>
        <w:t xml:space="preserve">Thermogravimetric analysis of samples under nitrogen protection was carried out using a thermogravimetric balance. Prior to the experiment, nitrogen was injected into the furnace to exhaust the air from the furnace. The crushed straw was weighed to approximately 10 mg and loaded into an alumina crucible. The </w:t>
      </w:r>
      <w:r w:rsidR="00963D7E">
        <w:rPr>
          <w:rFonts w:ascii="Times New Roman" w:hAnsi="Times New Roman" w:cs="Times New Roman" w:hint="eastAsia"/>
        </w:rPr>
        <w:t>flow</w:t>
      </w:r>
      <w:r w:rsidRPr="005C2E89">
        <w:rPr>
          <w:rFonts w:ascii="Times New Roman" w:hAnsi="Times New Roman" w:cs="Times New Roman"/>
        </w:rPr>
        <w:t xml:space="preserve"> of nitrogen was adjusted to 10 mL/min and the final reaction temperatures were set to 300 °C, 400 °C and 500 °C for two variables. The heating rates were 10 K/min, 20 K/min and 30 K/min. The holding time was controlled for 10 min to allow the straw to react adequately at the controlled temperature.</w:t>
      </w:r>
    </w:p>
    <w:p w14:paraId="6DDA1572" w14:textId="77777777" w:rsidR="005C2E89" w:rsidRPr="005C2E89" w:rsidRDefault="005C2E89" w:rsidP="005C2E89">
      <w:pPr>
        <w:ind w:firstLineChars="200" w:firstLine="420"/>
        <w:jc w:val="left"/>
        <w:rPr>
          <w:rFonts w:ascii="Times New Roman" w:hAnsi="Times New Roman" w:cs="Times New Roman"/>
        </w:rPr>
      </w:pPr>
      <w:r w:rsidRPr="005C2E89">
        <w:rPr>
          <w:rFonts w:ascii="Times New Roman" w:hAnsi="Times New Roman" w:cs="Times New Roman"/>
        </w:rPr>
        <w:t>The results of the TG analysis are shown in Table 3 below. It can be seen that the extrapolated initial temperature did not change much between 258 and 266°C, although the reaction termination temperature and the rate of temperature increase were constantly changing. The temperature of the inflection point did not vary much between 263 and 282°C. The extrapolation termination point temperature varied little, between 277 and 300°C. As the reaction termination temperature increased, the rate of weight loss increased significantly, but the rate of weight loss was not significantly related to the rate of temperature increase.</w:t>
      </w:r>
    </w:p>
    <w:p w14:paraId="6275B485" w14:textId="77777777" w:rsidR="005C2E89" w:rsidRDefault="005C2E89" w:rsidP="005C2E89"/>
    <w:p w14:paraId="435C7B1E" w14:textId="1C68FEDE" w:rsidR="005C2E89" w:rsidRDefault="005C2E89" w:rsidP="005C2E89">
      <w:pPr>
        <w:ind w:firstLineChars="200" w:firstLine="340"/>
        <w:jc w:val="left"/>
        <w:rPr>
          <w:rFonts w:ascii="Times New Roman" w:hAnsi="Times New Roman" w:cs="Times New Roman"/>
          <w:color w:val="231F20"/>
          <w:sz w:val="17"/>
        </w:rPr>
      </w:pPr>
      <w:r>
        <w:rPr>
          <w:rFonts w:ascii="Tahoma" w:hAnsi="Tahoma" w:cs="Tahoma"/>
          <w:b/>
          <w:bCs/>
          <w:color w:val="231F20"/>
          <w:sz w:val="17"/>
        </w:rPr>
        <w:t xml:space="preserve">Table </w:t>
      </w:r>
      <w:r w:rsidR="00963D7E">
        <w:rPr>
          <w:rFonts w:ascii="Tahoma" w:hAnsi="Tahoma" w:cs="Tahoma" w:hint="eastAsia"/>
          <w:b/>
          <w:bCs/>
          <w:color w:val="231F20"/>
          <w:sz w:val="17"/>
        </w:rPr>
        <w:t>S</w:t>
      </w:r>
      <w:r>
        <w:rPr>
          <w:rFonts w:ascii="Tahoma" w:hAnsi="Tahoma" w:cs="Tahoma"/>
          <w:b/>
          <w:bCs/>
          <w:color w:val="231F20"/>
          <w:sz w:val="17"/>
        </w:rPr>
        <w:t>3</w:t>
      </w:r>
      <w:r>
        <w:rPr>
          <w:rFonts w:ascii="Times New Roman" w:hAnsi="Times New Roman" w:cs="Times New Roman"/>
          <w:color w:val="231F20"/>
          <w:sz w:val="17"/>
        </w:rPr>
        <w:t xml:space="preserve"> Thermogravimetric analysis</w:t>
      </w:r>
    </w:p>
    <w:tbl>
      <w:tblPr>
        <w:tblStyle w:val="a7"/>
        <w:tblW w:w="0" w:type="auto"/>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5"/>
        <w:gridCol w:w="1043"/>
        <w:gridCol w:w="1065"/>
        <w:gridCol w:w="1249"/>
        <w:gridCol w:w="1441"/>
        <w:gridCol w:w="1249"/>
        <w:gridCol w:w="1484"/>
      </w:tblGrid>
      <w:tr w:rsidR="005C2E89" w14:paraId="3C579C6A" w14:textId="77777777" w:rsidTr="005C2E89">
        <w:trPr>
          <w:trHeight w:val="276"/>
        </w:trPr>
        <w:tc>
          <w:tcPr>
            <w:tcW w:w="773" w:type="dxa"/>
            <w:tcBorders>
              <w:top w:val="single" w:sz="12" w:space="0" w:color="auto"/>
              <w:left w:val="nil"/>
              <w:bottom w:val="single" w:sz="12" w:space="0" w:color="auto"/>
              <w:right w:val="nil"/>
            </w:tcBorders>
            <w:noWrap/>
            <w:hideMark/>
          </w:tcPr>
          <w:p w14:paraId="4DEBFDC5"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Number</w:t>
            </w:r>
          </w:p>
        </w:tc>
        <w:tc>
          <w:tcPr>
            <w:tcW w:w="1043" w:type="dxa"/>
            <w:tcBorders>
              <w:top w:val="single" w:sz="12" w:space="0" w:color="auto"/>
              <w:left w:val="nil"/>
              <w:bottom w:val="single" w:sz="12" w:space="0" w:color="auto"/>
              <w:right w:val="nil"/>
            </w:tcBorders>
            <w:noWrap/>
            <w:hideMark/>
          </w:tcPr>
          <w:p w14:paraId="71736088"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The terminal temperature reaction/℃</w:t>
            </w:r>
          </w:p>
        </w:tc>
        <w:tc>
          <w:tcPr>
            <w:tcW w:w="1065" w:type="dxa"/>
            <w:tcBorders>
              <w:top w:val="single" w:sz="12" w:space="0" w:color="auto"/>
              <w:left w:val="nil"/>
              <w:bottom w:val="single" w:sz="12" w:space="0" w:color="auto"/>
              <w:right w:val="nil"/>
            </w:tcBorders>
            <w:noWrap/>
            <w:hideMark/>
          </w:tcPr>
          <w:p w14:paraId="724B25C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Heating rate/(K/min)</w:t>
            </w:r>
          </w:p>
        </w:tc>
        <w:tc>
          <w:tcPr>
            <w:tcW w:w="1249" w:type="dxa"/>
            <w:tcBorders>
              <w:top w:val="single" w:sz="12" w:space="0" w:color="auto"/>
              <w:left w:val="nil"/>
              <w:bottom w:val="single" w:sz="12" w:space="0" w:color="auto"/>
              <w:right w:val="nil"/>
            </w:tcBorders>
            <w:noWrap/>
            <w:hideMark/>
          </w:tcPr>
          <w:p w14:paraId="47F65F53"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Extrapolate the starting temperature/℃</w:t>
            </w:r>
          </w:p>
        </w:tc>
        <w:tc>
          <w:tcPr>
            <w:tcW w:w="1442" w:type="dxa"/>
            <w:tcBorders>
              <w:top w:val="single" w:sz="12" w:space="0" w:color="auto"/>
              <w:left w:val="nil"/>
              <w:bottom w:val="single" w:sz="12" w:space="0" w:color="auto"/>
              <w:right w:val="nil"/>
            </w:tcBorders>
            <w:noWrap/>
            <w:hideMark/>
          </w:tcPr>
          <w:p w14:paraId="51B3C6F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The inflection point temperature/℃</w:t>
            </w:r>
          </w:p>
        </w:tc>
        <w:tc>
          <w:tcPr>
            <w:tcW w:w="1249" w:type="dxa"/>
            <w:tcBorders>
              <w:top w:val="single" w:sz="12" w:space="0" w:color="auto"/>
              <w:left w:val="nil"/>
              <w:bottom w:val="single" w:sz="12" w:space="0" w:color="auto"/>
              <w:right w:val="nil"/>
            </w:tcBorders>
            <w:noWrap/>
            <w:hideMark/>
          </w:tcPr>
          <w:p w14:paraId="78E6084A"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Extrapolate the termination point temperature/℃</w:t>
            </w:r>
          </w:p>
        </w:tc>
        <w:tc>
          <w:tcPr>
            <w:tcW w:w="1485" w:type="dxa"/>
            <w:tcBorders>
              <w:top w:val="single" w:sz="12" w:space="0" w:color="auto"/>
              <w:left w:val="nil"/>
              <w:bottom w:val="single" w:sz="12" w:space="0" w:color="auto"/>
              <w:right w:val="nil"/>
            </w:tcBorders>
            <w:noWrap/>
            <w:hideMark/>
          </w:tcPr>
          <w:p w14:paraId="2BD8EF0D"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Percentage weightlessness/%</w:t>
            </w:r>
          </w:p>
        </w:tc>
      </w:tr>
      <w:tr w:rsidR="005C2E89" w14:paraId="3999EA7B" w14:textId="77777777" w:rsidTr="005C2E89">
        <w:trPr>
          <w:trHeight w:val="276"/>
        </w:trPr>
        <w:tc>
          <w:tcPr>
            <w:tcW w:w="773" w:type="dxa"/>
            <w:tcBorders>
              <w:top w:val="single" w:sz="12" w:space="0" w:color="auto"/>
              <w:left w:val="nil"/>
              <w:bottom w:val="nil"/>
              <w:right w:val="nil"/>
            </w:tcBorders>
            <w:noWrap/>
            <w:hideMark/>
          </w:tcPr>
          <w:p w14:paraId="08186E6B"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1</w:t>
            </w:r>
          </w:p>
        </w:tc>
        <w:tc>
          <w:tcPr>
            <w:tcW w:w="1043" w:type="dxa"/>
            <w:tcBorders>
              <w:top w:val="single" w:sz="12" w:space="0" w:color="auto"/>
              <w:left w:val="nil"/>
              <w:bottom w:val="nil"/>
              <w:right w:val="nil"/>
            </w:tcBorders>
            <w:noWrap/>
            <w:hideMark/>
          </w:tcPr>
          <w:p w14:paraId="2C50C588"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500</w:t>
            </w:r>
          </w:p>
        </w:tc>
        <w:tc>
          <w:tcPr>
            <w:tcW w:w="1065" w:type="dxa"/>
            <w:tcBorders>
              <w:top w:val="single" w:sz="12" w:space="0" w:color="auto"/>
              <w:left w:val="nil"/>
              <w:bottom w:val="nil"/>
              <w:right w:val="nil"/>
            </w:tcBorders>
            <w:noWrap/>
            <w:hideMark/>
          </w:tcPr>
          <w:p w14:paraId="31B6B0E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30</w:t>
            </w:r>
          </w:p>
        </w:tc>
        <w:tc>
          <w:tcPr>
            <w:tcW w:w="1249" w:type="dxa"/>
            <w:tcBorders>
              <w:top w:val="single" w:sz="12" w:space="0" w:color="auto"/>
              <w:left w:val="nil"/>
              <w:bottom w:val="nil"/>
              <w:right w:val="nil"/>
            </w:tcBorders>
            <w:noWrap/>
            <w:hideMark/>
          </w:tcPr>
          <w:p w14:paraId="48AD2DC3"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261.5 </w:t>
            </w:r>
          </w:p>
        </w:tc>
        <w:tc>
          <w:tcPr>
            <w:tcW w:w="1442" w:type="dxa"/>
            <w:tcBorders>
              <w:top w:val="single" w:sz="12" w:space="0" w:color="auto"/>
              <w:left w:val="nil"/>
              <w:bottom w:val="nil"/>
              <w:right w:val="nil"/>
            </w:tcBorders>
            <w:noWrap/>
            <w:hideMark/>
          </w:tcPr>
          <w:p w14:paraId="36C1733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282.6 </w:t>
            </w:r>
          </w:p>
        </w:tc>
        <w:tc>
          <w:tcPr>
            <w:tcW w:w="1249" w:type="dxa"/>
            <w:tcBorders>
              <w:top w:val="single" w:sz="12" w:space="0" w:color="auto"/>
              <w:left w:val="nil"/>
              <w:bottom w:val="nil"/>
              <w:right w:val="nil"/>
            </w:tcBorders>
            <w:noWrap/>
            <w:hideMark/>
          </w:tcPr>
          <w:p w14:paraId="366F16D2"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301.0 </w:t>
            </w:r>
          </w:p>
        </w:tc>
        <w:tc>
          <w:tcPr>
            <w:tcW w:w="1485" w:type="dxa"/>
            <w:tcBorders>
              <w:top w:val="single" w:sz="12" w:space="0" w:color="auto"/>
              <w:left w:val="nil"/>
              <w:bottom w:val="nil"/>
              <w:right w:val="nil"/>
            </w:tcBorders>
            <w:noWrap/>
            <w:hideMark/>
          </w:tcPr>
          <w:p w14:paraId="5ECB5572"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71.23 </w:t>
            </w:r>
          </w:p>
        </w:tc>
      </w:tr>
      <w:tr w:rsidR="005C2E89" w14:paraId="0418C28C" w14:textId="77777777" w:rsidTr="005C2E89">
        <w:trPr>
          <w:trHeight w:val="276"/>
        </w:trPr>
        <w:tc>
          <w:tcPr>
            <w:tcW w:w="773" w:type="dxa"/>
            <w:tcBorders>
              <w:top w:val="nil"/>
              <w:left w:val="nil"/>
              <w:bottom w:val="nil"/>
              <w:right w:val="nil"/>
            </w:tcBorders>
            <w:noWrap/>
            <w:hideMark/>
          </w:tcPr>
          <w:p w14:paraId="60C53205"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2</w:t>
            </w:r>
          </w:p>
        </w:tc>
        <w:tc>
          <w:tcPr>
            <w:tcW w:w="1043" w:type="dxa"/>
            <w:tcBorders>
              <w:top w:val="nil"/>
              <w:left w:val="nil"/>
              <w:bottom w:val="nil"/>
              <w:right w:val="nil"/>
            </w:tcBorders>
            <w:noWrap/>
            <w:hideMark/>
          </w:tcPr>
          <w:p w14:paraId="081CD2A5"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400</w:t>
            </w:r>
          </w:p>
        </w:tc>
        <w:tc>
          <w:tcPr>
            <w:tcW w:w="1065" w:type="dxa"/>
            <w:tcBorders>
              <w:top w:val="nil"/>
              <w:left w:val="nil"/>
              <w:bottom w:val="nil"/>
              <w:right w:val="nil"/>
            </w:tcBorders>
            <w:noWrap/>
            <w:hideMark/>
          </w:tcPr>
          <w:p w14:paraId="54C9BBD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30</w:t>
            </w:r>
          </w:p>
        </w:tc>
        <w:tc>
          <w:tcPr>
            <w:tcW w:w="1249" w:type="dxa"/>
            <w:tcBorders>
              <w:top w:val="nil"/>
              <w:left w:val="nil"/>
              <w:bottom w:val="nil"/>
              <w:right w:val="nil"/>
            </w:tcBorders>
            <w:noWrap/>
            <w:hideMark/>
          </w:tcPr>
          <w:p w14:paraId="5A37EDE9"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259.2 </w:t>
            </w:r>
          </w:p>
        </w:tc>
        <w:tc>
          <w:tcPr>
            <w:tcW w:w="1442" w:type="dxa"/>
            <w:tcBorders>
              <w:top w:val="nil"/>
              <w:left w:val="nil"/>
              <w:bottom w:val="nil"/>
              <w:right w:val="nil"/>
            </w:tcBorders>
            <w:noWrap/>
            <w:hideMark/>
          </w:tcPr>
          <w:p w14:paraId="2EAEF670"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266.9 </w:t>
            </w:r>
          </w:p>
        </w:tc>
        <w:tc>
          <w:tcPr>
            <w:tcW w:w="1249" w:type="dxa"/>
            <w:tcBorders>
              <w:top w:val="nil"/>
              <w:left w:val="nil"/>
              <w:bottom w:val="nil"/>
              <w:right w:val="nil"/>
            </w:tcBorders>
            <w:noWrap/>
            <w:hideMark/>
          </w:tcPr>
          <w:p w14:paraId="0930E4A8"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280.4 </w:t>
            </w:r>
          </w:p>
        </w:tc>
        <w:tc>
          <w:tcPr>
            <w:tcW w:w="1485" w:type="dxa"/>
            <w:tcBorders>
              <w:top w:val="nil"/>
              <w:left w:val="nil"/>
              <w:bottom w:val="nil"/>
              <w:right w:val="nil"/>
            </w:tcBorders>
            <w:noWrap/>
            <w:hideMark/>
          </w:tcPr>
          <w:p w14:paraId="33C0BCD3"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55.90 </w:t>
            </w:r>
          </w:p>
        </w:tc>
      </w:tr>
      <w:tr w:rsidR="005C2E89" w14:paraId="7FC750EB" w14:textId="77777777" w:rsidTr="005C2E89">
        <w:trPr>
          <w:trHeight w:val="276"/>
        </w:trPr>
        <w:tc>
          <w:tcPr>
            <w:tcW w:w="773" w:type="dxa"/>
            <w:tcBorders>
              <w:top w:val="nil"/>
              <w:left w:val="nil"/>
              <w:bottom w:val="nil"/>
              <w:right w:val="nil"/>
            </w:tcBorders>
            <w:noWrap/>
            <w:hideMark/>
          </w:tcPr>
          <w:p w14:paraId="44EC2AC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3</w:t>
            </w:r>
          </w:p>
        </w:tc>
        <w:tc>
          <w:tcPr>
            <w:tcW w:w="1043" w:type="dxa"/>
            <w:tcBorders>
              <w:top w:val="nil"/>
              <w:left w:val="nil"/>
              <w:bottom w:val="nil"/>
              <w:right w:val="nil"/>
            </w:tcBorders>
            <w:noWrap/>
            <w:hideMark/>
          </w:tcPr>
          <w:p w14:paraId="333318A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300</w:t>
            </w:r>
          </w:p>
        </w:tc>
        <w:tc>
          <w:tcPr>
            <w:tcW w:w="1065" w:type="dxa"/>
            <w:tcBorders>
              <w:top w:val="nil"/>
              <w:left w:val="nil"/>
              <w:bottom w:val="nil"/>
              <w:right w:val="nil"/>
            </w:tcBorders>
            <w:noWrap/>
            <w:hideMark/>
          </w:tcPr>
          <w:p w14:paraId="4A455CCA"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30</w:t>
            </w:r>
          </w:p>
        </w:tc>
        <w:tc>
          <w:tcPr>
            <w:tcW w:w="1249" w:type="dxa"/>
            <w:tcBorders>
              <w:top w:val="nil"/>
              <w:left w:val="nil"/>
              <w:bottom w:val="nil"/>
              <w:right w:val="nil"/>
            </w:tcBorders>
            <w:noWrap/>
            <w:hideMark/>
          </w:tcPr>
          <w:p w14:paraId="62058BF8"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258.4 </w:t>
            </w:r>
          </w:p>
        </w:tc>
        <w:tc>
          <w:tcPr>
            <w:tcW w:w="1442" w:type="dxa"/>
            <w:tcBorders>
              <w:top w:val="nil"/>
              <w:left w:val="nil"/>
              <w:bottom w:val="nil"/>
              <w:right w:val="nil"/>
            </w:tcBorders>
            <w:noWrap/>
            <w:hideMark/>
          </w:tcPr>
          <w:p w14:paraId="09D79A17"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263.6 </w:t>
            </w:r>
          </w:p>
        </w:tc>
        <w:tc>
          <w:tcPr>
            <w:tcW w:w="1249" w:type="dxa"/>
            <w:tcBorders>
              <w:top w:val="nil"/>
              <w:left w:val="nil"/>
              <w:bottom w:val="nil"/>
              <w:right w:val="nil"/>
            </w:tcBorders>
            <w:noWrap/>
            <w:hideMark/>
          </w:tcPr>
          <w:p w14:paraId="2F3F1489"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278.9 </w:t>
            </w:r>
          </w:p>
        </w:tc>
        <w:tc>
          <w:tcPr>
            <w:tcW w:w="1485" w:type="dxa"/>
            <w:tcBorders>
              <w:top w:val="nil"/>
              <w:left w:val="nil"/>
              <w:bottom w:val="nil"/>
              <w:right w:val="nil"/>
            </w:tcBorders>
            <w:noWrap/>
            <w:hideMark/>
          </w:tcPr>
          <w:p w14:paraId="22039DBE"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52.59 </w:t>
            </w:r>
          </w:p>
        </w:tc>
      </w:tr>
      <w:tr w:rsidR="005C2E89" w14:paraId="513A6C3A" w14:textId="77777777" w:rsidTr="005C2E89">
        <w:trPr>
          <w:trHeight w:val="276"/>
        </w:trPr>
        <w:tc>
          <w:tcPr>
            <w:tcW w:w="773" w:type="dxa"/>
            <w:tcBorders>
              <w:top w:val="nil"/>
              <w:left w:val="nil"/>
              <w:bottom w:val="nil"/>
              <w:right w:val="nil"/>
            </w:tcBorders>
            <w:noWrap/>
            <w:hideMark/>
          </w:tcPr>
          <w:p w14:paraId="1C7851D7"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4</w:t>
            </w:r>
          </w:p>
        </w:tc>
        <w:tc>
          <w:tcPr>
            <w:tcW w:w="1043" w:type="dxa"/>
            <w:tcBorders>
              <w:top w:val="nil"/>
              <w:left w:val="nil"/>
              <w:bottom w:val="nil"/>
              <w:right w:val="nil"/>
            </w:tcBorders>
            <w:noWrap/>
            <w:hideMark/>
          </w:tcPr>
          <w:p w14:paraId="4EE8725B"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500</w:t>
            </w:r>
          </w:p>
        </w:tc>
        <w:tc>
          <w:tcPr>
            <w:tcW w:w="1065" w:type="dxa"/>
            <w:tcBorders>
              <w:top w:val="nil"/>
              <w:left w:val="nil"/>
              <w:bottom w:val="nil"/>
              <w:right w:val="nil"/>
            </w:tcBorders>
            <w:noWrap/>
            <w:hideMark/>
          </w:tcPr>
          <w:p w14:paraId="4677F150"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20</w:t>
            </w:r>
          </w:p>
        </w:tc>
        <w:tc>
          <w:tcPr>
            <w:tcW w:w="1249" w:type="dxa"/>
            <w:tcBorders>
              <w:top w:val="nil"/>
              <w:left w:val="nil"/>
              <w:bottom w:val="nil"/>
              <w:right w:val="nil"/>
            </w:tcBorders>
            <w:noWrap/>
            <w:hideMark/>
          </w:tcPr>
          <w:p w14:paraId="02716541"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258.8 </w:t>
            </w:r>
          </w:p>
        </w:tc>
        <w:tc>
          <w:tcPr>
            <w:tcW w:w="1442" w:type="dxa"/>
            <w:tcBorders>
              <w:top w:val="nil"/>
              <w:left w:val="nil"/>
              <w:bottom w:val="nil"/>
              <w:right w:val="nil"/>
            </w:tcBorders>
            <w:noWrap/>
            <w:hideMark/>
          </w:tcPr>
          <w:p w14:paraId="53462443"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267.2 </w:t>
            </w:r>
          </w:p>
        </w:tc>
        <w:tc>
          <w:tcPr>
            <w:tcW w:w="1249" w:type="dxa"/>
            <w:tcBorders>
              <w:top w:val="nil"/>
              <w:left w:val="nil"/>
              <w:bottom w:val="nil"/>
              <w:right w:val="nil"/>
            </w:tcBorders>
            <w:noWrap/>
            <w:hideMark/>
          </w:tcPr>
          <w:p w14:paraId="44E9FA47"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282.8 </w:t>
            </w:r>
          </w:p>
        </w:tc>
        <w:tc>
          <w:tcPr>
            <w:tcW w:w="1485" w:type="dxa"/>
            <w:tcBorders>
              <w:top w:val="nil"/>
              <w:left w:val="nil"/>
              <w:bottom w:val="nil"/>
              <w:right w:val="nil"/>
            </w:tcBorders>
            <w:noWrap/>
            <w:hideMark/>
          </w:tcPr>
          <w:p w14:paraId="5F3361C3"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67.70 </w:t>
            </w:r>
          </w:p>
        </w:tc>
      </w:tr>
      <w:tr w:rsidR="005C2E89" w14:paraId="3EB77192" w14:textId="77777777" w:rsidTr="005C2E89">
        <w:trPr>
          <w:trHeight w:val="276"/>
        </w:trPr>
        <w:tc>
          <w:tcPr>
            <w:tcW w:w="773" w:type="dxa"/>
            <w:tcBorders>
              <w:top w:val="nil"/>
              <w:left w:val="nil"/>
              <w:bottom w:val="nil"/>
              <w:right w:val="nil"/>
            </w:tcBorders>
            <w:noWrap/>
            <w:hideMark/>
          </w:tcPr>
          <w:p w14:paraId="4956C69C"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5</w:t>
            </w:r>
          </w:p>
        </w:tc>
        <w:tc>
          <w:tcPr>
            <w:tcW w:w="1043" w:type="dxa"/>
            <w:tcBorders>
              <w:top w:val="nil"/>
              <w:left w:val="nil"/>
              <w:bottom w:val="nil"/>
              <w:right w:val="nil"/>
            </w:tcBorders>
            <w:noWrap/>
            <w:hideMark/>
          </w:tcPr>
          <w:p w14:paraId="210E2AD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400</w:t>
            </w:r>
          </w:p>
        </w:tc>
        <w:tc>
          <w:tcPr>
            <w:tcW w:w="1065" w:type="dxa"/>
            <w:tcBorders>
              <w:top w:val="nil"/>
              <w:left w:val="nil"/>
              <w:bottom w:val="nil"/>
              <w:right w:val="nil"/>
            </w:tcBorders>
            <w:noWrap/>
            <w:hideMark/>
          </w:tcPr>
          <w:p w14:paraId="378E1741"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20</w:t>
            </w:r>
          </w:p>
        </w:tc>
        <w:tc>
          <w:tcPr>
            <w:tcW w:w="1249" w:type="dxa"/>
            <w:tcBorders>
              <w:top w:val="nil"/>
              <w:left w:val="nil"/>
              <w:bottom w:val="nil"/>
              <w:right w:val="nil"/>
            </w:tcBorders>
            <w:noWrap/>
            <w:hideMark/>
          </w:tcPr>
          <w:p w14:paraId="611EE557"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260.7 </w:t>
            </w:r>
          </w:p>
        </w:tc>
        <w:tc>
          <w:tcPr>
            <w:tcW w:w="1442" w:type="dxa"/>
            <w:tcBorders>
              <w:top w:val="nil"/>
              <w:left w:val="nil"/>
              <w:bottom w:val="nil"/>
              <w:right w:val="nil"/>
            </w:tcBorders>
            <w:noWrap/>
            <w:hideMark/>
          </w:tcPr>
          <w:p w14:paraId="79511471"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268.8 </w:t>
            </w:r>
          </w:p>
        </w:tc>
        <w:tc>
          <w:tcPr>
            <w:tcW w:w="1249" w:type="dxa"/>
            <w:tcBorders>
              <w:top w:val="nil"/>
              <w:left w:val="nil"/>
              <w:bottom w:val="nil"/>
              <w:right w:val="nil"/>
            </w:tcBorders>
            <w:noWrap/>
            <w:hideMark/>
          </w:tcPr>
          <w:p w14:paraId="368A2B1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281.8 </w:t>
            </w:r>
          </w:p>
        </w:tc>
        <w:tc>
          <w:tcPr>
            <w:tcW w:w="1485" w:type="dxa"/>
            <w:tcBorders>
              <w:top w:val="nil"/>
              <w:left w:val="nil"/>
              <w:bottom w:val="nil"/>
              <w:right w:val="nil"/>
            </w:tcBorders>
            <w:noWrap/>
            <w:hideMark/>
          </w:tcPr>
          <w:p w14:paraId="6DA3C487"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54.70 </w:t>
            </w:r>
          </w:p>
        </w:tc>
      </w:tr>
      <w:tr w:rsidR="005C2E89" w14:paraId="7C8B109F" w14:textId="77777777" w:rsidTr="005C2E89">
        <w:trPr>
          <w:trHeight w:val="276"/>
        </w:trPr>
        <w:tc>
          <w:tcPr>
            <w:tcW w:w="773" w:type="dxa"/>
            <w:tcBorders>
              <w:top w:val="nil"/>
              <w:left w:val="nil"/>
              <w:bottom w:val="nil"/>
              <w:right w:val="nil"/>
            </w:tcBorders>
            <w:noWrap/>
            <w:hideMark/>
          </w:tcPr>
          <w:p w14:paraId="1E8CB1B4"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6</w:t>
            </w:r>
          </w:p>
        </w:tc>
        <w:tc>
          <w:tcPr>
            <w:tcW w:w="1043" w:type="dxa"/>
            <w:tcBorders>
              <w:top w:val="nil"/>
              <w:left w:val="nil"/>
              <w:bottom w:val="nil"/>
              <w:right w:val="nil"/>
            </w:tcBorders>
            <w:noWrap/>
            <w:hideMark/>
          </w:tcPr>
          <w:p w14:paraId="1689FAB2"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300</w:t>
            </w:r>
          </w:p>
        </w:tc>
        <w:tc>
          <w:tcPr>
            <w:tcW w:w="1065" w:type="dxa"/>
            <w:tcBorders>
              <w:top w:val="nil"/>
              <w:left w:val="nil"/>
              <w:bottom w:val="nil"/>
              <w:right w:val="nil"/>
            </w:tcBorders>
            <w:noWrap/>
            <w:hideMark/>
          </w:tcPr>
          <w:p w14:paraId="466329E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20</w:t>
            </w:r>
          </w:p>
        </w:tc>
        <w:tc>
          <w:tcPr>
            <w:tcW w:w="1249" w:type="dxa"/>
            <w:tcBorders>
              <w:top w:val="nil"/>
              <w:left w:val="nil"/>
              <w:bottom w:val="nil"/>
              <w:right w:val="nil"/>
            </w:tcBorders>
            <w:noWrap/>
            <w:hideMark/>
          </w:tcPr>
          <w:p w14:paraId="654B2EF9"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257.3 </w:t>
            </w:r>
          </w:p>
        </w:tc>
        <w:tc>
          <w:tcPr>
            <w:tcW w:w="1442" w:type="dxa"/>
            <w:tcBorders>
              <w:top w:val="nil"/>
              <w:left w:val="nil"/>
              <w:bottom w:val="nil"/>
              <w:right w:val="nil"/>
            </w:tcBorders>
            <w:noWrap/>
            <w:hideMark/>
          </w:tcPr>
          <w:p w14:paraId="1055FF2B"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269.1 </w:t>
            </w:r>
          </w:p>
        </w:tc>
        <w:tc>
          <w:tcPr>
            <w:tcW w:w="1249" w:type="dxa"/>
            <w:tcBorders>
              <w:top w:val="nil"/>
              <w:left w:val="nil"/>
              <w:bottom w:val="nil"/>
              <w:right w:val="nil"/>
            </w:tcBorders>
            <w:noWrap/>
            <w:hideMark/>
          </w:tcPr>
          <w:p w14:paraId="4E2AE000"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283.4 </w:t>
            </w:r>
          </w:p>
        </w:tc>
        <w:tc>
          <w:tcPr>
            <w:tcW w:w="1485" w:type="dxa"/>
            <w:tcBorders>
              <w:top w:val="nil"/>
              <w:left w:val="nil"/>
              <w:bottom w:val="nil"/>
              <w:right w:val="nil"/>
            </w:tcBorders>
            <w:noWrap/>
            <w:hideMark/>
          </w:tcPr>
          <w:p w14:paraId="5DE02F7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48.17 </w:t>
            </w:r>
          </w:p>
        </w:tc>
      </w:tr>
      <w:tr w:rsidR="005C2E89" w14:paraId="526E041C" w14:textId="77777777" w:rsidTr="005C2E89">
        <w:trPr>
          <w:trHeight w:val="276"/>
        </w:trPr>
        <w:tc>
          <w:tcPr>
            <w:tcW w:w="773" w:type="dxa"/>
            <w:tcBorders>
              <w:top w:val="nil"/>
              <w:left w:val="nil"/>
              <w:bottom w:val="nil"/>
              <w:right w:val="nil"/>
            </w:tcBorders>
            <w:noWrap/>
            <w:hideMark/>
          </w:tcPr>
          <w:p w14:paraId="7E099CC4"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7</w:t>
            </w:r>
          </w:p>
        </w:tc>
        <w:tc>
          <w:tcPr>
            <w:tcW w:w="1043" w:type="dxa"/>
            <w:tcBorders>
              <w:top w:val="nil"/>
              <w:left w:val="nil"/>
              <w:bottom w:val="nil"/>
              <w:right w:val="nil"/>
            </w:tcBorders>
            <w:noWrap/>
            <w:hideMark/>
          </w:tcPr>
          <w:p w14:paraId="51D018E4"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500</w:t>
            </w:r>
          </w:p>
        </w:tc>
        <w:tc>
          <w:tcPr>
            <w:tcW w:w="1065" w:type="dxa"/>
            <w:tcBorders>
              <w:top w:val="nil"/>
              <w:left w:val="nil"/>
              <w:bottom w:val="nil"/>
              <w:right w:val="nil"/>
            </w:tcBorders>
            <w:noWrap/>
            <w:hideMark/>
          </w:tcPr>
          <w:p w14:paraId="3757CF40"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10</w:t>
            </w:r>
          </w:p>
        </w:tc>
        <w:tc>
          <w:tcPr>
            <w:tcW w:w="1249" w:type="dxa"/>
            <w:tcBorders>
              <w:top w:val="nil"/>
              <w:left w:val="nil"/>
              <w:bottom w:val="nil"/>
              <w:right w:val="nil"/>
            </w:tcBorders>
            <w:noWrap/>
            <w:hideMark/>
          </w:tcPr>
          <w:p w14:paraId="3EB69DB8"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263.3 </w:t>
            </w:r>
          </w:p>
        </w:tc>
        <w:tc>
          <w:tcPr>
            <w:tcW w:w="1442" w:type="dxa"/>
            <w:tcBorders>
              <w:top w:val="nil"/>
              <w:left w:val="nil"/>
              <w:bottom w:val="nil"/>
              <w:right w:val="nil"/>
            </w:tcBorders>
            <w:noWrap/>
            <w:hideMark/>
          </w:tcPr>
          <w:p w14:paraId="7ECD8304"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275.0 </w:t>
            </w:r>
          </w:p>
        </w:tc>
        <w:tc>
          <w:tcPr>
            <w:tcW w:w="1249" w:type="dxa"/>
            <w:tcBorders>
              <w:top w:val="nil"/>
              <w:left w:val="nil"/>
              <w:bottom w:val="nil"/>
              <w:right w:val="nil"/>
            </w:tcBorders>
            <w:noWrap/>
            <w:hideMark/>
          </w:tcPr>
          <w:p w14:paraId="2D28353A"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294.7 </w:t>
            </w:r>
          </w:p>
        </w:tc>
        <w:tc>
          <w:tcPr>
            <w:tcW w:w="1485" w:type="dxa"/>
            <w:tcBorders>
              <w:top w:val="nil"/>
              <w:left w:val="nil"/>
              <w:bottom w:val="nil"/>
              <w:right w:val="nil"/>
            </w:tcBorders>
            <w:noWrap/>
            <w:hideMark/>
          </w:tcPr>
          <w:p w14:paraId="7A8EC6D0"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82.44 </w:t>
            </w:r>
          </w:p>
        </w:tc>
      </w:tr>
      <w:tr w:rsidR="005C2E89" w14:paraId="716A46F6" w14:textId="77777777" w:rsidTr="005C2E89">
        <w:trPr>
          <w:trHeight w:val="276"/>
        </w:trPr>
        <w:tc>
          <w:tcPr>
            <w:tcW w:w="773" w:type="dxa"/>
            <w:tcBorders>
              <w:top w:val="nil"/>
              <w:left w:val="nil"/>
              <w:bottom w:val="nil"/>
              <w:right w:val="nil"/>
            </w:tcBorders>
            <w:noWrap/>
            <w:hideMark/>
          </w:tcPr>
          <w:p w14:paraId="61A08B6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8</w:t>
            </w:r>
          </w:p>
        </w:tc>
        <w:tc>
          <w:tcPr>
            <w:tcW w:w="1043" w:type="dxa"/>
            <w:tcBorders>
              <w:top w:val="nil"/>
              <w:left w:val="nil"/>
              <w:bottom w:val="nil"/>
              <w:right w:val="nil"/>
            </w:tcBorders>
            <w:noWrap/>
            <w:hideMark/>
          </w:tcPr>
          <w:p w14:paraId="6710B11A"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400</w:t>
            </w:r>
          </w:p>
        </w:tc>
        <w:tc>
          <w:tcPr>
            <w:tcW w:w="1065" w:type="dxa"/>
            <w:tcBorders>
              <w:top w:val="nil"/>
              <w:left w:val="nil"/>
              <w:bottom w:val="nil"/>
              <w:right w:val="nil"/>
            </w:tcBorders>
            <w:noWrap/>
            <w:hideMark/>
          </w:tcPr>
          <w:p w14:paraId="0667259D"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10</w:t>
            </w:r>
          </w:p>
        </w:tc>
        <w:tc>
          <w:tcPr>
            <w:tcW w:w="1249" w:type="dxa"/>
            <w:tcBorders>
              <w:top w:val="nil"/>
              <w:left w:val="nil"/>
              <w:bottom w:val="nil"/>
              <w:right w:val="nil"/>
            </w:tcBorders>
            <w:noWrap/>
            <w:hideMark/>
          </w:tcPr>
          <w:p w14:paraId="3E1AB27B"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262.5 </w:t>
            </w:r>
          </w:p>
        </w:tc>
        <w:tc>
          <w:tcPr>
            <w:tcW w:w="1442" w:type="dxa"/>
            <w:tcBorders>
              <w:top w:val="nil"/>
              <w:left w:val="nil"/>
              <w:bottom w:val="nil"/>
              <w:right w:val="nil"/>
            </w:tcBorders>
            <w:noWrap/>
            <w:hideMark/>
          </w:tcPr>
          <w:p w14:paraId="213DE63D"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269.4 </w:t>
            </w:r>
          </w:p>
        </w:tc>
        <w:tc>
          <w:tcPr>
            <w:tcW w:w="1249" w:type="dxa"/>
            <w:tcBorders>
              <w:top w:val="nil"/>
              <w:left w:val="nil"/>
              <w:bottom w:val="nil"/>
              <w:right w:val="nil"/>
            </w:tcBorders>
            <w:noWrap/>
            <w:hideMark/>
          </w:tcPr>
          <w:p w14:paraId="5EB6658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276.9 </w:t>
            </w:r>
          </w:p>
        </w:tc>
        <w:tc>
          <w:tcPr>
            <w:tcW w:w="1485" w:type="dxa"/>
            <w:tcBorders>
              <w:top w:val="nil"/>
              <w:left w:val="nil"/>
              <w:bottom w:val="nil"/>
              <w:right w:val="nil"/>
            </w:tcBorders>
            <w:noWrap/>
            <w:hideMark/>
          </w:tcPr>
          <w:p w14:paraId="16631005"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70.60 </w:t>
            </w:r>
          </w:p>
        </w:tc>
      </w:tr>
      <w:tr w:rsidR="005C2E89" w14:paraId="09961AD8" w14:textId="77777777" w:rsidTr="005C2E89">
        <w:trPr>
          <w:trHeight w:val="276"/>
        </w:trPr>
        <w:tc>
          <w:tcPr>
            <w:tcW w:w="773" w:type="dxa"/>
            <w:tcBorders>
              <w:top w:val="nil"/>
              <w:left w:val="nil"/>
              <w:bottom w:val="single" w:sz="12" w:space="0" w:color="auto"/>
              <w:right w:val="nil"/>
            </w:tcBorders>
            <w:noWrap/>
            <w:hideMark/>
          </w:tcPr>
          <w:p w14:paraId="15313F95"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9</w:t>
            </w:r>
          </w:p>
        </w:tc>
        <w:tc>
          <w:tcPr>
            <w:tcW w:w="1043" w:type="dxa"/>
            <w:tcBorders>
              <w:top w:val="nil"/>
              <w:left w:val="nil"/>
              <w:bottom w:val="single" w:sz="12" w:space="0" w:color="auto"/>
              <w:right w:val="nil"/>
            </w:tcBorders>
            <w:noWrap/>
            <w:hideMark/>
          </w:tcPr>
          <w:p w14:paraId="1D61067B"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300</w:t>
            </w:r>
          </w:p>
        </w:tc>
        <w:tc>
          <w:tcPr>
            <w:tcW w:w="1065" w:type="dxa"/>
            <w:tcBorders>
              <w:top w:val="nil"/>
              <w:left w:val="nil"/>
              <w:bottom w:val="single" w:sz="12" w:space="0" w:color="auto"/>
              <w:right w:val="nil"/>
            </w:tcBorders>
            <w:noWrap/>
            <w:hideMark/>
          </w:tcPr>
          <w:p w14:paraId="2E425DD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10</w:t>
            </w:r>
          </w:p>
        </w:tc>
        <w:tc>
          <w:tcPr>
            <w:tcW w:w="1249" w:type="dxa"/>
            <w:tcBorders>
              <w:top w:val="nil"/>
              <w:left w:val="nil"/>
              <w:bottom w:val="single" w:sz="12" w:space="0" w:color="auto"/>
              <w:right w:val="nil"/>
            </w:tcBorders>
            <w:noWrap/>
            <w:hideMark/>
          </w:tcPr>
          <w:p w14:paraId="43180EE6"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266.6 </w:t>
            </w:r>
          </w:p>
        </w:tc>
        <w:tc>
          <w:tcPr>
            <w:tcW w:w="1442" w:type="dxa"/>
            <w:tcBorders>
              <w:top w:val="nil"/>
              <w:left w:val="nil"/>
              <w:bottom w:val="single" w:sz="12" w:space="0" w:color="auto"/>
              <w:right w:val="nil"/>
            </w:tcBorders>
            <w:noWrap/>
            <w:hideMark/>
          </w:tcPr>
          <w:p w14:paraId="0D00740F"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278.3 </w:t>
            </w:r>
          </w:p>
        </w:tc>
        <w:tc>
          <w:tcPr>
            <w:tcW w:w="1249" w:type="dxa"/>
            <w:tcBorders>
              <w:top w:val="nil"/>
              <w:left w:val="nil"/>
              <w:bottom w:val="single" w:sz="12" w:space="0" w:color="auto"/>
              <w:right w:val="nil"/>
            </w:tcBorders>
            <w:noWrap/>
            <w:hideMark/>
          </w:tcPr>
          <w:p w14:paraId="65712981"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281.9 </w:t>
            </w:r>
          </w:p>
        </w:tc>
        <w:tc>
          <w:tcPr>
            <w:tcW w:w="1485" w:type="dxa"/>
            <w:tcBorders>
              <w:top w:val="nil"/>
              <w:left w:val="nil"/>
              <w:bottom w:val="single" w:sz="12" w:space="0" w:color="auto"/>
              <w:right w:val="nil"/>
            </w:tcBorders>
            <w:noWrap/>
            <w:hideMark/>
          </w:tcPr>
          <w:p w14:paraId="415233B2" w14:textId="77777777" w:rsidR="005C2E89" w:rsidRDefault="005C2E89" w:rsidP="00E90C96">
            <w:pPr>
              <w:rPr>
                <w:rFonts w:ascii="Times New Roman" w:hAnsi="Times New Roman" w:cs="Times New Roman"/>
                <w:sz w:val="17"/>
                <w:szCs w:val="17"/>
              </w:rPr>
            </w:pPr>
            <w:r>
              <w:rPr>
                <w:rFonts w:ascii="Times New Roman" w:hAnsi="Times New Roman" w:cs="Times New Roman"/>
                <w:sz w:val="17"/>
                <w:szCs w:val="17"/>
              </w:rPr>
              <w:t xml:space="preserve">51.05 </w:t>
            </w:r>
          </w:p>
        </w:tc>
      </w:tr>
    </w:tbl>
    <w:p w14:paraId="290023CA" w14:textId="77777777" w:rsidR="005C2E89" w:rsidRPr="005C2E89" w:rsidRDefault="005C2E89" w:rsidP="005C2E89">
      <w:pPr>
        <w:ind w:firstLineChars="200" w:firstLine="420"/>
        <w:jc w:val="left"/>
        <w:rPr>
          <w:rFonts w:ascii="Times New Roman" w:hAnsi="Times New Roman" w:cs="Times New Roman"/>
        </w:rPr>
      </w:pPr>
      <w:r w:rsidRPr="005C2E89">
        <w:rPr>
          <w:rFonts w:ascii="Times New Roman" w:hAnsi="Times New Roman" w:cs="Times New Roman"/>
        </w:rPr>
        <w:t xml:space="preserve">The main weight loss range is 200°C to 400°C. The pyrolysis process of straw consists of </w:t>
      </w:r>
      <w:r w:rsidRPr="005C2E89">
        <w:rPr>
          <w:rFonts w:ascii="Times New Roman" w:hAnsi="Times New Roman" w:cs="Times New Roman"/>
        </w:rPr>
        <w:lastRenderedPageBreak/>
        <w:t>three stages:</w:t>
      </w:r>
    </w:p>
    <w:p w14:paraId="0569B51C" w14:textId="77777777" w:rsidR="005C2E89" w:rsidRPr="005C2E89" w:rsidRDefault="005C2E89" w:rsidP="005C2E89">
      <w:pPr>
        <w:ind w:firstLineChars="200" w:firstLine="420"/>
        <w:jc w:val="left"/>
        <w:rPr>
          <w:rFonts w:ascii="Times New Roman" w:hAnsi="Times New Roman" w:cs="Times New Roman"/>
        </w:rPr>
      </w:pPr>
      <w:r w:rsidRPr="005C2E89">
        <w:rPr>
          <w:rFonts w:ascii="Times New Roman" w:hAnsi="Times New Roman" w:cs="Times New Roman"/>
        </w:rPr>
        <w:t>The first stage is from room temperature to around 200°C and is a dehydration and drying stage. The free water in the straw evaporates rapidly, which is equivalent to a drying process. The higher the water content of the straw, the longer the processing time. At the same time, some of the free water in the biological macromolecules is stripped away.</w:t>
      </w:r>
    </w:p>
    <w:p w14:paraId="4355938B" w14:textId="6A250E17" w:rsidR="005C2E89" w:rsidRPr="005C2E89" w:rsidRDefault="005C2E89" w:rsidP="005C2E89">
      <w:pPr>
        <w:ind w:firstLineChars="200" w:firstLine="420"/>
        <w:jc w:val="left"/>
        <w:rPr>
          <w:rFonts w:ascii="Times New Roman" w:hAnsi="Times New Roman" w:cs="Times New Roman"/>
        </w:rPr>
      </w:pPr>
      <w:r w:rsidRPr="005C2E89">
        <w:rPr>
          <w:rFonts w:ascii="Times New Roman" w:hAnsi="Times New Roman" w:cs="Times New Roman"/>
        </w:rPr>
        <w:t>The second stage is around 200°C to 400°C, which is a rapid pyrolysis stage, especially in the 260°C to 300°C stage. In this stage, the weight loss curve decreases sharply and the main stages of pyrolytic volatili</w:t>
      </w:r>
      <w:r w:rsidR="000070E6">
        <w:rPr>
          <w:rFonts w:ascii="Times New Roman" w:hAnsi="Times New Roman" w:cs="Times New Roman"/>
        </w:rPr>
        <w:t>z</w:t>
      </w:r>
      <w:r w:rsidRPr="005C2E89">
        <w:rPr>
          <w:rFonts w:ascii="Times New Roman" w:hAnsi="Times New Roman" w:cs="Times New Roman"/>
        </w:rPr>
        <w:t>ation of biomass are analy</w:t>
      </w:r>
      <w:r w:rsidR="000070E6">
        <w:rPr>
          <w:rFonts w:ascii="Times New Roman" w:hAnsi="Times New Roman" w:cs="Times New Roman"/>
        </w:rPr>
        <w:t>z</w:t>
      </w:r>
      <w:r w:rsidRPr="005C2E89">
        <w:rPr>
          <w:rFonts w:ascii="Times New Roman" w:hAnsi="Times New Roman" w:cs="Times New Roman"/>
        </w:rPr>
        <w:t>ed. At this stage, the different component contents lead to large differences in the pyrolysis process. The higher temperatures in this process meet the energy requirements for the pyrolysis of cellulose and hemicellulose, which rapidly decompose into small molecules of hydrocarbon gas, releasing large amounts of heat.</w:t>
      </w:r>
    </w:p>
    <w:p w14:paraId="450A00F4" w14:textId="2F1AB1DD" w:rsidR="005C2E89" w:rsidRPr="005C2E89" w:rsidRDefault="005C2E89" w:rsidP="005C2E89">
      <w:pPr>
        <w:ind w:firstLineChars="200" w:firstLine="420"/>
        <w:jc w:val="left"/>
        <w:rPr>
          <w:rFonts w:ascii="Times New Roman" w:hAnsi="Times New Roman" w:cs="Times New Roman"/>
        </w:rPr>
      </w:pPr>
      <w:r w:rsidRPr="005C2E89">
        <w:rPr>
          <w:rFonts w:ascii="Times New Roman" w:hAnsi="Times New Roman" w:cs="Times New Roman"/>
        </w:rPr>
        <w:t>The third stage, from 400°C to the final temperature, is the final stage of residual pyrolytic carboni</w:t>
      </w:r>
      <w:r w:rsidR="000070E6">
        <w:rPr>
          <w:rFonts w:ascii="Times New Roman" w:hAnsi="Times New Roman" w:cs="Times New Roman"/>
        </w:rPr>
        <w:t>z</w:t>
      </w:r>
      <w:r w:rsidRPr="005C2E89">
        <w:rPr>
          <w:rFonts w:ascii="Times New Roman" w:hAnsi="Times New Roman" w:cs="Times New Roman"/>
        </w:rPr>
        <w:t>ation, a process that mainly involves the pyrolysis of difficult-to-degrade lignin. The thermal decomposition of lignin needs to occur at a higher temperature, while the pyrolysis of lignin produces more coke, accompanied by the production of tar-like substances, wood vinegar liquids and other liquids, as well as ash and residues. 400°C later lignin continues to pyroly</w:t>
      </w:r>
      <w:r w:rsidR="00963D7E">
        <w:rPr>
          <w:rFonts w:ascii="Times New Roman" w:hAnsi="Times New Roman" w:cs="Times New Roman" w:hint="eastAsia"/>
        </w:rPr>
        <w:t>z</w:t>
      </w:r>
      <w:r w:rsidRPr="005C2E89">
        <w:rPr>
          <w:rFonts w:ascii="Times New Roman" w:hAnsi="Times New Roman" w:cs="Times New Roman"/>
        </w:rPr>
        <w:t>e, but the pyrolysis process is slow, which is the reason for the structural stability of lignin.</w:t>
      </w:r>
    </w:p>
    <w:p w14:paraId="2BD37918" w14:textId="77777777" w:rsidR="005C2E89" w:rsidRPr="00963D7E" w:rsidRDefault="005C2E89" w:rsidP="005C2E89"/>
    <w:p w14:paraId="31AF63ED" w14:textId="4C755198" w:rsidR="005C2E89" w:rsidRPr="005C2E89" w:rsidRDefault="005C2E89" w:rsidP="005C2E89"/>
    <w:sectPr w:rsidR="005C2E89" w:rsidRPr="005C2E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CDE0B" w14:textId="77777777" w:rsidR="00246161" w:rsidRDefault="00246161" w:rsidP="005C2E89">
      <w:r>
        <w:separator/>
      </w:r>
    </w:p>
  </w:endnote>
  <w:endnote w:type="continuationSeparator" w:id="0">
    <w:p w14:paraId="01A4A212" w14:textId="77777777" w:rsidR="00246161" w:rsidRDefault="00246161" w:rsidP="005C2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13135" w14:textId="77777777" w:rsidR="00246161" w:rsidRDefault="00246161" w:rsidP="005C2E89">
      <w:r>
        <w:separator/>
      </w:r>
    </w:p>
  </w:footnote>
  <w:footnote w:type="continuationSeparator" w:id="0">
    <w:p w14:paraId="602097E0" w14:textId="77777777" w:rsidR="00246161" w:rsidRDefault="00246161" w:rsidP="005C2E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146"/>
    <w:rsid w:val="000070E6"/>
    <w:rsid w:val="00077EB6"/>
    <w:rsid w:val="00093A51"/>
    <w:rsid w:val="00246161"/>
    <w:rsid w:val="005C2E89"/>
    <w:rsid w:val="00824146"/>
    <w:rsid w:val="008B0874"/>
    <w:rsid w:val="00963D7E"/>
    <w:rsid w:val="00AF322A"/>
    <w:rsid w:val="00F40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35CBE"/>
  <w15:chartTrackingRefBased/>
  <w15:docId w15:val="{7F48750E-6CCB-40EB-8D95-B1391FB75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2E8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C2E89"/>
    <w:rPr>
      <w:sz w:val="18"/>
      <w:szCs w:val="18"/>
    </w:rPr>
  </w:style>
  <w:style w:type="paragraph" w:styleId="a5">
    <w:name w:val="footer"/>
    <w:basedOn w:val="a"/>
    <w:link w:val="a6"/>
    <w:uiPriority w:val="99"/>
    <w:unhideWhenUsed/>
    <w:rsid w:val="005C2E89"/>
    <w:pPr>
      <w:tabs>
        <w:tab w:val="center" w:pos="4153"/>
        <w:tab w:val="right" w:pos="8306"/>
      </w:tabs>
      <w:snapToGrid w:val="0"/>
      <w:jc w:val="left"/>
    </w:pPr>
    <w:rPr>
      <w:sz w:val="18"/>
      <w:szCs w:val="18"/>
    </w:rPr>
  </w:style>
  <w:style w:type="character" w:customStyle="1" w:styleId="a6">
    <w:name w:val="页脚 字符"/>
    <w:basedOn w:val="a0"/>
    <w:link w:val="a5"/>
    <w:uiPriority w:val="99"/>
    <w:rsid w:val="005C2E89"/>
    <w:rPr>
      <w:sz w:val="18"/>
      <w:szCs w:val="18"/>
    </w:rPr>
  </w:style>
  <w:style w:type="table" w:styleId="a7">
    <w:name w:val="Table Grid"/>
    <w:basedOn w:val="a1"/>
    <w:uiPriority w:val="39"/>
    <w:rsid w:val="005C2E8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5C2E89"/>
    <w:rPr>
      <w:color w:val="0563C1" w:themeColor="hyperlink"/>
      <w:u w:val="single"/>
    </w:rPr>
  </w:style>
  <w:style w:type="character" w:styleId="a9">
    <w:name w:val="Unresolved Mention"/>
    <w:basedOn w:val="a0"/>
    <w:uiPriority w:val="99"/>
    <w:semiHidden/>
    <w:unhideWhenUsed/>
    <w:rsid w:val="005C2E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625</Words>
  <Characters>3567</Characters>
  <Application>Microsoft Office Word</Application>
  <DocSecurity>0</DocSecurity>
  <Lines>29</Lines>
  <Paragraphs>8</Paragraphs>
  <ScaleCrop>false</ScaleCrop>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296055645@qq.com</dc:creator>
  <cp:keywords/>
  <dc:description/>
  <cp:lastModifiedBy>296055645@qq.com</cp:lastModifiedBy>
  <cp:revision>5</cp:revision>
  <dcterms:created xsi:type="dcterms:W3CDTF">2021-09-27T11:11:00Z</dcterms:created>
  <dcterms:modified xsi:type="dcterms:W3CDTF">2021-10-20T02:56:00Z</dcterms:modified>
</cp:coreProperties>
</file>