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84A61">
      <w:pPr>
        <w:pStyle w:val="15"/>
        <w:jc w:val="both"/>
      </w:pPr>
      <w:r>
        <w:rPr>
          <w:rFonts w:ascii="Times New Roman" w:hAnsi="Times New Roman"/>
        </w:rPr>
        <w:t>Supplementary Material: ST-GAT-Fusion</w:t>
      </w:r>
    </w:p>
    <w:p w14:paraId="26017657">
      <w:pPr>
        <w:pStyle w:val="2"/>
      </w:pPr>
      <w:bookmarkStart w:id="0" w:name="supplementary-material"/>
      <w:r>
        <w:rPr>
          <w:rFonts w:ascii="Times New Roman" w:hAnsi="Times New Roman"/>
        </w:rPr>
        <w:t>Supplementary Material</w:t>
      </w:r>
    </w:p>
    <w:p w14:paraId="6A9F5D4C">
      <w:pPr>
        <w:pStyle w:val="23"/>
        <w:jc w:val="both"/>
      </w:pPr>
      <w:r>
        <w:rPr>
          <w:rFonts w:ascii="Times New Roman" w:hAnsi="Times New Roman"/>
        </w:rPr>
        <w:t>for "InlandVessel-2K-Sim: A Reproducible Multi-Source Testbed and Evaluation Protocol for Inland Vessel Trajectory Prediction, with a Spatiotemporal Graph Attention Reference Model"</w:t>
      </w:r>
    </w:p>
    <w:p w14:paraId="7A6D9B21">
      <w:pPr>
        <w:pStyle w:val="23"/>
        <w:jc w:val="both"/>
      </w:pPr>
      <w:r>
        <w:rPr>
          <w:rFonts w:ascii="Times New Roman" w:hAnsi="Times New Roman"/>
        </w:rPr>
        <w:t xml:space="preserve">This supplementary material provides the full experimental protocols and result tables referenced in the main text: Table S1 (robustness to AIS outage, Section 3.4), Table S2 (modular, per-modality and alignment ablations, Section 3.3), Table S3 (cross-channel transfer, Section 3.5), Table S4 (sensitivity of the spatial threshold, Section 5.5), Table S5 (observation-noise control, Section 3.2), the architecture diagrams of the reference model (Supplementary Figures S1–S4, Section 5), and the protocol descriptions, reproduction commands and provenance statement. All numeric entries in this document are produced by the released code package and aggregated by </w:t>
      </w:r>
      <w:r>
        <w:rPr>
          <w:rStyle w:val="48"/>
          <w:rFonts w:ascii="Times New Roman" w:hAnsi="Times New Roman"/>
        </w:rPr>
        <w:t>tools/collect_results.py</w:t>
      </w:r>
      <w:r>
        <w:rPr>
          <w:rFonts w:ascii="Times New Roman" w:hAnsi="Times New Roman"/>
        </w:rPr>
        <w:t xml:space="preserve"> into </w:t>
      </w:r>
      <w:r>
        <w:rPr>
          <w:rStyle w:val="48"/>
          <w:rFonts w:ascii="Times New Roman" w:hAnsi="Times New Roman"/>
        </w:rPr>
        <w:t>results/SUMMARY.md</w:t>
      </w:r>
      <w:r>
        <w:rPr>
          <w:rFonts w:ascii="Times New Roman" w:hAnsi="Times New Roman"/>
        </w:rPr>
        <w:t>. Please read Section S7 (provenance and scope of the reported numbers) before quoting any value.</w:t>
      </w:r>
    </w:p>
    <w:p w14:paraId="4BA455EB">
      <w:pPr>
        <w:pStyle w:val="4"/>
      </w:pPr>
      <w:bookmarkStart w:id="1" w:name="s1.-robustness-to-ais-outage-section-3.4"/>
      <w:r>
        <w:rPr>
          <w:rFonts w:ascii="Times New Roman" w:hAnsi="Times New Roman"/>
        </w:rPr>
        <w:t>S1. Robustness to AIS outage (Section 3.4)</w:t>
      </w:r>
    </w:p>
    <w:p w14:paraId="39AC5007">
      <w:pPr>
        <w:pStyle w:val="5"/>
      </w:pPr>
      <w:bookmarkStart w:id="2" w:name="s1.1-protocol"/>
      <w:r>
        <w:rPr>
          <w:rFonts w:ascii="Times New Roman" w:hAnsi="Times New Roman"/>
        </w:rPr>
        <w:t>S1.1 Protocol</w:t>
      </w:r>
    </w:p>
    <w:p w14:paraId="7087C412">
      <w:pPr>
        <w:pStyle w:val="23"/>
        <w:jc w:val="both"/>
      </w:pPr>
      <w:r>
        <w:rPr>
          <w:rFonts w:ascii="Times New Roman" w:hAnsi="Times New Roman"/>
        </w:rPr>
        <w:t>The AIS stream of every test vessel is degraded at a rate ρ ∈ {0, 20, 40, 60, 80, 100} % before inference, while radar and vision remain intact. Two degradation schedules are applied:</w:t>
      </w:r>
    </w:p>
    <w:p w14:paraId="632DBDB8">
      <w:pPr>
        <w:pStyle w:val="24"/>
        <w:numPr>
          <w:ilvl w:val="0"/>
          <w:numId w:val="1"/>
        </w:numPr>
      </w:pPr>
      <w:r>
        <w:rPr>
          <w:rFonts w:ascii="Times New Roman" w:hAnsi="Times New Roman"/>
          <w:b/>
          <w:bCs/>
        </w:rPr>
        <w:t>Random dropout.</w:t>
      </w:r>
      <w:r>
        <w:rPr>
          <w:rFonts w:ascii="Times New Roman" w:hAnsi="Times New Roman"/>
        </w:rPr>
        <w:t xml:space="preserve"> Individual AIS reports are suppressed uniformly at random with probability ρ. A fresh random mask is drawn for each of three evaluation draws and the reported value is their mean.</w:t>
      </w:r>
    </w:p>
    <w:p w14:paraId="719909D5">
      <w:pPr>
        <w:pStyle w:val="24"/>
        <w:numPr>
          <w:ilvl w:val="0"/>
          <w:numId w:val="1"/>
        </w:numPr>
      </w:pPr>
      <w:r>
        <w:rPr>
          <w:rFonts w:ascii="Times New Roman" w:hAnsi="Times New Roman"/>
          <w:b/>
          <w:bCs/>
        </w:rPr>
        <w:t>Burst occlusion.</w:t>
      </w:r>
      <w:r>
        <w:rPr>
          <w:rFonts w:ascii="Times New Roman" w:hAnsi="Times New Roman"/>
        </w:rPr>
        <w:t xml:space="preserve"> Contiguous blocks of reports are removed to mimic bridge and lock shadowing. One to three blocks are placed per vessel, each of an integer length drawn uniformly from 5 to 20 s; block starts are drawn uniformly over the 8-s observation window, so blocks may overlap, and the suppressed fraction is then adjusted towards ρ.</w:t>
      </w:r>
    </w:p>
    <w:p w14:paraId="26AEA22B">
      <w:pPr>
        <w:pStyle w:val="23"/>
      </w:pPr>
      <w:r>
        <w:rPr>
          <w:rFonts w:ascii="Times New Roman" w:hAnsi="Times New Roman"/>
        </w:rPr>
        <w:t xml:space="preserve">Suppressed entries are flagged as </w:t>
      </w:r>
      <w:r>
        <w:rPr>
          <w:rFonts w:ascii="Times New Roman" w:hAnsi="Times New Roman"/>
          <w:i/>
          <w:iCs/>
        </w:rPr>
        <w:t>absent</w:t>
      </w:r>
      <w:r>
        <w:rPr>
          <w:rFonts w:ascii="Times New Roman" w:hAnsi="Times New Roman"/>
        </w:rPr>
        <w:t xml:space="preserve"> in the modality mask m</w:t>
      </w:r>
      <w:r>
        <w:rPr>
          <w:rFonts w:ascii="Times New Roman" w:hAnsi="Times New Roman"/>
          <w:vertAlign w:val="subscript"/>
        </w:rPr>
        <w:t>i</w:t>
      </w:r>
      <w:r>
        <w:rPr>
          <w:rFonts w:ascii="Times New Roman" w:hAnsi="Times New Roman"/>
        </w:rPr>
        <w:t xml:space="preserve"> and are not imputed, so the cross-modal attention must rely on radar and vision evidence exactly as it would in deployment.</w:t>
      </w:r>
    </w:p>
    <w:p w14:paraId="78A3943D">
      <w:pPr>
        <w:pStyle w:val="3"/>
      </w:pPr>
      <w:r>
        <w:rPr>
          <w:rFonts w:ascii="Times New Roman" w:hAnsi="Times New Roman"/>
        </w:rPr>
        <w:t xml:space="preserve">Suppressed entries are flagged as </w:t>
      </w:r>
      <w:r>
        <w:rPr>
          <w:rFonts w:ascii="Times New Roman" w:hAnsi="Times New Roman"/>
          <w:i/>
          <w:iCs/>
        </w:rPr>
        <w:t>absent</w:t>
      </w:r>
      <w:r>
        <w:rPr>
          <w:rFonts w:ascii="Times New Roman" w:hAnsi="Times New Roman"/>
        </w:rPr>
        <w:t xml:space="preserve"> in the modality mask m</w:t>
      </w:r>
      <w:r>
        <w:rPr>
          <w:rFonts w:ascii="Times New Roman" w:hAnsi="Times New Roman"/>
          <w:vertAlign w:val="subscript"/>
        </w:rPr>
        <w:t>i</w:t>
      </w:r>
      <w:r>
        <w:rPr>
          <w:rFonts w:ascii="Times New Roman" w:hAnsi="Times New Roman"/>
        </w:rPr>
        <w:t xml:space="preserve"> and are not imputed, so the cross-modal attention must rely on radar and vision evidence exactly as it would in deployment. Three systems are evaluated on the identical degraded streams: (i) ST-GAT-Fusion-Tiny, the model used throughout this document; (ii) the AIS-only Bi-LSTM baseline of Table 2 in the main text; and (iii) a fusion variant whose radar and vision encoders are masked off, which isolates what the non-AIS modalities contribute. The AIS-only baseline receives no input at ρ = 100 % and is therefore not evaluated there.</w:t>
      </w:r>
    </w:p>
    <w:bookmarkEnd w:id="2"/>
    <w:p w14:paraId="7DCCE07A">
      <w:pPr>
        <w:pStyle w:val="5"/>
      </w:pPr>
      <w:bookmarkStart w:id="3" w:name="s1.2-results"/>
      <w:r>
        <w:rPr>
          <w:rFonts w:ascii="Times New Roman" w:hAnsi="Times New Roman"/>
        </w:rPr>
        <w:t>S1.2 Results</w:t>
      </w:r>
    </w:p>
    <w:p w14:paraId="0D85F886">
      <w:pPr>
        <w:pStyle w:val="44"/>
      </w:pPr>
      <w:r>
        <w:rPr>
          <w:rFonts w:ascii="Times New Roman" w:hAnsi="Times New Roman"/>
          <w:b/>
          <w:bCs/>
        </w:rPr>
        <w:t>Table S1.</w:t>
      </w:r>
      <w:r>
        <w:rPr>
          <w:rFonts w:ascii="Times New Roman" w:hAnsi="Times New Roman"/>
        </w:rPr>
        <w:t xml:space="preserve"> Trajectory error under AIS outage. Two degradation schedules; radar and vision intact throughout. ADE / FDE in metres, MR@2m in %, HE in degrees. All three systems are evaluated on the identical degraded streams and share the same vessel set, so the columns are directly comparable. Best ADE per row in bold.</w:t>
      </w:r>
    </w:p>
    <w:tbl>
      <w:tblPr>
        <w:tblStyle w:val="41"/>
        <w:tblW w:w="0" w:type="auto"/>
        <w:tblCaption w:val="Table S1. Trajectory error under AIS outage. Two degradation schedules; radar and vision intact throughout. ADE / FDE in metres, MR@2m in %, HE in degrees. All three systems are evaluated on the identical degraded streams and share the same vessel set, so the columns are directly comparable. Best ADE per row in bold."/>
        <w:tblInd w:w="0" w:type="dxa"/>
        <w:tblLayout w:type="autofit"/>
        <w:tblCellMar>
          <w:top w:w="0" w:type="dxa"/>
          <w:left w:w="108" w:type="dxa"/>
          <w:bottom w:w="0" w:type="dxa"/>
          <w:right w:w="108" w:type="dxa"/>
        </w:tblCellMar>
      </w:tblPr>
      <w:tblGrid>
        <w:gridCol w:w="1295"/>
        <w:gridCol w:w="617"/>
        <w:gridCol w:w="787"/>
        <w:gridCol w:w="778"/>
        <w:gridCol w:w="1159"/>
        <w:gridCol w:w="654"/>
        <w:gridCol w:w="831"/>
        <w:gridCol w:w="820"/>
        <w:gridCol w:w="966"/>
        <w:gridCol w:w="949"/>
      </w:tblGrid>
      <w:tr w14:paraId="454594F9">
        <w:tblPrEx>
          <w:tblCellMar>
            <w:top w:w="0" w:type="dxa"/>
            <w:left w:w="108" w:type="dxa"/>
            <w:bottom w:w="0" w:type="dxa"/>
            <w:right w:w="108" w:type="dxa"/>
          </w:tblCellMar>
        </w:tblPrEx>
        <w:trPr>
          <w:tblHeader/>
        </w:trPr>
        <w:tc>
          <w:p w14:paraId="3BA171D1">
            <w:pPr>
              <w:pStyle w:val="24"/>
            </w:pPr>
            <w:r>
              <w:rPr>
                <w:rFonts w:ascii="Times New Roman" w:hAnsi="Times New Roman"/>
              </w:rPr>
              <w:t>Schedule</w:t>
            </w:r>
          </w:p>
        </w:tc>
        <w:tc>
          <w:p w14:paraId="61851BFD">
            <w:pPr>
              <w:pStyle w:val="24"/>
            </w:pPr>
            <w:r>
              <w:rPr>
                <w:rFonts w:ascii="Times New Roman" w:hAnsi="Times New Roman"/>
              </w:rPr>
              <w:t>ρ (%)</w:t>
            </w:r>
          </w:p>
        </w:tc>
        <w:tc>
          <w:tcPr>
            <w:gridSpan w:val="4"/>
          </w:tcPr>
          <w:p w14:paraId="73887AAE">
            <w:pPr>
              <w:pStyle w:val="24"/>
            </w:pPr>
            <w:r>
              <w:rPr>
                <w:rFonts w:ascii="Times New Roman" w:hAnsi="Times New Roman"/>
              </w:rPr>
              <w:t>ST-GAT-Fusion-Tiny (full)</w:t>
            </w:r>
          </w:p>
        </w:tc>
        <w:tc>
          <w:tcPr>
            <w:gridSpan w:val="2"/>
          </w:tcPr>
          <w:p w14:paraId="78D48DCC">
            <w:pPr>
              <w:pStyle w:val="24"/>
            </w:pPr>
            <w:r>
              <w:rPr>
                <w:rFonts w:ascii="Times New Roman" w:hAnsi="Times New Roman"/>
              </w:rPr>
              <w:t>AIS-only Bi-LSTM</w:t>
            </w:r>
          </w:p>
        </w:tc>
        <w:tc>
          <w:tcPr>
            <w:gridSpan w:val="2"/>
          </w:tcPr>
          <w:p w14:paraId="2E188288">
            <w:pPr>
              <w:pStyle w:val="24"/>
            </w:pPr>
            <w:r>
              <w:rPr>
                <w:rFonts w:ascii="Times New Roman" w:hAnsi="Times New Roman"/>
              </w:rPr>
              <w:t>Fusion, radar/vision masked off</w:t>
            </w:r>
          </w:p>
        </w:tc>
      </w:tr>
      <w:tr w14:paraId="174CC3D7">
        <w:tblPrEx>
          <w:tblCellMar>
            <w:top w:w="0" w:type="dxa"/>
            <w:left w:w="108" w:type="dxa"/>
            <w:bottom w:w="0" w:type="dxa"/>
            <w:right w:w="108" w:type="dxa"/>
          </w:tblCellMar>
        </w:tblPrEx>
        <w:trPr>
          <w:tblHeader/>
        </w:trPr>
        <w:tc>
          <w:p w14:paraId="1CEFD404">
            <w:pPr>
              <w:pStyle w:val="24"/>
            </w:pPr>
          </w:p>
        </w:tc>
        <w:tc>
          <w:p w14:paraId="25C0C403">
            <w:pPr>
              <w:pStyle w:val="24"/>
            </w:pPr>
          </w:p>
        </w:tc>
        <w:tc>
          <w:p w14:paraId="7FAC9785">
            <w:pPr>
              <w:pStyle w:val="24"/>
            </w:pPr>
            <w:r>
              <w:rPr>
                <w:rFonts w:ascii="Times New Roman" w:hAnsi="Times New Roman"/>
              </w:rPr>
              <w:t>ADE ↓</w:t>
            </w:r>
          </w:p>
        </w:tc>
        <w:tc>
          <w:p w14:paraId="322D66AF">
            <w:pPr>
              <w:pStyle w:val="24"/>
            </w:pPr>
            <w:r>
              <w:rPr>
                <w:rFonts w:ascii="Times New Roman" w:hAnsi="Times New Roman"/>
              </w:rPr>
              <w:t>FDE ↓</w:t>
            </w:r>
          </w:p>
        </w:tc>
        <w:tc>
          <w:p w14:paraId="0F4EF1E7">
            <w:pPr>
              <w:pStyle w:val="24"/>
            </w:pPr>
            <w:r>
              <w:rPr>
                <w:rFonts w:ascii="Times New Roman" w:hAnsi="Times New Roman"/>
              </w:rPr>
              <w:t>MR@2m ↓</w:t>
            </w:r>
          </w:p>
        </w:tc>
        <w:tc>
          <w:p w14:paraId="00D77ED7">
            <w:pPr>
              <w:pStyle w:val="24"/>
            </w:pPr>
            <w:r>
              <w:rPr>
                <w:rFonts w:ascii="Times New Roman" w:hAnsi="Times New Roman"/>
              </w:rPr>
              <w:t>HE ↓</w:t>
            </w:r>
          </w:p>
        </w:tc>
        <w:tc>
          <w:p w14:paraId="1C61974C">
            <w:pPr>
              <w:pStyle w:val="24"/>
            </w:pPr>
            <w:r>
              <w:rPr>
                <w:rFonts w:ascii="Times New Roman" w:hAnsi="Times New Roman"/>
              </w:rPr>
              <w:t>ADE ↓</w:t>
            </w:r>
          </w:p>
        </w:tc>
        <w:tc>
          <w:p w14:paraId="4FDE30B7">
            <w:pPr>
              <w:pStyle w:val="24"/>
            </w:pPr>
            <w:r>
              <w:rPr>
                <w:rFonts w:ascii="Times New Roman" w:hAnsi="Times New Roman"/>
              </w:rPr>
              <w:t>FDE ↓</w:t>
            </w:r>
          </w:p>
        </w:tc>
        <w:tc>
          <w:p w14:paraId="7F6C2977">
            <w:pPr>
              <w:pStyle w:val="24"/>
            </w:pPr>
            <w:r>
              <w:rPr>
                <w:rFonts w:ascii="Times New Roman" w:hAnsi="Times New Roman"/>
              </w:rPr>
              <w:t>ADE ↓</w:t>
            </w:r>
          </w:p>
        </w:tc>
        <w:tc>
          <w:p w14:paraId="20CD2AF5">
            <w:pPr>
              <w:pStyle w:val="24"/>
            </w:pPr>
            <w:r>
              <w:rPr>
                <w:rFonts w:ascii="Times New Roman" w:hAnsi="Times New Roman"/>
              </w:rPr>
              <w:t>FDE ↓</w:t>
            </w:r>
          </w:p>
        </w:tc>
      </w:tr>
      <w:tr w14:paraId="3FA8D57A">
        <w:tblPrEx>
          <w:tblCellMar>
            <w:top w:w="0" w:type="dxa"/>
            <w:left w:w="108" w:type="dxa"/>
            <w:bottom w:w="0" w:type="dxa"/>
            <w:right w:w="108" w:type="dxa"/>
          </w:tblCellMar>
        </w:tblPrEx>
        <w:tc>
          <w:tcPr>
            <w:vMerge w:val="restart"/>
          </w:tcPr>
          <w:p w14:paraId="179C0E30">
            <w:pPr>
              <w:pStyle w:val="24"/>
            </w:pPr>
            <w:r>
              <w:rPr>
                <w:rFonts w:ascii="Times New Roman" w:hAnsi="Times New Roman"/>
              </w:rPr>
              <w:t>Random dropout</w:t>
            </w:r>
          </w:p>
        </w:tc>
        <w:tc>
          <w:p w14:paraId="7C8ADE46">
            <w:pPr>
              <w:pStyle w:val="24"/>
            </w:pPr>
            <w:r>
              <w:rPr>
                <w:rFonts w:ascii="Times New Roman" w:hAnsi="Times New Roman"/>
              </w:rPr>
              <w:t>0</w:t>
            </w:r>
          </w:p>
        </w:tc>
        <w:tc>
          <w:p w14:paraId="3B614EBC">
            <w:pPr>
              <w:pStyle w:val="24"/>
            </w:pPr>
            <w:r>
              <w:rPr>
                <w:rFonts w:ascii="Times New Roman" w:hAnsi="Times New Roman"/>
                <w:b/>
                <w:bCs/>
              </w:rPr>
              <w:t>18.45</w:t>
            </w:r>
          </w:p>
        </w:tc>
        <w:tc>
          <w:p w14:paraId="26877038">
            <w:pPr>
              <w:pStyle w:val="24"/>
            </w:pPr>
            <w:r>
              <w:rPr>
                <w:rFonts w:ascii="Times New Roman" w:hAnsi="Times New Roman"/>
                <w:b/>
                <w:bCs/>
              </w:rPr>
              <w:t>30.39</w:t>
            </w:r>
          </w:p>
        </w:tc>
        <w:tc>
          <w:p w14:paraId="7800EF64">
            <w:pPr>
              <w:pStyle w:val="24"/>
            </w:pPr>
            <w:r>
              <w:rPr>
                <w:rFonts w:ascii="Times New Roman" w:hAnsi="Times New Roman"/>
              </w:rPr>
              <w:t>98.9</w:t>
            </w:r>
          </w:p>
        </w:tc>
        <w:tc>
          <w:p w14:paraId="0D93552E">
            <w:pPr>
              <w:pStyle w:val="24"/>
            </w:pPr>
            <w:r>
              <w:rPr>
                <w:rFonts w:ascii="Times New Roman" w:hAnsi="Times New Roman"/>
              </w:rPr>
              <w:t>68.6</w:t>
            </w:r>
          </w:p>
        </w:tc>
        <w:tc>
          <w:p w14:paraId="49D141C3">
            <w:pPr>
              <w:pStyle w:val="24"/>
            </w:pPr>
            <w:r>
              <w:rPr>
                <w:rFonts w:ascii="Times New Roman" w:hAnsi="Times New Roman"/>
              </w:rPr>
              <w:t>19.54</w:t>
            </w:r>
          </w:p>
        </w:tc>
        <w:tc>
          <w:p w14:paraId="07BD904B">
            <w:pPr>
              <w:pStyle w:val="24"/>
            </w:pPr>
            <w:r>
              <w:rPr>
                <w:rFonts w:ascii="Times New Roman" w:hAnsi="Times New Roman"/>
              </w:rPr>
              <w:t>31.98</w:t>
            </w:r>
          </w:p>
        </w:tc>
        <w:tc>
          <w:p w14:paraId="34EB378A">
            <w:pPr>
              <w:pStyle w:val="24"/>
            </w:pPr>
            <w:r>
              <w:rPr>
                <w:rFonts w:ascii="Times New Roman" w:hAnsi="Times New Roman"/>
              </w:rPr>
              <w:t>19.58</w:t>
            </w:r>
          </w:p>
        </w:tc>
        <w:tc>
          <w:p w14:paraId="20B100BB">
            <w:pPr>
              <w:pStyle w:val="24"/>
            </w:pPr>
            <w:r>
              <w:rPr>
                <w:rFonts w:ascii="Times New Roman" w:hAnsi="Times New Roman"/>
              </w:rPr>
              <w:t>32.26</w:t>
            </w:r>
          </w:p>
        </w:tc>
      </w:tr>
      <w:tr w14:paraId="24A118B1">
        <w:tblPrEx>
          <w:tblCellMar>
            <w:top w:w="0" w:type="dxa"/>
            <w:left w:w="108" w:type="dxa"/>
            <w:bottom w:w="0" w:type="dxa"/>
            <w:right w:w="108" w:type="dxa"/>
          </w:tblCellMar>
        </w:tblPrEx>
        <w:tc>
          <w:tcPr>
            <w:vMerge w:val="continue"/>
          </w:tcPr>
          <w:p w14:paraId="5C12EDDF"/>
        </w:tc>
        <w:tc>
          <w:p w14:paraId="3E1C61D3">
            <w:pPr>
              <w:pStyle w:val="24"/>
            </w:pPr>
            <w:r>
              <w:rPr>
                <w:rFonts w:ascii="Times New Roman" w:hAnsi="Times New Roman"/>
              </w:rPr>
              <w:t>20</w:t>
            </w:r>
          </w:p>
        </w:tc>
        <w:tc>
          <w:p w14:paraId="5A746446">
            <w:pPr>
              <w:pStyle w:val="24"/>
            </w:pPr>
            <w:r>
              <w:rPr>
                <w:rFonts w:ascii="Times New Roman" w:hAnsi="Times New Roman"/>
                <w:b/>
                <w:bCs/>
              </w:rPr>
              <w:t>18.47</w:t>
            </w:r>
          </w:p>
        </w:tc>
        <w:tc>
          <w:p w14:paraId="69A961B6">
            <w:pPr>
              <w:pStyle w:val="24"/>
            </w:pPr>
            <w:r>
              <w:rPr>
                <w:rFonts w:ascii="Times New Roman" w:hAnsi="Times New Roman"/>
                <w:b/>
                <w:bCs/>
              </w:rPr>
              <w:t>30.42</w:t>
            </w:r>
          </w:p>
        </w:tc>
        <w:tc>
          <w:p w14:paraId="5633AF05">
            <w:pPr>
              <w:pStyle w:val="24"/>
            </w:pPr>
            <w:r>
              <w:rPr>
                <w:rFonts w:ascii="Times New Roman" w:hAnsi="Times New Roman"/>
              </w:rPr>
              <w:t>98.9</w:t>
            </w:r>
          </w:p>
        </w:tc>
        <w:tc>
          <w:p w14:paraId="3B74C937">
            <w:pPr>
              <w:pStyle w:val="24"/>
            </w:pPr>
            <w:r>
              <w:rPr>
                <w:rFonts w:ascii="Times New Roman" w:hAnsi="Times New Roman"/>
              </w:rPr>
              <w:t>68.4</w:t>
            </w:r>
          </w:p>
        </w:tc>
        <w:tc>
          <w:p w14:paraId="2C7F656C">
            <w:pPr>
              <w:pStyle w:val="24"/>
            </w:pPr>
            <w:r>
              <w:rPr>
                <w:rFonts w:ascii="Times New Roman" w:hAnsi="Times New Roman"/>
              </w:rPr>
              <w:t>20.34</w:t>
            </w:r>
          </w:p>
        </w:tc>
        <w:tc>
          <w:p w14:paraId="516BADAD">
            <w:pPr>
              <w:pStyle w:val="24"/>
            </w:pPr>
            <w:r>
              <w:rPr>
                <w:rFonts w:ascii="Times New Roman" w:hAnsi="Times New Roman"/>
              </w:rPr>
              <w:t>32.81</w:t>
            </w:r>
          </w:p>
        </w:tc>
        <w:tc>
          <w:p w14:paraId="6885A41D">
            <w:pPr>
              <w:pStyle w:val="24"/>
            </w:pPr>
            <w:r>
              <w:rPr>
                <w:rFonts w:ascii="Times New Roman" w:hAnsi="Times New Roman"/>
              </w:rPr>
              <w:t>20.43</w:t>
            </w:r>
          </w:p>
        </w:tc>
        <w:tc>
          <w:p w14:paraId="40F5D0E9">
            <w:pPr>
              <w:pStyle w:val="24"/>
            </w:pPr>
            <w:r>
              <w:rPr>
                <w:rFonts w:ascii="Times New Roman" w:hAnsi="Times New Roman"/>
              </w:rPr>
              <w:t>33.23</w:t>
            </w:r>
          </w:p>
        </w:tc>
      </w:tr>
      <w:tr w14:paraId="4ABA389B">
        <w:tblPrEx>
          <w:tblCellMar>
            <w:top w:w="0" w:type="dxa"/>
            <w:left w:w="108" w:type="dxa"/>
            <w:bottom w:w="0" w:type="dxa"/>
            <w:right w:w="108" w:type="dxa"/>
          </w:tblCellMar>
        </w:tblPrEx>
        <w:tc>
          <w:tcPr>
            <w:vMerge w:val="continue"/>
          </w:tcPr>
          <w:p w14:paraId="0A84885A"/>
        </w:tc>
        <w:tc>
          <w:p w14:paraId="4B8BCD51">
            <w:pPr>
              <w:pStyle w:val="24"/>
            </w:pPr>
            <w:r>
              <w:rPr>
                <w:rFonts w:ascii="Times New Roman" w:hAnsi="Times New Roman"/>
              </w:rPr>
              <w:t>40</w:t>
            </w:r>
          </w:p>
        </w:tc>
        <w:tc>
          <w:p w14:paraId="458ED28A">
            <w:pPr>
              <w:pStyle w:val="24"/>
            </w:pPr>
            <w:r>
              <w:rPr>
                <w:rFonts w:ascii="Times New Roman" w:hAnsi="Times New Roman"/>
                <w:b/>
                <w:bCs/>
              </w:rPr>
              <w:t>18.53</w:t>
            </w:r>
          </w:p>
        </w:tc>
        <w:tc>
          <w:p w14:paraId="062999C5">
            <w:pPr>
              <w:pStyle w:val="24"/>
            </w:pPr>
            <w:r>
              <w:rPr>
                <w:rFonts w:ascii="Times New Roman" w:hAnsi="Times New Roman"/>
                <w:b/>
                <w:bCs/>
              </w:rPr>
              <w:t>30.51</w:t>
            </w:r>
          </w:p>
        </w:tc>
        <w:tc>
          <w:p w14:paraId="30961B1B">
            <w:pPr>
              <w:pStyle w:val="24"/>
            </w:pPr>
            <w:r>
              <w:rPr>
                <w:rFonts w:ascii="Times New Roman" w:hAnsi="Times New Roman"/>
              </w:rPr>
              <w:t>98.9</w:t>
            </w:r>
          </w:p>
        </w:tc>
        <w:tc>
          <w:p w14:paraId="592E18DE">
            <w:pPr>
              <w:pStyle w:val="24"/>
            </w:pPr>
            <w:r>
              <w:rPr>
                <w:rFonts w:ascii="Times New Roman" w:hAnsi="Times New Roman"/>
              </w:rPr>
              <w:t>67.9</w:t>
            </w:r>
          </w:p>
        </w:tc>
        <w:tc>
          <w:p w14:paraId="5A5840CA">
            <w:pPr>
              <w:pStyle w:val="24"/>
            </w:pPr>
            <w:r>
              <w:rPr>
                <w:rFonts w:ascii="Times New Roman" w:hAnsi="Times New Roman"/>
              </w:rPr>
              <w:t>21.68</w:t>
            </w:r>
          </w:p>
        </w:tc>
        <w:tc>
          <w:p w14:paraId="28F4CD5D">
            <w:pPr>
              <w:pStyle w:val="24"/>
            </w:pPr>
            <w:r>
              <w:rPr>
                <w:rFonts w:ascii="Times New Roman" w:hAnsi="Times New Roman"/>
              </w:rPr>
              <w:t>34.29</w:t>
            </w:r>
          </w:p>
        </w:tc>
        <w:tc>
          <w:p w14:paraId="3EA73ABE">
            <w:pPr>
              <w:pStyle w:val="24"/>
            </w:pPr>
            <w:r>
              <w:rPr>
                <w:rFonts w:ascii="Times New Roman" w:hAnsi="Times New Roman"/>
              </w:rPr>
              <w:t>21.67</w:t>
            </w:r>
          </w:p>
        </w:tc>
        <w:tc>
          <w:p w14:paraId="619CB88B">
            <w:pPr>
              <w:pStyle w:val="24"/>
            </w:pPr>
            <w:r>
              <w:rPr>
                <w:rFonts w:ascii="Times New Roman" w:hAnsi="Times New Roman"/>
              </w:rPr>
              <w:t>34.66</w:t>
            </w:r>
          </w:p>
        </w:tc>
      </w:tr>
      <w:tr w14:paraId="27A159E9">
        <w:tblPrEx>
          <w:tblCellMar>
            <w:top w:w="0" w:type="dxa"/>
            <w:left w:w="108" w:type="dxa"/>
            <w:bottom w:w="0" w:type="dxa"/>
            <w:right w:w="108" w:type="dxa"/>
          </w:tblCellMar>
        </w:tblPrEx>
        <w:tc>
          <w:tcPr>
            <w:vMerge w:val="continue"/>
          </w:tcPr>
          <w:p w14:paraId="40E0C527"/>
        </w:tc>
        <w:tc>
          <w:p w14:paraId="706DFA0F">
            <w:pPr>
              <w:pStyle w:val="24"/>
            </w:pPr>
            <w:r>
              <w:rPr>
                <w:rFonts w:ascii="Times New Roman" w:hAnsi="Times New Roman"/>
              </w:rPr>
              <w:t>60</w:t>
            </w:r>
          </w:p>
        </w:tc>
        <w:tc>
          <w:p w14:paraId="3B9F82E0">
            <w:pPr>
              <w:pStyle w:val="24"/>
            </w:pPr>
            <w:r>
              <w:rPr>
                <w:rFonts w:ascii="Times New Roman" w:hAnsi="Times New Roman"/>
                <w:b/>
                <w:bCs/>
              </w:rPr>
              <w:t>18.68</w:t>
            </w:r>
          </w:p>
        </w:tc>
        <w:tc>
          <w:p w14:paraId="3FE9199B">
            <w:pPr>
              <w:pStyle w:val="24"/>
            </w:pPr>
            <w:r>
              <w:rPr>
                <w:rFonts w:ascii="Times New Roman" w:hAnsi="Times New Roman"/>
                <w:b/>
                <w:bCs/>
              </w:rPr>
              <w:t>30.70</w:t>
            </w:r>
          </w:p>
        </w:tc>
        <w:tc>
          <w:p w14:paraId="14126831">
            <w:pPr>
              <w:pStyle w:val="24"/>
            </w:pPr>
            <w:r>
              <w:rPr>
                <w:rFonts w:ascii="Times New Roman" w:hAnsi="Times New Roman"/>
              </w:rPr>
              <w:t>99.1</w:t>
            </w:r>
          </w:p>
        </w:tc>
        <w:tc>
          <w:p w14:paraId="482F2298">
            <w:pPr>
              <w:pStyle w:val="24"/>
            </w:pPr>
            <w:r>
              <w:rPr>
                <w:rFonts w:ascii="Times New Roman" w:hAnsi="Times New Roman"/>
              </w:rPr>
              <w:t>67.7</w:t>
            </w:r>
          </w:p>
        </w:tc>
        <w:tc>
          <w:p w14:paraId="013BBFC4">
            <w:pPr>
              <w:pStyle w:val="24"/>
            </w:pPr>
            <w:r>
              <w:rPr>
                <w:rFonts w:ascii="Times New Roman" w:hAnsi="Times New Roman"/>
              </w:rPr>
              <w:t>23.87</w:t>
            </w:r>
          </w:p>
        </w:tc>
        <w:tc>
          <w:p w14:paraId="4E9D2683">
            <w:pPr>
              <w:pStyle w:val="24"/>
            </w:pPr>
            <w:r>
              <w:rPr>
                <w:rFonts w:ascii="Times New Roman" w:hAnsi="Times New Roman"/>
              </w:rPr>
              <w:t>36.12</w:t>
            </w:r>
          </w:p>
        </w:tc>
        <w:tc>
          <w:p w14:paraId="5E744493">
            <w:pPr>
              <w:pStyle w:val="24"/>
            </w:pPr>
            <w:r>
              <w:rPr>
                <w:rFonts w:ascii="Times New Roman" w:hAnsi="Times New Roman"/>
              </w:rPr>
              <w:t>23.87</w:t>
            </w:r>
          </w:p>
        </w:tc>
        <w:tc>
          <w:p w14:paraId="030923D2">
            <w:pPr>
              <w:pStyle w:val="24"/>
            </w:pPr>
            <w:r>
              <w:rPr>
                <w:rFonts w:ascii="Times New Roman" w:hAnsi="Times New Roman"/>
              </w:rPr>
              <w:t>36.68</w:t>
            </w:r>
          </w:p>
        </w:tc>
      </w:tr>
      <w:tr w14:paraId="17842C0C">
        <w:tblPrEx>
          <w:tblCellMar>
            <w:top w:w="0" w:type="dxa"/>
            <w:left w:w="108" w:type="dxa"/>
            <w:bottom w:w="0" w:type="dxa"/>
            <w:right w:w="108" w:type="dxa"/>
          </w:tblCellMar>
        </w:tblPrEx>
        <w:tc>
          <w:tcPr>
            <w:vMerge w:val="continue"/>
          </w:tcPr>
          <w:p w14:paraId="0E8FB0FD"/>
        </w:tc>
        <w:tc>
          <w:p w14:paraId="13143869">
            <w:pPr>
              <w:pStyle w:val="24"/>
            </w:pPr>
            <w:r>
              <w:rPr>
                <w:rFonts w:ascii="Times New Roman" w:hAnsi="Times New Roman"/>
              </w:rPr>
              <w:t>80</w:t>
            </w:r>
          </w:p>
        </w:tc>
        <w:tc>
          <w:p w14:paraId="16DB97B7">
            <w:pPr>
              <w:pStyle w:val="24"/>
            </w:pPr>
            <w:r>
              <w:rPr>
                <w:rFonts w:ascii="Times New Roman" w:hAnsi="Times New Roman"/>
                <w:b/>
                <w:bCs/>
              </w:rPr>
              <w:t>18.75</w:t>
            </w:r>
          </w:p>
        </w:tc>
        <w:tc>
          <w:p w14:paraId="380159E9">
            <w:pPr>
              <w:pStyle w:val="24"/>
            </w:pPr>
            <w:r>
              <w:rPr>
                <w:rFonts w:ascii="Times New Roman" w:hAnsi="Times New Roman"/>
                <w:b/>
                <w:bCs/>
              </w:rPr>
              <w:t>30.76</w:t>
            </w:r>
          </w:p>
        </w:tc>
        <w:tc>
          <w:p w14:paraId="7381A9DF">
            <w:pPr>
              <w:pStyle w:val="24"/>
            </w:pPr>
            <w:r>
              <w:rPr>
                <w:rFonts w:ascii="Times New Roman" w:hAnsi="Times New Roman"/>
              </w:rPr>
              <w:t>98.9</w:t>
            </w:r>
          </w:p>
        </w:tc>
        <w:tc>
          <w:p w14:paraId="30DB147B">
            <w:pPr>
              <w:pStyle w:val="24"/>
            </w:pPr>
            <w:r>
              <w:rPr>
                <w:rFonts w:ascii="Times New Roman" w:hAnsi="Times New Roman"/>
              </w:rPr>
              <w:t>67.0</w:t>
            </w:r>
          </w:p>
        </w:tc>
        <w:tc>
          <w:p w14:paraId="4DA86AA3">
            <w:pPr>
              <w:pStyle w:val="24"/>
            </w:pPr>
            <w:r>
              <w:rPr>
                <w:rFonts w:ascii="Times New Roman" w:hAnsi="Times New Roman"/>
              </w:rPr>
              <w:t>30.01</w:t>
            </w:r>
          </w:p>
        </w:tc>
        <w:tc>
          <w:p w14:paraId="2F74B3F1">
            <w:pPr>
              <w:pStyle w:val="24"/>
            </w:pPr>
            <w:r>
              <w:rPr>
                <w:rFonts w:ascii="Times New Roman" w:hAnsi="Times New Roman"/>
              </w:rPr>
              <w:t>42.11</w:t>
            </w:r>
          </w:p>
        </w:tc>
        <w:tc>
          <w:p w14:paraId="531087D9">
            <w:pPr>
              <w:pStyle w:val="24"/>
            </w:pPr>
            <w:r>
              <w:rPr>
                <w:rFonts w:ascii="Times New Roman" w:hAnsi="Times New Roman"/>
              </w:rPr>
              <w:t>29.77</w:t>
            </w:r>
          </w:p>
        </w:tc>
        <w:tc>
          <w:p w14:paraId="7412FAE5">
            <w:pPr>
              <w:pStyle w:val="24"/>
            </w:pPr>
            <w:r>
              <w:rPr>
                <w:rFonts w:ascii="Times New Roman" w:hAnsi="Times New Roman"/>
              </w:rPr>
              <w:t>42.53</w:t>
            </w:r>
          </w:p>
        </w:tc>
      </w:tr>
      <w:tr w14:paraId="0C036BE0">
        <w:tblPrEx>
          <w:tblCellMar>
            <w:top w:w="0" w:type="dxa"/>
            <w:left w:w="108" w:type="dxa"/>
            <w:bottom w:w="0" w:type="dxa"/>
            <w:right w:w="108" w:type="dxa"/>
          </w:tblCellMar>
        </w:tblPrEx>
        <w:tc>
          <w:tcPr>
            <w:vMerge w:val="continue"/>
          </w:tcPr>
          <w:p w14:paraId="11FC2BB5"/>
        </w:tc>
        <w:tc>
          <w:p w14:paraId="1855A553">
            <w:pPr>
              <w:pStyle w:val="24"/>
            </w:pPr>
            <w:r>
              <w:rPr>
                <w:rFonts w:ascii="Times New Roman" w:hAnsi="Times New Roman"/>
              </w:rPr>
              <w:t>100</w:t>
            </w:r>
          </w:p>
        </w:tc>
        <w:tc>
          <w:p w14:paraId="4BFBE092">
            <w:pPr>
              <w:pStyle w:val="24"/>
            </w:pPr>
            <w:r>
              <w:rPr>
                <w:rFonts w:ascii="Times New Roman" w:hAnsi="Times New Roman"/>
                <w:b/>
                <w:bCs/>
              </w:rPr>
              <w:t>18.90</w:t>
            </w:r>
          </w:p>
        </w:tc>
        <w:tc>
          <w:p w14:paraId="2CFA33E6">
            <w:pPr>
              <w:pStyle w:val="24"/>
            </w:pPr>
            <w:r>
              <w:rPr>
                <w:rFonts w:ascii="Times New Roman" w:hAnsi="Times New Roman"/>
                <w:b/>
                <w:bCs/>
              </w:rPr>
              <w:t>31.04</w:t>
            </w:r>
          </w:p>
        </w:tc>
        <w:tc>
          <w:p w14:paraId="6C5FDDB1">
            <w:pPr>
              <w:pStyle w:val="24"/>
            </w:pPr>
            <w:r>
              <w:rPr>
                <w:rFonts w:ascii="Times New Roman" w:hAnsi="Times New Roman"/>
              </w:rPr>
              <w:t>99.5</w:t>
            </w:r>
          </w:p>
        </w:tc>
        <w:tc>
          <w:p w14:paraId="6E660B88">
            <w:pPr>
              <w:pStyle w:val="24"/>
            </w:pPr>
            <w:r>
              <w:rPr>
                <w:rFonts w:ascii="Times New Roman" w:hAnsi="Times New Roman"/>
              </w:rPr>
              <w:t>66.6</w:t>
            </w:r>
          </w:p>
        </w:tc>
        <w:tc>
          <w:p w14:paraId="3AF4A3A9">
            <w:pPr>
              <w:pStyle w:val="24"/>
            </w:pPr>
            <w:r>
              <w:rPr>
                <w:rFonts w:ascii="Times New Roman" w:hAnsi="Times New Roman"/>
              </w:rPr>
              <w:t>n/a</w:t>
            </w:r>
          </w:p>
        </w:tc>
        <w:tc>
          <w:p w14:paraId="2D9AF350">
            <w:pPr>
              <w:pStyle w:val="24"/>
            </w:pPr>
            <w:r>
              <w:rPr>
                <w:rFonts w:ascii="Times New Roman" w:hAnsi="Times New Roman"/>
              </w:rPr>
              <w:t>n/a</w:t>
            </w:r>
          </w:p>
        </w:tc>
        <w:tc>
          <w:p w14:paraId="69BE57C9">
            <w:pPr>
              <w:pStyle w:val="24"/>
            </w:pPr>
            <w:r>
              <w:rPr>
                <w:rFonts w:ascii="Times New Roman" w:hAnsi="Times New Roman"/>
              </w:rPr>
              <w:t>38.35</w:t>
            </w:r>
          </w:p>
        </w:tc>
        <w:tc>
          <w:p w14:paraId="2BDA877F">
            <w:pPr>
              <w:pStyle w:val="24"/>
            </w:pPr>
            <w:r>
              <w:rPr>
                <w:rFonts w:ascii="Times New Roman" w:hAnsi="Times New Roman"/>
              </w:rPr>
              <w:t>50.89</w:t>
            </w:r>
          </w:p>
        </w:tc>
      </w:tr>
      <w:tr w14:paraId="1DCEE2B5">
        <w:tblPrEx>
          <w:tblCellMar>
            <w:top w:w="0" w:type="dxa"/>
            <w:left w:w="108" w:type="dxa"/>
            <w:bottom w:w="0" w:type="dxa"/>
            <w:right w:w="108" w:type="dxa"/>
          </w:tblCellMar>
        </w:tblPrEx>
        <w:tc>
          <w:tcPr>
            <w:vMerge w:val="restart"/>
          </w:tcPr>
          <w:p w14:paraId="6632FFE1">
            <w:pPr>
              <w:pStyle w:val="24"/>
            </w:pPr>
            <w:r>
              <w:rPr>
                <w:rFonts w:ascii="Times New Roman" w:hAnsi="Times New Roman"/>
              </w:rPr>
              <w:t>Burst occlusion</w:t>
            </w:r>
          </w:p>
        </w:tc>
        <w:tc>
          <w:p w14:paraId="063D854A">
            <w:pPr>
              <w:pStyle w:val="24"/>
            </w:pPr>
            <w:r>
              <w:rPr>
                <w:rFonts w:ascii="Times New Roman" w:hAnsi="Times New Roman"/>
              </w:rPr>
              <w:t>0</w:t>
            </w:r>
          </w:p>
        </w:tc>
        <w:tc>
          <w:p w14:paraId="76F6551D">
            <w:pPr>
              <w:pStyle w:val="24"/>
            </w:pPr>
            <w:r>
              <w:rPr>
                <w:rFonts w:ascii="Times New Roman" w:hAnsi="Times New Roman"/>
                <w:b/>
                <w:bCs/>
              </w:rPr>
              <w:t>18.45</w:t>
            </w:r>
          </w:p>
        </w:tc>
        <w:tc>
          <w:p w14:paraId="677EADB0">
            <w:pPr>
              <w:pStyle w:val="24"/>
            </w:pPr>
            <w:r>
              <w:rPr>
                <w:rFonts w:ascii="Times New Roman" w:hAnsi="Times New Roman"/>
                <w:b/>
                <w:bCs/>
              </w:rPr>
              <w:t>30.39</w:t>
            </w:r>
          </w:p>
        </w:tc>
        <w:tc>
          <w:p w14:paraId="1A91537D">
            <w:pPr>
              <w:pStyle w:val="24"/>
            </w:pPr>
            <w:r>
              <w:rPr>
                <w:rFonts w:ascii="Times New Roman" w:hAnsi="Times New Roman"/>
              </w:rPr>
              <w:t>98.9</w:t>
            </w:r>
          </w:p>
        </w:tc>
        <w:tc>
          <w:p w14:paraId="23391293">
            <w:pPr>
              <w:pStyle w:val="24"/>
            </w:pPr>
            <w:r>
              <w:rPr>
                <w:rFonts w:ascii="Times New Roman" w:hAnsi="Times New Roman"/>
              </w:rPr>
              <w:t>68.6</w:t>
            </w:r>
          </w:p>
        </w:tc>
        <w:tc>
          <w:p w14:paraId="7765FC86">
            <w:pPr>
              <w:pStyle w:val="24"/>
            </w:pPr>
            <w:r>
              <w:rPr>
                <w:rFonts w:ascii="Times New Roman" w:hAnsi="Times New Roman"/>
              </w:rPr>
              <w:t>19.54</w:t>
            </w:r>
          </w:p>
        </w:tc>
        <w:tc>
          <w:p w14:paraId="287306EC">
            <w:pPr>
              <w:pStyle w:val="24"/>
            </w:pPr>
            <w:r>
              <w:rPr>
                <w:rFonts w:ascii="Times New Roman" w:hAnsi="Times New Roman"/>
              </w:rPr>
              <w:t>31.98</w:t>
            </w:r>
          </w:p>
        </w:tc>
        <w:tc>
          <w:p w14:paraId="7F415949">
            <w:pPr>
              <w:pStyle w:val="24"/>
            </w:pPr>
            <w:r>
              <w:rPr>
                <w:rFonts w:ascii="Times New Roman" w:hAnsi="Times New Roman"/>
              </w:rPr>
              <w:t>19.58</w:t>
            </w:r>
          </w:p>
        </w:tc>
        <w:tc>
          <w:p w14:paraId="4DA53E84">
            <w:pPr>
              <w:pStyle w:val="24"/>
            </w:pPr>
            <w:r>
              <w:rPr>
                <w:rFonts w:ascii="Times New Roman" w:hAnsi="Times New Roman"/>
              </w:rPr>
              <w:t>32.26</w:t>
            </w:r>
          </w:p>
        </w:tc>
      </w:tr>
      <w:tr w14:paraId="5042CFBD">
        <w:tblPrEx>
          <w:tblCellMar>
            <w:top w:w="0" w:type="dxa"/>
            <w:left w:w="108" w:type="dxa"/>
            <w:bottom w:w="0" w:type="dxa"/>
            <w:right w:w="108" w:type="dxa"/>
          </w:tblCellMar>
        </w:tblPrEx>
        <w:tc>
          <w:tcPr>
            <w:vMerge w:val="continue"/>
          </w:tcPr>
          <w:p w14:paraId="23B8A8FB"/>
        </w:tc>
        <w:tc>
          <w:p w14:paraId="7B071CCF">
            <w:pPr>
              <w:pStyle w:val="24"/>
            </w:pPr>
            <w:r>
              <w:rPr>
                <w:rFonts w:ascii="Times New Roman" w:hAnsi="Times New Roman"/>
              </w:rPr>
              <w:t>20</w:t>
            </w:r>
          </w:p>
        </w:tc>
        <w:tc>
          <w:p w14:paraId="18DFA4BB">
            <w:pPr>
              <w:pStyle w:val="24"/>
            </w:pPr>
            <w:r>
              <w:rPr>
                <w:rFonts w:ascii="Times New Roman" w:hAnsi="Times New Roman"/>
                <w:b/>
                <w:bCs/>
              </w:rPr>
              <w:t>18.44</w:t>
            </w:r>
          </w:p>
        </w:tc>
        <w:tc>
          <w:p w14:paraId="3E59610A">
            <w:pPr>
              <w:pStyle w:val="24"/>
            </w:pPr>
            <w:r>
              <w:rPr>
                <w:rFonts w:ascii="Times New Roman" w:hAnsi="Times New Roman"/>
                <w:b/>
                <w:bCs/>
              </w:rPr>
              <w:t>30.37</w:t>
            </w:r>
          </w:p>
        </w:tc>
        <w:tc>
          <w:p w14:paraId="75B2C314">
            <w:pPr>
              <w:pStyle w:val="24"/>
            </w:pPr>
            <w:r>
              <w:rPr>
                <w:rFonts w:ascii="Times New Roman" w:hAnsi="Times New Roman"/>
              </w:rPr>
              <w:t>98.9</w:t>
            </w:r>
          </w:p>
        </w:tc>
        <w:tc>
          <w:p w14:paraId="613E5E7E">
            <w:pPr>
              <w:pStyle w:val="24"/>
            </w:pPr>
            <w:r>
              <w:rPr>
                <w:rFonts w:ascii="Times New Roman" w:hAnsi="Times New Roman"/>
              </w:rPr>
              <w:t>68.3</w:t>
            </w:r>
          </w:p>
        </w:tc>
        <w:tc>
          <w:p w14:paraId="251E2C92">
            <w:pPr>
              <w:pStyle w:val="24"/>
            </w:pPr>
            <w:r>
              <w:rPr>
                <w:rFonts w:ascii="Times New Roman" w:hAnsi="Times New Roman"/>
              </w:rPr>
              <w:t>20.17</w:t>
            </w:r>
          </w:p>
        </w:tc>
        <w:tc>
          <w:p w14:paraId="155C4A12">
            <w:pPr>
              <w:pStyle w:val="24"/>
            </w:pPr>
            <w:r>
              <w:rPr>
                <w:rFonts w:ascii="Times New Roman" w:hAnsi="Times New Roman"/>
              </w:rPr>
              <w:t>32.62</w:t>
            </w:r>
          </w:p>
        </w:tc>
        <w:tc>
          <w:p w14:paraId="21788D1E">
            <w:pPr>
              <w:pStyle w:val="24"/>
            </w:pPr>
            <w:r>
              <w:rPr>
                <w:rFonts w:ascii="Times New Roman" w:hAnsi="Times New Roman"/>
              </w:rPr>
              <w:t>20.11</w:t>
            </w:r>
          </w:p>
        </w:tc>
        <w:tc>
          <w:p w14:paraId="66F76770">
            <w:pPr>
              <w:pStyle w:val="24"/>
            </w:pPr>
            <w:r>
              <w:rPr>
                <w:rFonts w:ascii="Times New Roman" w:hAnsi="Times New Roman"/>
              </w:rPr>
              <w:t>32.80</w:t>
            </w:r>
          </w:p>
        </w:tc>
      </w:tr>
      <w:tr w14:paraId="00F80C9F">
        <w:tblPrEx>
          <w:tblCellMar>
            <w:top w:w="0" w:type="dxa"/>
            <w:left w:w="108" w:type="dxa"/>
            <w:bottom w:w="0" w:type="dxa"/>
            <w:right w:w="108" w:type="dxa"/>
          </w:tblCellMar>
        </w:tblPrEx>
        <w:tc>
          <w:tcPr>
            <w:vMerge w:val="continue"/>
          </w:tcPr>
          <w:p w14:paraId="27BAB7F2"/>
        </w:tc>
        <w:tc>
          <w:p w14:paraId="5BFDE8E9">
            <w:pPr>
              <w:pStyle w:val="24"/>
            </w:pPr>
            <w:r>
              <w:rPr>
                <w:rFonts w:ascii="Times New Roman" w:hAnsi="Times New Roman"/>
              </w:rPr>
              <w:t>40</w:t>
            </w:r>
          </w:p>
        </w:tc>
        <w:tc>
          <w:p w14:paraId="3E494AEB">
            <w:pPr>
              <w:pStyle w:val="24"/>
            </w:pPr>
            <w:r>
              <w:rPr>
                <w:rFonts w:ascii="Times New Roman" w:hAnsi="Times New Roman"/>
                <w:b/>
                <w:bCs/>
              </w:rPr>
              <w:t>18.48</w:t>
            </w:r>
          </w:p>
        </w:tc>
        <w:tc>
          <w:p w14:paraId="30CAC791">
            <w:pPr>
              <w:pStyle w:val="24"/>
            </w:pPr>
            <w:r>
              <w:rPr>
                <w:rFonts w:ascii="Times New Roman" w:hAnsi="Times New Roman"/>
                <w:b/>
                <w:bCs/>
              </w:rPr>
              <w:t>30.47</w:t>
            </w:r>
          </w:p>
        </w:tc>
        <w:tc>
          <w:p w14:paraId="7F29DCF5">
            <w:pPr>
              <w:pStyle w:val="24"/>
            </w:pPr>
            <w:r>
              <w:rPr>
                <w:rFonts w:ascii="Times New Roman" w:hAnsi="Times New Roman"/>
              </w:rPr>
              <w:t>98.9</w:t>
            </w:r>
          </w:p>
        </w:tc>
        <w:tc>
          <w:p w14:paraId="23DD17C5">
            <w:pPr>
              <w:pStyle w:val="24"/>
            </w:pPr>
            <w:r>
              <w:rPr>
                <w:rFonts w:ascii="Times New Roman" w:hAnsi="Times New Roman"/>
              </w:rPr>
              <w:t>68.2</w:t>
            </w:r>
          </w:p>
        </w:tc>
        <w:tc>
          <w:p w14:paraId="2B1C33FC">
            <w:pPr>
              <w:pStyle w:val="24"/>
            </w:pPr>
            <w:r>
              <w:rPr>
                <w:rFonts w:ascii="Times New Roman" w:hAnsi="Times New Roman"/>
              </w:rPr>
              <w:t>21.32</w:t>
            </w:r>
          </w:p>
        </w:tc>
        <w:tc>
          <w:p w14:paraId="783CEB72">
            <w:pPr>
              <w:pStyle w:val="24"/>
            </w:pPr>
            <w:r>
              <w:rPr>
                <w:rFonts w:ascii="Times New Roman" w:hAnsi="Times New Roman"/>
              </w:rPr>
              <w:t>33.66</w:t>
            </w:r>
          </w:p>
        </w:tc>
        <w:tc>
          <w:p w14:paraId="52F3B1FD">
            <w:pPr>
              <w:pStyle w:val="24"/>
            </w:pPr>
            <w:r>
              <w:rPr>
                <w:rFonts w:ascii="Times New Roman" w:hAnsi="Times New Roman"/>
              </w:rPr>
              <w:t>21.47</w:t>
            </w:r>
          </w:p>
        </w:tc>
        <w:tc>
          <w:p w14:paraId="0E4E14E8">
            <w:pPr>
              <w:pStyle w:val="24"/>
            </w:pPr>
            <w:r>
              <w:rPr>
                <w:rFonts w:ascii="Times New Roman" w:hAnsi="Times New Roman"/>
              </w:rPr>
              <w:t>34.30</w:t>
            </w:r>
          </w:p>
        </w:tc>
      </w:tr>
      <w:tr w14:paraId="0714104B">
        <w:tblPrEx>
          <w:tblCellMar>
            <w:top w:w="0" w:type="dxa"/>
            <w:left w:w="108" w:type="dxa"/>
            <w:bottom w:w="0" w:type="dxa"/>
            <w:right w:w="108" w:type="dxa"/>
          </w:tblCellMar>
        </w:tblPrEx>
        <w:tc>
          <w:tcPr>
            <w:vMerge w:val="continue"/>
          </w:tcPr>
          <w:p w14:paraId="76BCEBD2"/>
        </w:tc>
        <w:tc>
          <w:p w14:paraId="352B4EB7">
            <w:pPr>
              <w:pStyle w:val="24"/>
            </w:pPr>
            <w:r>
              <w:rPr>
                <w:rFonts w:ascii="Times New Roman" w:hAnsi="Times New Roman"/>
              </w:rPr>
              <w:t>60</w:t>
            </w:r>
          </w:p>
        </w:tc>
        <w:tc>
          <w:p w14:paraId="4DA1A220">
            <w:pPr>
              <w:pStyle w:val="24"/>
            </w:pPr>
            <w:r>
              <w:rPr>
                <w:rFonts w:ascii="Times New Roman" w:hAnsi="Times New Roman"/>
                <w:b/>
                <w:bCs/>
              </w:rPr>
              <w:t>18.37</w:t>
            </w:r>
          </w:p>
        </w:tc>
        <w:tc>
          <w:p w14:paraId="59EF5E9D">
            <w:pPr>
              <w:pStyle w:val="24"/>
            </w:pPr>
            <w:r>
              <w:rPr>
                <w:rFonts w:ascii="Times New Roman" w:hAnsi="Times New Roman"/>
                <w:b/>
                <w:bCs/>
              </w:rPr>
              <w:t>30.22</w:t>
            </w:r>
          </w:p>
        </w:tc>
        <w:tc>
          <w:p w14:paraId="6EF3D58F">
            <w:pPr>
              <w:pStyle w:val="24"/>
            </w:pPr>
            <w:r>
              <w:rPr>
                <w:rFonts w:ascii="Times New Roman" w:hAnsi="Times New Roman"/>
              </w:rPr>
              <w:t>98.9</w:t>
            </w:r>
          </w:p>
        </w:tc>
        <w:tc>
          <w:p w14:paraId="73575A97">
            <w:pPr>
              <w:pStyle w:val="24"/>
            </w:pPr>
            <w:r>
              <w:rPr>
                <w:rFonts w:ascii="Times New Roman" w:hAnsi="Times New Roman"/>
              </w:rPr>
              <w:t>68.0</w:t>
            </w:r>
          </w:p>
        </w:tc>
        <w:tc>
          <w:p w14:paraId="2B364BB6">
            <w:pPr>
              <w:pStyle w:val="24"/>
            </w:pPr>
            <w:r>
              <w:rPr>
                <w:rFonts w:ascii="Times New Roman" w:hAnsi="Times New Roman"/>
              </w:rPr>
              <w:t>23.45</w:t>
            </w:r>
          </w:p>
        </w:tc>
        <w:tc>
          <w:p w14:paraId="1D71E4DF">
            <w:pPr>
              <w:pStyle w:val="24"/>
            </w:pPr>
            <w:r>
              <w:rPr>
                <w:rFonts w:ascii="Times New Roman" w:hAnsi="Times New Roman"/>
              </w:rPr>
              <w:t>35.79</w:t>
            </w:r>
          </w:p>
        </w:tc>
        <w:tc>
          <w:p w14:paraId="71688B89">
            <w:pPr>
              <w:pStyle w:val="24"/>
            </w:pPr>
            <w:r>
              <w:rPr>
                <w:rFonts w:ascii="Times New Roman" w:hAnsi="Times New Roman"/>
              </w:rPr>
              <w:t>23.53</w:t>
            </w:r>
          </w:p>
        </w:tc>
        <w:tc>
          <w:p w14:paraId="66DBA970">
            <w:pPr>
              <w:pStyle w:val="24"/>
            </w:pPr>
            <w:r>
              <w:rPr>
                <w:rFonts w:ascii="Times New Roman" w:hAnsi="Times New Roman"/>
              </w:rPr>
              <w:t>36.34</w:t>
            </w:r>
          </w:p>
        </w:tc>
      </w:tr>
      <w:tr w14:paraId="085991AE">
        <w:tblPrEx>
          <w:tblCellMar>
            <w:top w:w="0" w:type="dxa"/>
            <w:left w:w="108" w:type="dxa"/>
            <w:bottom w:w="0" w:type="dxa"/>
            <w:right w:w="108" w:type="dxa"/>
          </w:tblCellMar>
        </w:tblPrEx>
        <w:tc>
          <w:tcPr>
            <w:vMerge w:val="continue"/>
          </w:tcPr>
          <w:p w14:paraId="7CD90D6A"/>
        </w:tc>
        <w:tc>
          <w:p w14:paraId="110AD605">
            <w:pPr>
              <w:pStyle w:val="24"/>
            </w:pPr>
            <w:r>
              <w:rPr>
                <w:rFonts w:ascii="Times New Roman" w:hAnsi="Times New Roman"/>
              </w:rPr>
              <w:t>80</w:t>
            </w:r>
          </w:p>
        </w:tc>
        <w:tc>
          <w:p w14:paraId="7CA3E4E1">
            <w:pPr>
              <w:pStyle w:val="24"/>
            </w:pPr>
            <w:r>
              <w:rPr>
                <w:rFonts w:ascii="Times New Roman" w:hAnsi="Times New Roman"/>
                <w:b/>
                <w:bCs/>
              </w:rPr>
              <w:t>18.71</w:t>
            </w:r>
          </w:p>
        </w:tc>
        <w:tc>
          <w:p w14:paraId="0982E8CC">
            <w:pPr>
              <w:pStyle w:val="24"/>
            </w:pPr>
            <w:r>
              <w:rPr>
                <w:rFonts w:ascii="Times New Roman" w:hAnsi="Times New Roman"/>
                <w:b/>
                <w:bCs/>
              </w:rPr>
              <w:t>30.61</w:t>
            </w:r>
          </w:p>
        </w:tc>
        <w:tc>
          <w:p w14:paraId="3AEDCBED">
            <w:pPr>
              <w:pStyle w:val="24"/>
            </w:pPr>
            <w:r>
              <w:rPr>
                <w:rFonts w:ascii="Times New Roman" w:hAnsi="Times New Roman"/>
              </w:rPr>
              <w:t>98.9</w:t>
            </w:r>
          </w:p>
        </w:tc>
        <w:tc>
          <w:p w14:paraId="27292D76">
            <w:pPr>
              <w:pStyle w:val="24"/>
            </w:pPr>
            <w:r>
              <w:rPr>
                <w:rFonts w:ascii="Times New Roman" w:hAnsi="Times New Roman"/>
              </w:rPr>
              <w:t>67.4</w:t>
            </w:r>
          </w:p>
        </w:tc>
        <w:tc>
          <w:p w14:paraId="00C71874">
            <w:pPr>
              <w:pStyle w:val="24"/>
            </w:pPr>
            <w:r>
              <w:rPr>
                <w:rFonts w:ascii="Times New Roman" w:hAnsi="Times New Roman"/>
              </w:rPr>
              <w:t>28.39</w:t>
            </w:r>
          </w:p>
        </w:tc>
        <w:tc>
          <w:p w14:paraId="7BBD2376">
            <w:pPr>
              <w:pStyle w:val="24"/>
            </w:pPr>
            <w:r>
              <w:rPr>
                <w:rFonts w:ascii="Times New Roman" w:hAnsi="Times New Roman"/>
              </w:rPr>
              <w:t>40.38</w:t>
            </w:r>
          </w:p>
        </w:tc>
        <w:tc>
          <w:p w14:paraId="1BDCC029">
            <w:pPr>
              <w:pStyle w:val="24"/>
            </w:pPr>
            <w:r>
              <w:rPr>
                <w:rFonts w:ascii="Times New Roman" w:hAnsi="Times New Roman"/>
              </w:rPr>
              <w:t>28.26</w:t>
            </w:r>
          </w:p>
        </w:tc>
        <w:tc>
          <w:p w14:paraId="0D5F536A">
            <w:pPr>
              <w:pStyle w:val="24"/>
            </w:pPr>
            <w:r>
              <w:rPr>
                <w:rFonts w:ascii="Times New Roman" w:hAnsi="Times New Roman"/>
              </w:rPr>
              <w:t>40.76</w:t>
            </w:r>
          </w:p>
        </w:tc>
      </w:tr>
      <w:tr w14:paraId="22EF9F11">
        <w:tblPrEx>
          <w:tblCellMar>
            <w:top w:w="0" w:type="dxa"/>
            <w:left w:w="108" w:type="dxa"/>
            <w:bottom w:w="0" w:type="dxa"/>
            <w:right w:w="108" w:type="dxa"/>
          </w:tblCellMar>
        </w:tblPrEx>
        <w:tc>
          <w:tcPr>
            <w:vMerge w:val="continue"/>
          </w:tcPr>
          <w:p w14:paraId="542DC747"/>
        </w:tc>
        <w:tc>
          <w:p w14:paraId="3FCF4085">
            <w:pPr>
              <w:pStyle w:val="24"/>
            </w:pPr>
            <w:r>
              <w:rPr>
                <w:rFonts w:ascii="Times New Roman" w:hAnsi="Times New Roman"/>
              </w:rPr>
              <w:t>100</w:t>
            </w:r>
          </w:p>
        </w:tc>
        <w:tc>
          <w:p w14:paraId="49C29C3F">
            <w:pPr>
              <w:pStyle w:val="24"/>
            </w:pPr>
            <w:r>
              <w:rPr>
                <w:rFonts w:ascii="Times New Roman" w:hAnsi="Times New Roman"/>
                <w:b/>
                <w:bCs/>
              </w:rPr>
              <w:t>18.89</w:t>
            </w:r>
          </w:p>
        </w:tc>
        <w:tc>
          <w:p w14:paraId="34721073">
            <w:pPr>
              <w:pStyle w:val="24"/>
            </w:pPr>
            <w:r>
              <w:rPr>
                <w:rFonts w:ascii="Times New Roman" w:hAnsi="Times New Roman"/>
                <w:b/>
                <w:bCs/>
              </w:rPr>
              <w:t>31.05</w:t>
            </w:r>
          </w:p>
        </w:tc>
        <w:tc>
          <w:p w14:paraId="73E8EE38">
            <w:pPr>
              <w:pStyle w:val="24"/>
            </w:pPr>
            <w:r>
              <w:rPr>
                <w:rFonts w:ascii="Times New Roman" w:hAnsi="Times New Roman"/>
              </w:rPr>
              <w:t>99.5</w:t>
            </w:r>
          </w:p>
        </w:tc>
        <w:tc>
          <w:p w14:paraId="3E9F09CA">
            <w:pPr>
              <w:pStyle w:val="24"/>
            </w:pPr>
            <w:r>
              <w:rPr>
                <w:rFonts w:ascii="Times New Roman" w:hAnsi="Times New Roman"/>
              </w:rPr>
              <w:t>66.9</w:t>
            </w:r>
          </w:p>
        </w:tc>
        <w:tc>
          <w:p w14:paraId="25CF44C1">
            <w:pPr>
              <w:pStyle w:val="24"/>
            </w:pPr>
            <w:r>
              <w:rPr>
                <w:rFonts w:ascii="Times New Roman" w:hAnsi="Times New Roman"/>
              </w:rPr>
              <w:t>n/a</w:t>
            </w:r>
          </w:p>
        </w:tc>
        <w:tc>
          <w:p w14:paraId="5EDEF64D">
            <w:pPr>
              <w:pStyle w:val="24"/>
            </w:pPr>
            <w:r>
              <w:rPr>
                <w:rFonts w:ascii="Times New Roman" w:hAnsi="Times New Roman"/>
              </w:rPr>
              <w:t>n/a</w:t>
            </w:r>
          </w:p>
        </w:tc>
        <w:tc>
          <w:p w14:paraId="1C7038AE">
            <w:pPr>
              <w:pStyle w:val="24"/>
            </w:pPr>
            <w:r>
              <w:rPr>
                <w:rFonts w:ascii="Times New Roman" w:hAnsi="Times New Roman"/>
              </w:rPr>
              <w:t>36.18</w:t>
            </w:r>
          </w:p>
        </w:tc>
        <w:tc>
          <w:p w14:paraId="4BB9E993">
            <w:pPr>
              <w:pStyle w:val="24"/>
            </w:pPr>
            <w:r>
              <w:rPr>
                <w:rFonts w:ascii="Times New Roman" w:hAnsi="Times New Roman"/>
              </w:rPr>
              <w:t>48.70</w:t>
            </w:r>
          </w:p>
        </w:tc>
      </w:tr>
    </w:tbl>
    <w:p w14:paraId="51BE52A4">
      <w:pPr>
        <w:pStyle w:val="23"/>
        <w:jc w:val="both"/>
      </w:pPr>
      <w:r>
        <w:rPr>
          <w:rFonts w:ascii="Times New Roman" w:hAnsi="Times New Roman"/>
        </w:rPr>
        <w:t>Random dropout reports the mean of three independent mask draws per ρ; the burst schedule is deterministic once its seed is fixed, so a single draw is reported. The ρ = 0 row reproduces the Tiny full model of Table S2 (A3/C1) exactly and is a useful sanity check. Because radar and vision stay available at every ρ, the widening gap between the three columns measures how much of the trajectory evidence the non-AIS modalities can still supply: over ρ = 0 → 100 the Tiny full model degrades by 0.45 m, whereas the masked fusion variant degrades by 18.8 m, and the AIS-only baseline has already lost 10.5 m by ρ = 80 (it is not evaluable at ρ = 100, having no input left).</w:t>
      </w:r>
    </w:p>
    <w:bookmarkEnd w:id="1"/>
    <w:bookmarkEnd w:id="3"/>
    <w:p w14:paraId="782C9243">
      <w:pPr>
        <w:pStyle w:val="4"/>
      </w:pPr>
      <w:bookmarkStart w:id="4" w:name="X31034545ae5749eef348f92ff735b3d23be591c"/>
      <w:r>
        <w:rPr>
          <w:rFonts w:ascii="Times New Roman" w:hAnsi="Times New Roman"/>
        </w:rPr>
        <w:t>S2. Ablations on ST-GAT-Fusion-Tiny (Section 3.3)</w:t>
      </w:r>
    </w:p>
    <w:p w14:paraId="779FE067">
      <w:pPr>
        <w:pStyle w:val="5"/>
      </w:pPr>
      <w:bookmarkStart w:id="5" w:name="s2.1-protocol"/>
      <w:r>
        <w:rPr>
          <w:rFonts w:ascii="Times New Roman" w:hAnsi="Times New Roman"/>
        </w:rPr>
        <w:t>S2.1 Protocol</w:t>
      </w:r>
    </w:p>
    <w:p w14:paraId="52277DC6">
      <w:pPr>
        <w:pStyle w:val="23"/>
        <w:jc w:val="both"/>
      </w:pPr>
      <w:r>
        <w:rPr>
          <w:rFonts w:ascii="Times New Roman" w:hAnsi="Times New Roman"/>
        </w:rPr>
        <w:t>ST-GAT-Fusion-Tiny shares the fusion, masking and graph-topology modules of the full model and differs only in hidden width (d = 64), attention-head count and encoder capacity: 0.40 M trainable parameters against 1.47 M for the full-width model. Part A rebuilds the Tiny model in four steps from the AIS-only Bi-LSTM baseline trained in this repository (A0, 0.17 M): A1 adds the vision encoder while the radar input is masked off, A2 restores the radar input but keeps all three edge types disabled, and A3 enables the spatial, temporal and shore edges to give the Tiny full model. Part B removes one modality at a time from A3 by masking its input; because masking acts on the input rather than deleting the encoder, M1–M3 keep the same parameter count as A3. Part C contrasts the shipped pipeline, in which the cross-modal alignment runs offline during preprocessing, with a deliberately de-synchronised input in which the radar stream is delayed by 1–3 frames and the vision stream by 1–2 frames. Every configuration is trained from scratch with the identical 100-epoch schedule on seed 0, and the test metrics come from the checkpoint selected on the validation split. Each entry is therefore a single run, and differences of a few tenths of a metre should not be read as significant.</w:t>
      </w:r>
    </w:p>
    <w:bookmarkEnd w:id="5"/>
    <w:p w14:paraId="12CFCF46">
      <w:pPr>
        <w:pStyle w:val="5"/>
      </w:pPr>
      <w:bookmarkStart w:id="6" w:name="s2.2-results"/>
      <w:r>
        <w:rPr>
          <w:rFonts w:ascii="Times New Roman" w:hAnsi="Times New Roman"/>
        </w:rPr>
        <w:t>S2.2 Results</w:t>
      </w:r>
    </w:p>
    <w:p w14:paraId="64416E72">
      <w:pPr>
        <w:pStyle w:val="23"/>
        <w:jc w:val="both"/>
      </w:pPr>
      <w:r>
        <w:rPr>
          <w:rFonts w:ascii="Times New Roman" w:hAnsi="Times New Roman"/>
          <w:b/>
          <w:bCs/>
        </w:rPr>
        <w:t>Table S2.</w:t>
      </w:r>
      <w:r>
        <w:rPr>
          <w:rFonts w:ascii="Times New Roman" w:hAnsi="Times New Roman"/>
        </w:rPr>
        <w:t xml:space="preserve"> Modular (A), per-modality (B) and alignment (C) ablations on ST-GAT-Fusion-Tiny (d = 64, 0.40 M parameters). ADE in metres; Δ is relative to the Tiny full model (A3 / C1). Single run on seed 0 per configuration, test metrics of the checkpoint selected on the validation split. Best value per part in bold.</w:t>
      </w:r>
    </w:p>
    <w:tbl>
      <w:tblPr>
        <w:tblStyle w:val="41"/>
        <w:tblW w:w="0" w:type="auto"/>
        <w:tblCaption w:val="Table S2. Modular (A), per-modality (B) and alignment (C) ablations on ST-GAT-Fusion-Tiny (d = 64, 0.40 M parameters). ADE in metres; Δ is relative to the Tiny full model (A3 / C1). Single run on seed 0 per configuration, test metrics of the checkpoint selected on the validation split. Best value per part in bold."/>
        <w:tblInd w:w="0" w:type="dxa"/>
        <w:tblLayout w:type="autofit"/>
        <w:tblCellMar>
          <w:top w:w="0" w:type="dxa"/>
          <w:left w:w="108" w:type="dxa"/>
          <w:bottom w:w="0" w:type="dxa"/>
          <w:right w:w="108" w:type="dxa"/>
        </w:tblCellMar>
      </w:tblPr>
      <w:tblGrid>
        <w:gridCol w:w="1640"/>
        <w:gridCol w:w="550"/>
        <w:gridCol w:w="2893"/>
        <w:gridCol w:w="1186"/>
        <w:gridCol w:w="1085"/>
        <w:gridCol w:w="1502"/>
      </w:tblGrid>
      <w:tr w14:paraId="547689CA">
        <w:tblPrEx>
          <w:tblCellMar>
            <w:top w:w="0" w:type="dxa"/>
            <w:left w:w="108" w:type="dxa"/>
            <w:bottom w:w="0" w:type="dxa"/>
            <w:right w:w="108" w:type="dxa"/>
          </w:tblCellMar>
        </w:tblPrEx>
        <w:trPr>
          <w:tblHeader/>
        </w:trPr>
        <w:tc>
          <w:p w14:paraId="79A96D07">
            <w:pPr>
              <w:pStyle w:val="24"/>
            </w:pPr>
            <w:r>
              <w:rPr>
                <w:rFonts w:ascii="Times New Roman" w:hAnsi="Times New Roman"/>
              </w:rPr>
              <w:t>Part</w:t>
            </w:r>
          </w:p>
        </w:tc>
        <w:tc>
          <w:p w14:paraId="62FFA1EE">
            <w:pPr>
              <w:pStyle w:val="24"/>
            </w:pPr>
            <w:r>
              <w:rPr>
                <w:rFonts w:ascii="Times New Roman" w:hAnsi="Times New Roman"/>
              </w:rPr>
              <w:t>#</w:t>
            </w:r>
          </w:p>
        </w:tc>
        <w:tc>
          <w:p w14:paraId="4207BD13">
            <w:pPr>
              <w:pStyle w:val="24"/>
            </w:pPr>
            <w:r>
              <w:rPr>
                <w:rFonts w:ascii="Times New Roman" w:hAnsi="Times New Roman"/>
              </w:rPr>
              <w:t>Configuration</w:t>
            </w:r>
          </w:p>
        </w:tc>
        <w:tc>
          <w:p w14:paraId="7183836D">
            <w:pPr>
              <w:pStyle w:val="24"/>
            </w:pPr>
            <w:r>
              <w:rPr>
                <w:rFonts w:ascii="Times New Roman" w:hAnsi="Times New Roman"/>
              </w:rPr>
              <w:t>Params (M)</w:t>
            </w:r>
          </w:p>
        </w:tc>
        <w:tc>
          <w:p w14:paraId="0767CE12">
            <w:pPr>
              <w:pStyle w:val="24"/>
            </w:pPr>
            <w:r>
              <w:rPr>
                <w:rFonts w:ascii="Times New Roman" w:hAnsi="Times New Roman"/>
              </w:rPr>
              <w:t>ADE (m) ↓</w:t>
            </w:r>
          </w:p>
        </w:tc>
        <w:tc>
          <w:p w14:paraId="373A1FC2">
            <w:pPr>
              <w:pStyle w:val="24"/>
            </w:pPr>
            <w:r>
              <w:rPr>
                <w:rFonts w:ascii="Times New Roman" w:hAnsi="Times New Roman"/>
              </w:rPr>
              <w:t>Δ vs Tiny full (%)</w:t>
            </w:r>
          </w:p>
        </w:tc>
      </w:tr>
      <w:tr w14:paraId="7476E428">
        <w:tblPrEx>
          <w:tblCellMar>
            <w:top w:w="0" w:type="dxa"/>
            <w:left w:w="108" w:type="dxa"/>
            <w:bottom w:w="0" w:type="dxa"/>
            <w:right w:w="108" w:type="dxa"/>
          </w:tblCellMar>
        </w:tblPrEx>
        <w:tc>
          <w:tcPr>
            <w:vMerge w:val="restart"/>
          </w:tcPr>
          <w:p w14:paraId="55C97F4C">
            <w:pPr>
              <w:pStyle w:val="24"/>
            </w:pPr>
            <w:r>
              <w:rPr>
                <w:rFonts w:ascii="Times New Roman" w:hAnsi="Times New Roman"/>
              </w:rPr>
              <w:t>A (modular)</w:t>
            </w:r>
          </w:p>
        </w:tc>
        <w:tc>
          <w:p w14:paraId="6E153BBC">
            <w:pPr>
              <w:pStyle w:val="24"/>
            </w:pPr>
            <w:r>
              <w:rPr>
                <w:rFonts w:ascii="Times New Roman" w:hAnsi="Times New Roman"/>
              </w:rPr>
              <w:t>A0</w:t>
            </w:r>
          </w:p>
        </w:tc>
        <w:tc>
          <w:p w14:paraId="161BDE14">
            <w:pPr>
              <w:pStyle w:val="24"/>
            </w:pPr>
            <w:r>
              <w:rPr>
                <w:rFonts w:ascii="Times New Roman" w:hAnsi="Times New Roman"/>
              </w:rPr>
              <w:t>Bi-LSTM (AIS only)</w:t>
            </w:r>
          </w:p>
        </w:tc>
        <w:tc>
          <w:p w14:paraId="1E91B156">
            <w:pPr>
              <w:pStyle w:val="24"/>
            </w:pPr>
            <w:r>
              <w:rPr>
                <w:rFonts w:ascii="Times New Roman" w:hAnsi="Times New Roman"/>
              </w:rPr>
              <w:t>0.170</w:t>
            </w:r>
          </w:p>
        </w:tc>
        <w:tc>
          <w:p w14:paraId="054BA31B">
            <w:pPr>
              <w:pStyle w:val="24"/>
            </w:pPr>
            <w:r>
              <w:rPr>
                <w:rFonts w:ascii="Times New Roman" w:hAnsi="Times New Roman"/>
              </w:rPr>
              <w:t>19.53</w:t>
            </w:r>
          </w:p>
        </w:tc>
        <w:tc>
          <w:p w14:paraId="55D8585B">
            <w:pPr>
              <w:pStyle w:val="24"/>
            </w:pPr>
            <w:r>
              <w:rPr>
                <w:rFonts w:ascii="Times New Roman" w:hAnsi="Times New Roman"/>
              </w:rPr>
              <w:t>+5.7</w:t>
            </w:r>
          </w:p>
        </w:tc>
      </w:tr>
      <w:tr w14:paraId="330981B8">
        <w:tblPrEx>
          <w:tblCellMar>
            <w:top w:w="0" w:type="dxa"/>
            <w:left w:w="108" w:type="dxa"/>
            <w:bottom w:w="0" w:type="dxa"/>
            <w:right w:w="108" w:type="dxa"/>
          </w:tblCellMar>
        </w:tblPrEx>
        <w:tc>
          <w:tcPr>
            <w:vMerge w:val="continue"/>
          </w:tcPr>
          <w:p w14:paraId="13840BA4"/>
        </w:tc>
        <w:tc>
          <w:p w14:paraId="7A624D99">
            <w:pPr>
              <w:pStyle w:val="24"/>
            </w:pPr>
            <w:r>
              <w:rPr>
                <w:rFonts w:ascii="Times New Roman" w:hAnsi="Times New Roman"/>
              </w:rPr>
              <w:t>A1</w:t>
            </w:r>
          </w:p>
        </w:tc>
        <w:tc>
          <w:p w14:paraId="071C5471">
            <w:pPr>
              <w:pStyle w:val="24"/>
            </w:pPr>
            <w:r>
              <w:rPr>
                <w:rFonts w:ascii="Times New Roman" w:hAnsi="Times New Roman"/>
              </w:rPr>
              <w:t>A0 + vision encoder</w:t>
            </w:r>
          </w:p>
        </w:tc>
        <w:tc>
          <w:p w14:paraId="469B6031">
            <w:pPr>
              <w:pStyle w:val="24"/>
            </w:pPr>
            <w:r>
              <w:rPr>
                <w:rFonts w:ascii="Times New Roman" w:hAnsi="Times New Roman"/>
              </w:rPr>
              <w:t>0.304</w:t>
            </w:r>
          </w:p>
        </w:tc>
        <w:tc>
          <w:p w14:paraId="555A5930">
            <w:pPr>
              <w:pStyle w:val="24"/>
            </w:pPr>
            <w:r>
              <w:rPr>
                <w:rFonts w:ascii="Times New Roman" w:hAnsi="Times New Roman"/>
              </w:rPr>
              <w:t>19.75</w:t>
            </w:r>
          </w:p>
        </w:tc>
        <w:tc>
          <w:p w14:paraId="1129AC1E">
            <w:pPr>
              <w:pStyle w:val="24"/>
            </w:pPr>
            <w:r>
              <w:rPr>
                <w:rFonts w:ascii="Times New Roman" w:hAnsi="Times New Roman"/>
              </w:rPr>
              <w:t>+6.9</w:t>
            </w:r>
          </w:p>
        </w:tc>
      </w:tr>
      <w:tr w14:paraId="4A3FF91B">
        <w:tblPrEx>
          <w:tblCellMar>
            <w:top w:w="0" w:type="dxa"/>
            <w:left w:w="108" w:type="dxa"/>
            <w:bottom w:w="0" w:type="dxa"/>
            <w:right w:w="108" w:type="dxa"/>
          </w:tblCellMar>
        </w:tblPrEx>
        <w:tc>
          <w:tcPr>
            <w:vMerge w:val="continue"/>
          </w:tcPr>
          <w:p w14:paraId="7EE0A6F9"/>
        </w:tc>
        <w:tc>
          <w:p w14:paraId="2994EBD6">
            <w:pPr>
              <w:pStyle w:val="24"/>
            </w:pPr>
            <w:r>
              <w:rPr>
                <w:rFonts w:ascii="Times New Roman" w:hAnsi="Times New Roman"/>
              </w:rPr>
              <w:t>A2</w:t>
            </w:r>
          </w:p>
        </w:tc>
        <w:tc>
          <w:p w14:paraId="629E51FD">
            <w:pPr>
              <w:pStyle w:val="24"/>
            </w:pPr>
            <w:r>
              <w:rPr>
                <w:rFonts w:ascii="Times New Roman" w:hAnsi="Times New Roman"/>
              </w:rPr>
              <w:t>A1 + radar encoder (no graph edges)</w:t>
            </w:r>
          </w:p>
        </w:tc>
        <w:tc>
          <w:p w14:paraId="07BCD42D">
            <w:pPr>
              <w:pStyle w:val="24"/>
            </w:pPr>
            <w:r>
              <w:rPr>
                <w:rFonts w:ascii="Times New Roman" w:hAnsi="Times New Roman"/>
              </w:rPr>
              <w:t>0.304</w:t>
            </w:r>
          </w:p>
        </w:tc>
        <w:tc>
          <w:p w14:paraId="290DB121">
            <w:pPr>
              <w:pStyle w:val="24"/>
            </w:pPr>
            <w:r>
              <w:rPr>
                <w:rFonts w:ascii="Times New Roman" w:hAnsi="Times New Roman"/>
              </w:rPr>
              <w:t>19.54</w:t>
            </w:r>
          </w:p>
        </w:tc>
        <w:tc>
          <w:p w14:paraId="6B47862F">
            <w:pPr>
              <w:pStyle w:val="24"/>
            </w:pPr>
            <w:r>
              <w:rPr>
                <w:rFonts w:ascii="Times New Roman" w:hAnsi="Times New Roman"/>
              </w:rPr>
              <w:t>+5.8</w:t>
            </w:r>
          </w:p>
        </w:tc>
      </w:tr>
      <w:tr w14:paraId="39C54B45">
        <w:tblPrEx>
          <w:tblCellMar>
            <w:top w:w="0" w:type="dxa"/>
            <w:left w:w="108" w:type="dxa"/>
            <w:bottom w:w="0" w:type="dxa"/>
            <w:right w:w="108" w:type="dxa"/>
          </w:tblCellMar>
        </w:tblPrEx>
        <w:tc>
          <w:tcPr>
            <w:vMerge w:val="continue"/>
          </w:tcPr>
          <w:p w14:paraId="4D62A653"/>
        </w:tc>
        <w:tc>
          <w:p w14:paraId="0AD1928E">
            <w:pPr>
              <w:pStyle w:val="24"/>
            </w:pPr>
            <w:r>
              <w:rPr>
                <w:rFonts w:ascii="Times New Roman" w:hAnsi="Times New Roman"/>
              </w:rPr>
              <w:t>A3</w:t>
            </w:r>
          </w:p>
        </w:tc>
        <w:tc>
          <w:p w14:paraId="1D604C20">
            <w:pPr>
              <w:pStyle w:val="24"/>
            </w:pPr>
            <w:r>
              <w:rPr>
                <w:rFonts w:ascii="Times New Roman" w:hAnsi="Times New Roman"/>
              </w:rPr>
              <w:t>A2 + ST-Graph (= Tiny full)</w:t>
            </w:r>
          </w:p>
        </w:tc>
        <w:tc>
          <w:p w14:paraId="7C2C28B5">
            <w:pPr>
              <w:pStyle w:val="24"/>
            </w:pPr>
            <w:r>
              <w:rPr>
                <w:rFonts w:ascii="Times New Roman" w:hAnsi="Times New Roman"/>
              </w:rPr>
              <w:t>0.404</w:t>
            </w:r>
          </w:p>
        </w:tc>
        <w:tc>
          <w:p w14:paraId="15DBD2F6">
            <w:pPr>
              <w:pStyle w:val="24"/>
            </w:pPr>
            <w:r>
              <w:rPr>
                <w:rFonts w:ascii="Times New Roman" w:hAnsi="Times New Roman"/>
                <w:b/>
                <w:bCs/>
              </w:rPr>
              <w:t>18.47</w:t>
            </w:r>
          </w:p>
        </w:tc>
        <w:tc>
          <w:p w14:paraId="353104F8">
            <w:pPr>
              <w:pStyle w:val="24"/>
            </w:pPr>
            <w:r>
              <w:rPr>
                <w:rFonts w:ascii="Times New Roman" w:hAnsi="Times New Roman"/>
              </w:rPr>
              <w:t>+0.0</w:t>
            </w:r>
          </w:p>
        </w:tc>
      </w:tr>
      <w:tr w14:paraId="49EE881D">
        <w:tblPrEx>
          <w:tblCellMar>
            <w:top w:w="0" w:type="dxa"/>
            <w:left w:w="108" w:type="dxa"/>
            <w:bottom w:w="0" w:type="dxa"/>
            <w:right w:w="108" w:type="dxa"/>
          </w:tblCellMar>
        </w:tblPrEx>
        <w:tc>
          <w:tcPr>
            <w:vMerge w:val="restart"/>
          </w:tcPr>
          <w:p w14:paraId="374B159D">
            <w:pPr>
              <w:pStyle w:val="24"/>
            </w:pPr>
            <w:r>
              <w:rPr>
                <w:rFonts w:ascii="Times New Roman" w:hAnsi="Times New Roman"/>
              </w:rPr>
              <w:t>B (per-modality)</w:t>
            </w:r>
          </w:p>
        </w:tc>
        <w:tc>
          <w:p w14:paraId="762C8B38">
            <w:pPr>
              <w:pStyle w:val="24"/>
            </w:pPr>
            <w:r>
              <w:rPr>
                <w:rFonts w:ascii="Times New Roman" w:hAnsi="Times New Roman"/>
              </w:rPr>
              <w:t>M1</w:t>
            </w:r>
          </w:p>
        </w:tc>
        <w:tc>
          <w:p w14:paraId="6D48B272">
            <w:pPr>
              <w:pStyle w:val="24"/>
            </w:pPr>
            <w:r>
              <w:rPr>
                <w:rFonts w:ascii="Times New Roman" w:hAnsi="Times New Roman"/>
              </w:rPr>
              <w:t>Tiny full - AIS</w:t>
            </w:r>
          </w:p>
        </w:tc>
        <w:tc>
          <w:p w14:paraId="1D659A90">
            <w:pPr>
              <w:pStyle w:val="24"/>
            </w:pPr>
            <w:r>
              <w:rPr>
                <w:rFonts w:ascii="Times New Roman" w:hAnsi="Times New Roman"/>
              </w:rPr>
              <w:t>0.404</w:t>
            </w:r>
          </w:p>
        </w:tc>
        <w:tc>
          <w:p w14:paraId="5A99A099">
            <w:pPr>
              <w:pStyle w:val="24"/>
            </w:pPr>
            <w:r>
              <w:rPr>
                <w:rFonts w:ascii="Times New Roman" w:hAnsi="Times New Roman"/>
                <w:b/>
                <w:bCs/>
              </w:rPr>
              <w:t>17.92</w:t>
            </w:r>
          </w:p>
        </w:tc>
        <w:tc>
          <w:p w14:paraId="7E1D5ECA">
            <w:pPr>
              <w:pStyle w:val="24"/>
            </w:pPr>
            <w:r>
              <w:rPr>
                <w:rFonts w:ascii="Times New Roman" w:hAnsi="Times New Roman"/>
              </w:rPr>
              <w:t>-3.0</w:t>
            </w:r>
          </w:p>
        </w:tc>
      </w:tr>
      <w:tr w14:paraId="281D4602">
        <w:tblPrEx>
          <w:tblCellMar>
            <w:top w:w="0" w:type="dxa"/>
            <w:left w:w="108" w:type="dxa"/>
            <w:bottom w:w="0" w:type="dxa"/>
            <w:right w:w="108" w:type="dxa"/>
          </w:tblCellMar>
        </w:tblPrEx>
        <w:tc>
          <w:tcPr>
            <w:vMerge w:val="continue"/>
          </w:tcPr>
          <w:p w14:paraId="11E002A6"/>
        </w:tc>
        <w:tc>
          <w:p w14:paraId="4AC5C749">
            <w:pPr>
              <w:pStyle w:val="24"/>
            </w:pPr>
            <w:r>
              <w:rPr>
                <w:rFonts w:ascii="Times New Roman" w:hAnsi="Times New Roman"/>
              </w:rPr>
              <w:t>M2</w:t>
            </w:r>
          </w:p>
        </w:tc>
        <w:tc>
          <w:p w14:paraId="10BA8E3A">
            <w:pPr>
              <w:pStyle w:val="24"/>
            </w:pPr>
            <w:r>
              <w:rPr>
                <w:rFonts w:ascii="Times New Roman" w:hAnsi="Times New Roman"/>
              </w:rPr>
              <w:t>Tiny full - Radar</w:t>
            </w:r>
          </w:p>
        </w:tc>
        <w:tc>
          <w:p w14:paraId="46585460">
            <w:pPr>
              <w:pStyle w:val="24"/>
            </w:pPr>
            <w:r>
              <w:rPr>
                <w:rFonts w:ascii="Times New Roman" w:hAnsi="Times New Roman"/>
              </w:rPr>
              <w:t>0.404</w:t>
            </w:r>
          </w:p>
        </w:tc>
        <w:tc>
          <w:p w14:paraId="2A6DE6B3">
            <w:pPr>
              <w:pStyle w:val="24"/>
            </w:pPr>
            <w:r>
              <w:rPr>
                <w:rFonts w:ascii="Times New Roman" w:hAnsi="Times New Roman"/>
              </w:rPr>
              <w:t>21.00</w:t>
            </w:r>
          </w:p>
        </w:tc>
        <w:tc>
          <w:p w14:paraId="61029B82">
            <w:pPr>
              <w:pStyle w:val="24"/>
            </w:pPr>
            <w:r>
              <w:rPr>
                <w:rFonts w:ascii="Times New Roman" w:hAnsi="Times New Roman"/>
              </w:rPr>
              <w:t>+13.7</w:t>
            </w:r>
          </w:p>
        </w:tc>
      </w:tr>
      <w:tr w14:paraId="3B3D465C">
        <w:tblPrEx>
          <w:tblCellMar>
            <w:top w:w="0" w:type="dxa"/>
            <w:left w:w="108" w:type="dxa"/>
            <w:bottom w:w="0" w:type="dxa"/>
            <w:right w:w="108" w:type="dxa"/>
          </w:tblCellMar>
        </w:tblPrEx>
        <w:tc>
          <w:tcPr>
            <w:vMerge w:val="continue"/>
          </w:tcPr>
          <w:p w14:paraId="0CB68823"/>
        </w:tc>
        <w:tc>
          <w:p w14:paraId="7C49C815">
            <w:pPr>
              <w:pStyle w:val="24"/>
            </w:pPr>
            <w:r>
              <w:rPr>
                <w:rFonts w:ascii="Times New Roman" w:hAnsi="Times New Roman"/>
              </w:rPr>
              <w:t>M3</w:t>
            </w:r>
          </w:p>
        </w:tc>
        <w:tc>
          <w:p w14:paraId="48CD29DE">
            <w:pPr>
              <w:pStyle w:val="24"/>
            </w:pPr>
            <w:r>
              <w:rPr>
                <w:rFonts w:ascii="Times New Roman" w:hAnsi="Times New Roman"/>
              </w:rPr>
              <w:t>Tiny full - Vision</w:t>
            </w:r>
          </w:p>
        </w:tc>
        <w:tc>
          <w:p w14:paraId="33E87773">
            <w:pPr>
              <w:pStyle w:val="24"/>
            </w:pPr>
            <w:r>
              <w:rPr>
                <w:rFonts w:ascii="Times New Roman" w:hAnsi="Times New Roman"/>
              </w:rPr>
              <w:t>0.404</w:t>
            </w:r>
          </w:p>
        </w:tc>
        <w:tc>
          <w:p w14:paraId="4E45DC44">
            <w:pPr>
              <w:pStyle w:val="24"/>
            </w:pPr>
            <w:r>
              <w:rPr>
                <w:rFonts w:ascii="Times New Roman" w:hAnsi="Times New Roman"/>
              </w:rPr>
              <w:t>20.32</w:t>
            </w:r>
          </w:p>
        </w:tc>
        <w:tc>
          <w:p w14:paraId="59656837">
            <w:pPr>
              <w:pStyle w:val="24"/>
            </w:pPr>
            <w:r>
              <w:rPr>
                <w:rFonts w:ascii="Times New Roman" w:hAnsi="Times New Roman"/>
              </w:rPr>
              <w:t>+10.1</w:t>
            </w:r>
          </w:p>
        </w:tc>
      </w:tr>
      <w:tr w14:paraId="47320AC8">
        <w:tblPrEx>
          <w:tblCellMar>
            <w:top w:w="0" w:type="dxa"/>
            <w:left w:w="108" w:type="dxa"/>
            <w:bottom w:w="0" w:type="dxa"/>
            <w:right w:w="108" w:type="dxa"/>
          </w:tblCellMar>
        </w:tblPrEx>
        <w:tc>
          <w:tcPr>
            <w:vMerge w:val="restart"/>
          </w:tcPr>
          <w:p w14:paraId="2381ADB9">
            <w:pPr>
              <w:pStyle w:val="24"/>
            </w:pPr>
            <w:r>
              <w:rPr>
                <w:rFonts w:ascii="Times New Roman" w:hAnsi="Times New Roman"/>
              </w:rPr>
              <w:t>C (alignment)</w:t>
            </w:r>
          </w:p>
        </w:tc>
        <w:tc>
          <w:p w14:paraId="6BBE7160">
            <w:pPr>
              <w:pStyle w:val="24"/>
            </w:pPr>
            <w:r>
              <w:rPr>
                <w:rFonts w:ascii="Times New Roman" w:hAnsi="Times New Roman"/>
              </w:rPr>
              <w:t>C1</w:t>
            </w:r>
          </w:p>
        </w:tc>
        <w:tc>
          <w:p w14:paraId="0BFDD275">
            <w:pPr>
              <w:pStyle w:val="24"/>
            </w:pPr>
            <w:r>
              <w:rPr>
                <w:rFonts w:ascii="Times New Roman" w:hAnsi="Times New Roman"/>
              </w:rPr>
              <w:t>Tiny full, aligned input</w:t>
            </w:r>
          </w:p>
        </w:tc>
        <w:tc>
          <w:p w14:paraId="7318EBCF">
            <w:pPr>
              <w:pStyle w:val="24"/>
            </w:pPr>
            <w:r>
              <w:rPr>
                <w:rFonts w:ascii="Times New Roman" w:hAnsi="Times New Roman"/>
              </w:rPr>
              <w:t>0.404</w:t>
            </w:r>
          </w:p>
        </w:tc>
        <w:tc>
          <w:p w14:paraId="38D2A3DC">
            <w:pPr>
              <w:pStyle w:val="24"/>
            </w:pPr>
            <w:r>
              <w:rPr>
                <w:rFonts w:ascii="Times New Roman" w:hAnsi="Times New Roman"/>
                <w:b/>
                <w:bCs/>
              </w:rPr>
              <w:t>18.47</w:t>
            </w:r>
          </w:p>
        </w:tc>
        <w:tc>
          <w:p w14:paraId="6F209C61">
            <w:pPr>
              <w:pStyle w:val="24"/>
            </w:pPr>
            <w:r>
              <w:rPr>
                <w:rFonts w:ascii="Times New Roman" w:hAnsi="Times New Roman"/>
              </w:rPr>
              <w:t>+0.0</w:t>
            </w:r>
          </w:p>
        </w:tc>
      </w:tr>
      <w:tr w14:paraId="27FBBC2B">
        <w:tblPrEx>
          <w:tblCellMar>
            <w:top w:w="0" w:type="dxa"/>
            <w:left w:w="108" w:type="dxa"/>
            <w:bottom w:w="0" w:type="dxa"/>
            <w:right w:w="108" w:type="dxa"/>
          </w:tblCellMar>
        </w:tblPrEx>
        <w:tc>
          <w:tcPr>
            <w:vMerge w:val="continue"/>
          </w:tcPr>
          <w:p w14:paraId="1C77BF1B"/>
        </w:tc>
        <w:tc>
          <w:p w14:paraId="5B1418F0">
            <w:pPr>
              <w:pStyle w:val="24"/>
            </w:pPr>
            <w:r>
              <w:rPr>
                <w:rFonts w:ascii="Times New Roman" w:hAnsi="Times New Roman"/>
              </w:rPr>
              <w:t>C2</w:t>
            </w:r>
          </w:p>
        </w:tc>
        <w:tc>
          <w:p w14:paraId="2614B3DD">
            <w:pPr>
              <w:pStyle w:val="24"/>
            </w:pPr>
            <w:r>
              <w:rPr>
                <w:rFonts w:ascii="Times New Roman" w:hAnsi="Times New Roman"/>
              </w:rPr>
              <w:t>Tiny full, unaligned input (no DTW)</w:t>
            </w:r>
          </w:p>
        </w:tc>
        <w:tc>
          <w:p w14:paraId="2048BAFD">
            <w:pPr>
              <w:pStyle w:val="24"/>
            </w:pPr>
            <w:r>
              <w:rPr>
                <w:rFonts w:ascii="Times New Roman" w:hAnsi="Times New Roman"/>
              </w:rPr>
              <w:t>0.404</w:t>
            </w:r>
          </w:p>
        </w:tc>
        <w:tc>
          <w:p w14:paraId="434D5FB1">
            <w:pPr>
              <w:pStyle w:val="24"/>
            </w:pPr>
            <w:r>
              <w:rPr>
                <w:rFonts w:ascii="Times New Roman" w:hAnsi="Times New Roman"/>
              </w:rPr>
              <w:t>18.70</w:t>
            </w:r>
          </w:p>
        </w:tc>
        <w:tc>
          <w:p w14:paraId="6D7F39DA">
            <w:pPr>
              <w:pStyle w:val="24"/>
            </w:pPr>
            <w:r>
              <w:rPr>
                <w:rFonts w:ascii="Times New Roman" w:hAnsi="Times New Roman"/>
              </w:rPr>
              <w:t>+1.2</w:t>
            </w:r>
          </w:p>
        </w:tc>
      </w:tr>
    </w:tbl>
    <w:p w14:paraId="288A907D">
      <w:pPr>
        <w:pStyle w:val="23"/>
        <w:jc w:val="both"/>
      </w:pPr>
      <w:r>
        <w:rPr>
          <w:rFonts w:ascii="Times New Roman" w:hAnsi="Times New Roman"/>
        </w:rPr>
        <w:t xml:space="preserve">Observed in this run. The Part A ladder is not strictly monotone: adding the vision encoder on top of the AIS-only baseline (A1) costs 0.22 m, restoring the radar input recovers that loss (A2), and enabling the graph edges is the only step that yields a clear gain, bringing A3 to 1.06 m below A0. Part B is asymmetric: masking the radar input degrades ADE by 2.53 m and masking vision by 1.86 m, whereas masking AIS </w:t>
      </w:r>
      <w:r>
        <w:rPr>
          <w:rFonts w:ascii="Times New Roman" w:hAnsi="Times New Roman"/>
          <w:i/>
          <w:iCs/>
        </w:rPr>
        <w:t>improves</w:t>
      </w:r>
      <w:r>
        <w:rPr>
          <w:rFonts w:ascii="Times New Roman" w:hAnsi="Times New Roman"/>
        </w:rPr>
        <w:t xml:space="preserve"> ADE by 0.55 m, i.e. the model does not rely on the AIS stream once radar and vision are present on this data. Part C shows the alignment step is worth 0.23 m (1.2 %) when the input is de-synchronised, so its contribution is measurable but small. These are the measured outcomes, and the main text reports the same ordering: the graph edges are the only module with a clear positive contribution, and removing the AIS stream helps on this data.</w:t>
      </w:r>
    </w:p>
    <w:bookmarkEnd w:id="4"/>
    <w:bookmarkEnd w:id="6"/>
    <w:p w14:paraId="6B8D0520">
      <w:pPr>
        <w:pStyle w:val="4"/>
      </w:pPr>
      <w:bookmarkStart w:id="7" w:name="X9a92159c25ab3f4f4192cd1903506e9405c9104"/>
      <w:r>
        <w:rPr>
          <w:rFonts w:ascii="Times New Roman" w:hAnsi="Times New Roman"/>
        </w:rPr>
        <w:t>S3. Cross-channel transfer of ST-GAT-Fusion-Tiny (Section 3.5)</w:t>
      </w:r>
    </w:p>
    <w:p w14:paraId="3947AE46">
      <w:pPr>
        <w:pStyle w:val="5"/>
      </w:pPr>
      <w:bookmarkStart w:id="8" w:name="s3.1-protocol"/>
      <w:r>
        <w:rPr>
          <w:rFonts w:ascii="Times New Roman" w:hAnsi="Times New Roman"/>
        </w:rPr>
        <w:t>S3.1 Protocol</w:t>
      </w:r>
    </w:p>
    <w:p w14:paraId="61DDB6C0">
      <w:pPr>
        <w:pStyle w:val="23"/>
        <w:jc w:val="both"/>
      </w:pPr>
      <w:r>
        <w:rPr>
          <w:rFonts w:ascii="Times New Roman" w:hAnsi="Times New Roman"/>
        </w:rPr>
        <w:t xml:space="preserve">The two transfer directions of Section 3.5 are evaluated with Tiny: train on YZ-NJ and test on GC-JN, and the reverse. Training uses only the source channel; no target-channel data, geometry or calibration is seen at any point. GMAN and MultiPath++ are not trainable from this repository (they need their official implementations plus the external-prediction evaluation path), so the comparison is against baselines that </w:t>
      </w:r>
      <w:r>
        <w:rPr>
          <w:rFonts w:ascii="Times New Roman" w:hAnsi="Times New Roman"/>
          <w:i/>
          <w:iCs/>
        </w:rPr>
        <w:t>are</w:t>
      </w:r>
      <w:r>
        <w:rPr>
          <w:rFonts w:ascii="Times New Roman" w:hAnsi="Times New Roman"/>
        </w:rPr>
        <w:t xml:space="preserve"> trainable here: an AIS-only Bi-LSTM and Social-STGCNN, both trained on the same source channel with the same schedule and evaluated on the target channel without fine-tuning. Each direction is a single run on seed 0. Note that the 80 source-channel scenes give only a handful of optimisation steps per epoch at batch size 16 (four batches on the transfer split), so all three models are lightly fitted: the absolute errors below are high, and the ranking among them should not be read as a statement about the architectures.</w:t>
      </w:r>
    </w:p>
    <w:bookmarkEnd w:id="8"/>
    <w:p w14:paraId="3426AE03">
      <w:pPr>
        <w:pStyle w:val="5"/>
      </w:pPr>
      <w:bookmarkStart w:id="9" w:name="s3.2-results"/>
      <w:r>
        <w:rPr>
          <w:rFonts w:ascii="Times New Roman" w:hAnsi="Times New Roman"/>
        </w:rPr>
        <w:t>S3.2 Results</w:t>
      </w:r>
    </w:p>
    <w:p w14:paraId="02598C87">
      <w:pPr>
        <w:pStyle w:val="44"/>
      </w:pPr>
      <w:r>
        <w:rPr>
          <w:rFonts w:ascii="Times New Roman" w:hAnsi="Times New Roman"/>
          <w:b/>
          <w:bCs/>
        </w:rPr>
        <w:t>Table S3.</w:t>
      </w:r>
      <w:r>
        <w:rPr>
          <w:rFonts w:ascii="Times New Roman" w:hAnsi="Times New Roman"/>
        </w:rPr>
        <w:t xml:space="preserve"> Cross-channel transfer of ST-GAT-Fusion-Tiny against the baselines that are trainable inside this repository. Models are trained on the source channel and tested on the target channel without fine-tuning. ADE / FDE in metres, MR@2m in %, HE in degrees. Best ADE per direction in bold.</w:t>
      </w:r>
    </w:p>
    <w:tbl>
      <w:tblPr>
        <w:tblStyle w:val="41"/>
        <w:tblW w:w="0" w:type="auto"/>
        <w:tblCaption w:val="Table S3. Cross-channel transfer of ST-GAT-Fusion-Tiny against the baselines that are trainable inside this repository. Models are trained on the source channel and tested on the target channel without fine-tuning. ADE / FDE in metres, MR@2m in %, HE in degrees. Best ADE per direction in bold."/>
        <w:tblInd w:w="0" w:type="dxa"/>
        <w:tblLayout w:type="autofit"/>
        <w:tblCellMar>
          <w:top w:w="0" w:type="dxa"/>
          <w:left w:w="108" w:type="dxa"/>
          <w:bottom w:w="0" w:type="dxa"/>
          <w:right w:w="108" w:type="dxa"/>
        </w:tblCellMar>
      </w:tblPr>
      <w:tblGrid>
        <w:gridCol w:w="1923"/>
        <w:gridCol w:w="2336"/>
        <w:gridCol w:w="890"/>
        <w:gridCol w:w="850"/>
        <w:gridCol w:w="1717"/>
        <w:gridCol w:w="756"/>
      </w:tblGrid>
      <w:tr w14:paraId="5EFD8E2F">
        <w:tblPrEx>
          <w:tblCellMar>
            <w:top w:w="0" w:type="dxa"/>
            <w:left w:w="108" w:type="dxa"/>
            <w:bottom w:w="0" w:type="dxa"/>
            <w:right w:w="108" w:type="dxa"/>
          </w:tblCellMar>
        </w:tblPrEx>
        <w:trPr>
          <w:tblHeader/>
        </w:trPr>
        <w:tc>
          <w:p w14:paraId="7BF4E67E">
            <w:pPr>
              <w:pStyle w:val="24"/>
            </w:pPr>
            <w:r>
              <w:rPr>
                <w:rFonts w:ascii="Times New Roman" w:hAnsi="Times New Roman"/>
              </w:rPr>
              <w:t>Train → Test</w:t>
            </w:r>
          </w:p>
        </w:tc>
        <w:tc>
          <w:p w14:paraId="3400C9E5">
            <w:pPr>
              <w:pStyle w:val="24"/>
            </w:pPr>
            <w:r>
              <w:rPr>
                <w:rFonts w:ascii="Times New Roman" w:hAnsi="Times New Roman"/>
              </w:rPr>
              <w:t>Model</w:t>
            </w:r>
          </w:p>
        </w:tc>
        <w:tc>
          <w:p w14:paraId="74B18C12">
            <w:pPr>
              <w:pStyle w:val="24"/>
            </w:pPr>
            <w:r>
              <w:rPr>
                <w:rFonts w:ascii="Times New Roman" w:hAnsi="Times New Roman"/>
              </w:rPr>
              <w:t>ADE ↓</w:t>
            </w:r>
          </w:p>
        </w:tc>
        <w:tc>
          <w:p w14:paraId="5F9E75CA">
            <w:pPr>
              <w:pStyle w:val="24"/>
            </w:pPr>
            <w:r>
              <w:rPr>
                <w:rFonts w:ascii="Times New Roman" w:hAnsi="Times New Roman"/>
              </w:rPr>
              <w:t>FDE ↓</w:t>
            </w:r>
          </w:p>
        </w:tc>
        <w:tc>
          <w:p w14:paraId="7D520C9D">
            <w:pPr>
              <w:pStyle w:val="24"/>
            </w:pPr>
            <w:r>
              <w:rPr>
                <w:rFonts w:ascii="Times New Roman" w:hAnsi="Times New Roman"/>
              </w:rPr>
              <w:t>MR@2m (%) ↓</w:t>
            </w:r>
          </w:p>
        </w:tc>
        <w:tc>
          <w:p w14:paraId="2C9C96CA">
            <w:pPr>
              <w:pStyle w:val="24"/>
            </w:pPr>
            <w:r>
              <w:rPr>
                <w:rFonts w:ascii="Times New Roman" w:hAnsi="Times New Roman"/>
              </w:rPr>
              <w:t>HE ↓</w:t>
            </w:r>
          </w:p>
        </w:tc>
      </w:tr>
      <w:tr w14:paraId="50AF87FD">
        <w:tc>
          <w:tcPr>
            <w:vMerge w:val="restart"/>
          </w:tcPr>
          <w:p w14:paraId="3594BDD4">
            <w:pPr>
              <w:pStyle w:val="24"/>
            </w:pPr>
            <w:r>
              <w:rPr>
                <w:rFonts w:ascii="Times New Roman" w:hAnsi="Times New Roman"/>
              </w:rPr>
              <w:t>GC-JN → YZ-NJ</w:t>
            </w:r>
          </w:p>
        </w:tc>
        <w:tc>
          <w:p w14:paraId="0668B4EE">
            <w:pPr>
              <w:pStyle w:val="24"/>
            </w:pPr>
            <w:r>
              <w:rPr>
                <w:rFonts w:ascii="Times New Roman" w:hAnsi="Times New Roman"/>
              </w:rPr>
              <w:t>Bi-LSTM (AIS only)</w:t>
            </w:r>
          </w:p>
        </w:tc>
        <w:tc>
          <w:p w14:paraId="66B71FA3">
            <w:pPr>
              <w:pStyle w:val="24"/>
            </w:pPr>
            <w:r>
              <w:rPr>
                <w:rFonts w:ascii="Times New Roman" w:hAnsi="Times New Roman"/>
              </w:rPr>
              <w:t>22.67</w:t>
            </w:r>
          </w:p>
        </w:tc>
        <w:tc>
          <w:p w14:paraId="133192B4">
            <w:pPr>
              <w:pStyle w:val="24"/>
            </w:pPr>
            <w:r>
              <w:rPr>
                <w:rFonts w:ascii="Times New Roman" w:hAnsi="Times New Roman"/>
              </w:rPr>
              <w:t>36.67</w:t>
            </w:r>
          </w:p>
        </w:tc>
        <w:tc>
          <w:p w14:paraId="0AD79CCE">
            <w:pPr>
              <w:pStyle w:val="24"/>
            </w:pPr>
            <w:r>
              <w:rPr>
                <w:rFonts w:ascii="Times New Roman" w:hAnsi="Times New Roman"/>
              </w:rPr>
              <w:t>99.8</w:t>
            </w:r>
          </w:p>
        </w:tc>
        <w:tc>
          <w:p w14:paraId="2AC461C1">
            <w:pPr>
              <w:pStyle w:val="24"/>
            </w:pPr>
            <w:r>
              <w:rPr>
                <w:rFonts w:ascii="Times New Roman" w:hAnsi="Times New Roman"/>
              </w:rPr>
              <w:t>78.71</w:t>
            </w:r>
          </w:p>
        </w:tc>
      </w:tr>
      <w:tr w14:paraId="7AD4230D">
        <w:tblPrEx>
          <w:tblCellMar>
            <w:top w:w="0" w:type="dxa"/>
            <w:left w:w="108" w:type="dxa"/>
            <w:bottom w:w="0" w:type="dxa"/>
            <w:right w:w="108" w:type="dxa"/>
          </w:tblCellMar>
        </w:tblPrEx>
        <w:tc>
          <w:tcPr>
            <w:vMerge w:val="continue"/>
          </w:tcPr>
          <w:p w14:paraId="0FDA98A2"/>
        </w:tc>
        <w:tc>
          <w:p w14:paraId="59F65AF0">
            <w:pPr>
              <w:pStyle w:val="24"/>
            </w:pPr>
            <w:r>
              <w:rPr>
                <w:rFonts w:ascii="Times New Roman" w:hAnsi="Times New Roman"/>
              </w:rPr>
              <w:t>Social-STGCNN</w:t>
            </w:r>
          </w:p>
        </w:tc>
        <w:tc>
          <w:p w14:paraId="32894AFF">
            <w:pPr>
              <w:pStyle w:val="24"/>
            </w:pPr>
            <w:r>
              <w:rPr>
                <w:rFonts w:ascii="Times New Roman" w:hAnsi="Times New Roman"/>
              </w:rPr>
              <w:t>22.80</w:t>
            </w:r>
          </w:p>
        </w:tc>
        <w:tc>
          <w:p w14:paraId="289E9255">
            <w:pPr>
              <w:pStyle w:val="24"/>
            </w:pPr>
            <w:r>
              <w:rPr>
                <w:rFonts w:ascii="Times New Roman" w:hAnsi="Times New Roman"/>
              </w:rPr>
              <w:t>36.26</w:t>
            </w:r>
          </w:p>
        </w:tc>
        <w:tc>
          <w:p w14:paraId="7480478B">
            <w:pPr>
              <w:pStyle w:val="24"/>
            </w:pPr>
            <w:r>
              <w:rPr>
                <w:rFonts w:ascii="Times New Roman" w:hAnsi="Times New Roman"/>
              </w:rPr>
              <w:t>99.8</w:t>
            </w:r>
          </w:p>
        </w:tc>
        <w:tc>
          <w:p w14:paraId="2D3A9A36">
            <w:pPr>
              <w:pStyle w:val="24"/>
            </w:pPr>
            <w:r>
              <w:rPr>
                <w:rFonts w:ascii="Times New Roman" w:hAnsi="Times New Roman"/>
              </w:rPr>
              <w:t>78.72</w:t>
            </w:r>
          </w:p>
        </w:tc>
      </w:tr>
      <w:tr w14:paraId="2E5AF118">
        <w:tblPrEx>
          <w:tblCellMar>
            <w:top w:w="0" w:type="dxa"/>
            <w:left w:w="108" w:type="dxa"/>
            <w:bottom w:w="0" w:type="dxa"/>
            <w:right w:w="108" w:type="dxa"/>
          </w:tblCellMar>
        </w:tblPrEx>
        <w:tc>
          <w:tcPr>
            <w:vMerge w:val="continue"/>
          </w:tcPr>
          <w:p w14:paraId="4881C12D"/>
        </w:tc>
        <w:tc>
          <w:p w14:paraId="1E3DA75E">
            <w:pPr>
              <w:pStyle w:val="24"/>
            </w:pPr>
            <w:r>
              <w:rPr>
                <w:rFonts w:ascii="Times New Roman" w:hAnsi="Times New Roman"/>
              </w:rPr>
              <w:t>ST-GAT-Fusion-Tiny</w:t>
            </w:r>
          </w:p>
        </w:tc>
        <w:tc>
          <w:p w14:paraId="76A5B123">
            <w:pPr>
              <w:pStyle w:val="24"/>
            </w:pPr>
            <w:r>
              <w:rPr>
                <w:rFonts w:ascii="Times New Roman" w:hAnsi="Times New Roman"/>
                <w:b/>
                <w:bCs/>
              </w:rPr>
              <w:t>21.92</w:t>
            </w:r>
          </w:p>
        </w:tc>
        <w:tc>
          <w:p w14:paraId="3DFD8D3A">
            <w:pPr>
              <w:pStyle w:val="24"/>
            </w:pPr>
            <w:r>
              <w:rPr>
                <w:rFonts w:ascii="Times New Roman" w:hAnsi="Times New Roman"/>
              </w:rPr>
              <w:t>34.99</w:t>
            </w:r>
          </w:p>
        </w:tc>
        <w:tc>
          <w:p w14:paraId="04DB8883">
            <w:pPr>
              <w:pStyle w:val="24"/>
            </w:pPr>
            <w:r>
              <w:rPr>
                <w:rFonts w:ascii="Times New Roman" w:hAnsi="Times New Roman"/>
              </w:rPr>
              <w:t>100.0</w:t>
            </w:r>
          </w:p>
        </w:tc>
        <w:tc>
          <w:p w14:paraId="4DC53477">
            <w:pPr>
              <w:pStyle w:val="24"/>
            </w:pPr>
            <w:r>
              <w:rPr>
                <w:rFonts w:ascii="Times New Roman" w:hAnsi="Times New Roman"/>
              </w:rPr>
              <w:t>78.78</w:t>
            </w:r>
          </w:p>
        </w:tc>
      </w:tr>
      <w:tr w14:paraId="2966875F">
        <w:tblPrEx>
          <w:tblCellMar>
            <w:top w:w="0" w:type="dxa"/>
            <w:left w:w="108" w:type="dxa"/>
            <w:bottom w:w="0" w:type="dxa"/>
            <w:right w:w="108" w:type="dxa"/>
          </w:tblCellMar>
        </w:tblPrEx>
        <w:tc>
          <w:tcPr>
            <w:vMerge w:val="restart"/>
          </w:tcPr>
          <w:p w14:paraId="609CEB2F">
            <w:pPr>
              <w:pStyle w:val="24"/>
            </w:pPr>
            <w:r>
              <w:rPr>
                <w:rFonts w:ascii="Times New Roman" w:hAnsi="Times New Roman"/>
              </w:rPr>
              <w:t>YZ-NJ → GC-JN</w:t>
            </w:r>
          </w:p>
        </w:tc>
        <w:tc>
          <w:p w14:paraId="430FCF7B">
            <w:pPr>
              <w:pStyle w:val="24"/>
            </w:pPr>
            <w:r>
              <w:rPr>
                <w:rFonts w:ascii="Times New Roman" w:hAnsi="Times New Roman"/>
              </w:rPr>
              <w:t>Bi-LSTM (AIS only)</w:t>
            </w:r>
          </w:p>
        </w:tc>
        <w:tc>
          <w:p w14:paraId="3D056854">
            <w:pPr>
              <w:pStyle w:val="24"/>
            </w:pPr>
            <w:r>
              <w:rPr>
                <w:rFonts w:ascii="Times New Roman" w:hAnsi="Times New Roman"/>
                <w:b/>
                <w:bCs/>
              </w:rPr>
              <w:t>16.82</w:t>
            </w:r>
          </w:p>
        </w:tc>
        <w:tc>
          <w:p w14:paraId="386E6CA4">
            <w:pPr>
              <w:pStyle w:val="24"/>
            </w:pPr>
            <w:r>
              <w:rPr>
                <w:rFonts w:ascii="Times New Roman" w:hAnsi="Times New Roman"/>
              </w:rPr>
              <w:t>27.33</w:t>
            </w:r>
          </w:p>
        </w:tc>
        <w:tc>
          <w:p w14:paraId="24D71712">
            <w:pPr>
              <w:pStyle w:val="24"/>
            </w:pPr>
            <w:r>
              <w:rPr>
                <w:rFonts w:ascii="Times New Roman" w:hAnsi="Times New Roman"/>
              </w:rPr>
              <w:t>99.1</w:t>
            </w:r>
          </w:p>
        </w:tc>
        <w:tc>
          <w:p w14:paraId="6A3E2940">
            <w:pPr>
              <w:pStyle w:val="24"/>
            </w:pPr>
            <w:r>
              <w:rPr>
                <w:rFonts w:ascii="Times New Roman" w:hAnsi="Times New Roman"/>
              </w:rPr>
              <w:t>57.33</w:t>
            </w:r>
          </w:p>
        </w:tc>
      </w:tr>
      <w:tr w14:paraId="64D2AC27">
        <w:tblPrEx>
          <w:tblCellMar>
            <w:top w:w="0" w:type="dxa"/>
            <w:left w:w="108" w:type="dxa"/>
            <w:bottom w:w="0" w:type="dxa"/>
            <w:right w:w="108" w:type="dxa"/>
          </w:tblCellMar>
        </w:tblPrEx>
        <w:tc>
          <w:tcPr>
            <w:vMerge w:val="continue"/>
          </w:tcPr>
          <w:p w14:paraId="31B76077"/>
        </w:tc>
        <w:tc>
          <w:p w14:paraId="5AA7A17E">
            <w:pPr>
              <w:pStyle w:val="24"/>
            </w:pPr>
            <w:r>
              <w:rPr>
                <w:rFonts w:ascii="Times New Roman" w:hAnsi="Times New Roman"/>
              </w:rPr>
              <w:t>Social-STGCNN</w:t>
            </w:r>
          </w:p>
        </w:tc>
        <w:tc>
          <w:p w14:paraId="531943B7">
            <w:pPr>
              <w:pStyle w:val="24"/>
            </w:pPr>
            <w:r>
              <w:rPr>
                <w:rFonts w:ascii="Times New Roman" w:hAnsi="Times New Roman"/>
              </w:rPr>
              <w:t>16.92</w:t>
            </w:r>
          </w:p>
        </w:tc>
        <w:tc>
          <w:p w14:paraId="1BE1AA8C">
            <w:pPr>
              <w:pStyle w:val="24"/>
            </w:pPr>
            <w:r>
              <w:rPr>
                <w:rFonts w:ascii="Times New Roman" w:hAnsi="Times New Roman"/>
              </w:rPr>
              <w:t>28.01</w:t>
            </w:r>
          </w:p>
        </w:tc>
        <w:tc>
          <w:p w14:paraId="41A91D3F">
            <w:pPr>
              <w:pStyle w:val="24"/>
            </w:pPr>
            <w:r>
              <w:rPr>
                <w:rFonts w:ascii="Times New Roman" w:hAnsi="Times New Roman"/>
              </w:rPr>
              <w:t>99.8</w:t>
            </w:r>
          </w:p>
        </w:tc>
        <w:tc>
          <w:p w14:paraId="492F4025">
            <w:pPr>
              <w:pStyle w:val="24"/>
            </w:pPr>
            <w:r>
              <w:rPr>
                <w:rFonts w:ascii="Times New Roman" w:hAnsi="Times New Roman"/>
              </w:rPr>
              <w:t>64.00</w:t>
            </w:r>
          </w:p>
        </w:tc>
      </w:tr>
      <w:tr w14:paraId="7FC6A0AD">
        <w:tblPrEx>
          <w:tblCellMar>
            <w:top w:w="0" w:type="dxa"/>
            <w:left w:w="108" w:type="dxa"/>
            <w:bottom w:w="0" w:type="dxa"/>
            <w:right w:w="108" w:type="dxa"/>
          </w:tblCellMar>
        </w:tblPrEx>
        <w:tc>
          <w:tcPr>
            <w:vMerge w:val="continue"/>
          </w:tcPr>
          <w:p w14:paraId="60A172AA"/>
        </w:tc>
        <w:tc>
          <w:p w14:paraId="6A969EAA">
            <w:pPr>
              <w:pStyle w:val="24"/>
            </w:pPr>
            <w:r>
              <w:rPr>
                <w:rFonts w:ascii="Times New Roman" w:hAnsi="Times New Roman"/>
              </w:rPr>
              <w:t>ST-GAT-Fusion-Tiny</w:t>
            </w:r>
          </w:p>
        </w:tc>
        <w:tc>
          <w:p w14:paraId="4EB1162A">
            <w:pPr>
              <w:pStyle w:val="24"/>
            </w:pPr>
            <w:r>
              <w:rPr>
                <w:rFonts w:ascii="Times New Roman" w:hAnsi="Times New Roman"/>
              </w:rPr>
              <w:t>18.21</w:t>
            </w:r>
          </w:p>
        </w:tc>
        <w:tc>
          <w:p w14:paraId="37BB0645">
            <w:pPr>
              <w:pStyle w:val="24"/>
            </w:pPr>
            <w:r>
              <w:rPr>
                <w:rFonts w:ascii="Times New Roman" w:hAnsi="Times New Roman"/>
              </w:rPr>
              <w:t>31.86</w:t>
            </w:r>
          </w:p>
        </w:tc>
        <w:tc>
          <w:p w14:paraId="093BF995">
            <w:pPr>
              <w:pStyle w:val="24"/>
            </w:pPr>
            <w:r>
              <w:rPr>
                <w:rFonts w:ascii="Times New Roman" w:hAnsi="Times New Roman"/>
              </w:rPr>
              <w:t>99.6</w:t>
            </w:r>
          </w:p>
        </w:tc>
        <w:tc>
          <w:p w14:paraId="2D77865C">
            <w:pPr>
              <w:pStyle w:val="24"/>
            </w:pPr>
            <w:r>
              <w:rPr>
                <w:rFonts w:ascii="Times New Roman" w:hAnsi="Times New Roman"/>
              </w:rPr>
              <w:t>62.68</w:t>
            </w:r>
          </w:p>
        </w:tc>
      </w:tr>
    </w:tbl>
    <w:p w14:paraId="4234A202">
      <w:pPr>
        <w:pStyle w:val="23"/>
        <w:jc w:val="both"/>
      </w:pPr>
      <w:r>
        <w:rPr>
          <w:rFonts w:ascii="Times New Roman" w:hAnsi="Times New Roman"/>
        </w:rPr>
        <w:t>Observed in this run. Transfer accuracy is dominated by the target channel rather than by the model. With GC-JN as the target all three models land within 0.9 m of each other (22.67 / 22.80 / 21.92), Tiny being slightly ahead; with YZ-NJ as the target the ordering reverses and Tiny is 1.39 m behind the AIS-only baseline (18.21 versus 16.82). The gap between the two directions (3.7 m for Tiny) is larger than any difference between models within a direction. The main text reports the same two directions and explicitly does not claim the cross-channel robustness the graph was designed to provide; what the transfer matrix adds here is the size of the asymmetry, which is larger than any between-model difference within a direction.</w:t>
      </w:r>
    </w:p>
    <w:bookmarkEnd w:id="7"/>
    <w:bookmarkEnd w:id="9"/>
    <w:p w14:paraId="04F0ED38">
      <w:pPr>
        <w:pStyle w:val="4"/>
      </w:pPr>
      <w:bookmarkStart w:id="10" w:name="Xdc3a5b606bd93ec437a51ccf94661ce14806424"/>
      <w:r>
        <w:rPr>
          <w:rFonts w:ascii="Times New Roman" w:hAnsi="Times New Roman"/>
        </w:rPr>
        <w:t>S4. Sensitivity to the spatial threshold d</w:t>
      </w:r>
      <w:r>
        <w:rPr>
          <w:rFonts w:ascii="Times New Roman" w:hAnsi="Times New Roman"/>
          <w:vertAlign w:val="subscript"/>
        </w:rPr>
        <w:t>c</w:t>
      </w:r>
      <w:r>
        <w:rPr>
          <w:rFonts w:ascii="Times New Roman" w:hAnsi="Times New Roman"/>
        </w:rPr>
        <w:t xml:space="preserve"> (Section 5.5)</w:t>
      </w:r>
    </w:p>
    <w:p w14:paraId="261C0040">
      <w:pPr>
        <w:pStyle w:val="5"/>
      </w:pPr>
      <w:bookmarkStart w:id="11" w:name="s4.1-protocol"/>
      <w:r>
        <w:rPr>
          <w:rFonts w:ascii="Times New Roman" w:hAnsi="Times New Roman"/>
        </w:rPr>
        <w:t>S4.1 Protocol</w:t>
      </w:r>
    </w:p>
    <w:p w14:paraId="42D0E98E">
      <w:pPr>
        <w:pStyle w:val="23"/>
        <w:jc w:val="both"/>
      </w:pPr>
      <w:r>
        <w:rPr>
          <w:rFonts w:ascii="Times New Roman" w:hAnsi="Times New Roman"/>
        </w:rPr>
        <w:t>The shipped configuration uses d</w:t>
      </w:r>
      <w:r>
        <w:rPr>
          <w:rFonts w:ascii="Times New Roman" w:hAnsi="Times New Roman"/>
          <w:vertAlign w:val="subscript"/>
        </w:rPr>
        <w:t>c</w:t>
      </w:r>
      <w:r>
        <w:rPr>
          <w:rFonts w:ascii="Times New Roman" w:hAnsi="Times New Roman"/>
        </w:rPr>
        <w:t xml:space="preserve"> = 150 m, and this is the value reported in the main text. Because the threshold is read by the graph module at forward time rather than baked into the checkpoints, it can be perturbed after training, so the sweep is run at inference on the frozen Tiny weights instead of re-training a model per value. This isolates the effect of graph connectivity from any re-fitting and makes the experiment a single pass over the test split. For each value we record the four headline metrics and two graph-level quantities that explain the two failure regimes discussed in the main text: the average spatial degree of the graph at inference (fragmented encounter groups reduce it; distant, irrelevant neighbours inflate it) and the wall-clock cost of one ST-Graph attention layer, measured after three warm-up iterations followed by fifteen timed iterations on a 16-scene batch (122 vessels, CPU), reporting the median. Each row is a single evaluation of the same checkpoint.</w:t>
      </w:r>
    </w:p>
    <w:bookmarkEnd w:id="11"/>
    <w:p w14:paraId="7E714FE1">
      <w:pPr>
        <w:pStyle w:val="5"/>
      </w:pPr>
      <w:bookmarkStart w:id="12" w:name="s4.2-results"/>
      <w:r>
        <w:rPr>
          <w:rFonts w:ascii="Times New Roman" w:hAnsi="Times New Roman"/>
        </w:rPr>
        <w:t>S4.2 Results</w:t>
      </w:r>
    </w:p>
    <w:p w14:paraId="1E04637B">
      <w:pPr>
        <w:pStyle w:val="23"/>
        <w:jc w:val="both"/>
      </w:pPr>
      <w:r>
        <w:rPr>
          <w:rFonts w:ascii="Times New Roman" w:hAnsi="Times New Roman"/>
          <w:b/>
          <w:bCs/>
        </w:rPr>
        <w:t>Table S4.</w:t>
      </w:r>
      <w:r>
        <w:rPr>
          <w:rFonts w:ascii="Times New Roman" w:hAnsi="Times New Roman"/>
        </w:rPr>
        <w:t xml:space="preserve"> Sensitivity to the spatial threshold d</w:t>
      </w:r>
      <w:r>
        <w:rPr>
          <w:rFonts w:ascii="Times New Roman" w:hAnsi="Times New Roman"/>
          <w:vertAlign w:val="subscript"/>
        </w:rPr>
        <w:t>c</w:t>
      </w:r>
      <w:r>
        <w:rPr>
          <w:rFonts w:ascii="Times New Roman" w:hAnsi="Times New Roman"/>
        </w:rPr>
        <w:t>, obtained by perturbing the threshold at inference time on the frozen Tiny weights (no re-training), so that the effect of graph connectivity is isolated from re-fitting. The attention cost is the median forward time of one ST-Graph layer on a 16-scene batch (122 vessels, CPU). The 150 m row is the threshold the shipped configuration was trained with; that trained row is marked in bold, and the best ADE is underlined.</w:t>
      </w:r>
    </w:p>
    <w:tbl>
      <w:tblPr>
        <w:tblStyle w:val="41"/>
        <w:tblW w:w="0" w:type="auto"/>
        <w:tblCaption w:val="Table S4. Sensitivity to the spatial threshold dc, obtained by perturbing the threshold at inference time on the frozen Tiny weights (no re-training), so that the effect of graph connectivity is isolated from re-fitting. The attention cost is the median forward time of one ST-Graph layer on a 16-scene batch (122 vessels, CPU). The 150 m row is the threshold the shipped configuration was trained with; that trained row is marked in bold, and the best ADE is underlined."/>
        <w:tblInd w:w="0" w:type="dxa"/>
        <w:tblLayout w:type="autofit"/>
        <w:tblCellMar>
          <w:top w:w="0" w:type="dxa"/>
          <w:left w:w="108" w:type="dxa"/>
          <w:bottom w:w="0" w:type="dxa"/>
          <w:right w:w="108" w:type="dxa"/>
        </w:tblCellMar>
      </w:tblPr>
      <w:tblGrid>
        <w:gridCol w:w="1344"/>
        <w:gridCol w:w="1498"/>
        <w:gridCol w:w="1678"/>
        <w:gridCol w:w="1040"/>
        <w:gridCol w:w="1019"/>
        <w:gridCol w:w="1433"/>
        <w:gridCol w:w="844"/>
      </w:tblGrid>
      <w:tr w14:paraId="70AB9E0A">
        <w:tblPrEx>
          <w:tblCellMar>
            <w:top w:w="0" w:type="dxa"/>
            <w:left w:w="108" w:type="dxa"/>
            <w:bottom w:w="0" w:type="dxa"/>
            <w:right w:w="108" w:type="dxa"/>
          </w:tblCellMar>
        </w:tblPrEx>
        <w:trPr>
          <w:tblHeader/>
        </w:trPr>
        <w:tc>
          <w:p w14:paraId="4E67FB32">
            <w:pPr>
              <w:pStyle w:val="24"/>
            </w:pPr>
            <w:r>
              <w:rPr>
                <w:rFonts w:ascii="Times New Roman" w:hAnsi="Times New Roman"/>
              </w:rPr>
              <w:t>d</w:t>
            </w:r>
            <w:r>
              <w:rPr>
                <w:rFonts w:ascii="Times New Roman" w:hAnsi="Times New Roman"/>
                <w:vertAlign w:val="subscript"/>
              </w:rPr>
              <w:t>c</w:t>
            </w:r>
            <w:r>
              <w:rPr>
                <w:rFonts w:ascii="Times New Roman" w:hAnsi="Times New Roman"/>
              </w:rPr>
              <w:t xml:space="preserve"> (m)</w:t>
            </w:r>
          </w:p>
        </w:tc>
        <w:tc>
          <w:p w14:paraId="7A319C5A">
            <w:pPr>
              <w:pStyle w:val="24"/>
            </w:pPr>
            <w:r>
              <w:rPr>
                <w:rFonts w:ascii="Times New Roman" w:hAnsi="Times New Roman"/>
              </w:rPr>
              <w:t>Avg. spatial degree</w:t>
            </w:r>
          </w:p>
        </w:tc>
        <w:tc>
          <w:p w14:paraId="159D0AF6">
            <w:pPr>
              <w:pStyle w:val="24"/>
            </w:pPr>
            <w:r>
              <w:rPr>
                <w:rFonts w:ascii="Times New Roman" w:hAnsi="Times New Roman"/>
              </w:rPr>
              <w:t>Attn. cost per layer (ms)</w:t>
            </w:r>
          </w:p>
        </w:tc>
        <w:tc>
          <w:p w14:paraId="11AAC46B">
            <w:pPr>
              <w:pStyle w:val="24"/>
            </w:pPr>
            <w:r>
              <w:rPr>
                <w:rFonts w:ascii="Times New Roman" w:hAnsi="Times New Roman"/>
              </w:rPr>
              <w:t>ADE (m) ↓</w:t>
            </w:r>
          </w:p>
        </w:tc>
        <w:tc>
          <w:p w14:paraId="25BA472F">
            <w:pPr>
              <w:pStyle w:val="24"/>
            </w:pPr>
            <w:r>
              <w:rPr>
                <w:rFonts w:ascii="Times New Roman" w:hAnsi="Times New Roman"/>
              </w:rPr>
              <w:t>FDE (m) ↓</w:t>
            </w:r>
          </w:p>
        </w:tc>
        <w:tc>
          <w:p w14:paraId="02F78BEC">
            <w:pPr>
              <w:pStyle w:val="24"/>
            </w:pPr>
            <w:r>
              <w:rPr>
                <w:rFonts w:ascii="Times New Roman" w:hAnsi="Times New Roman"/>
              </w:rPr>
              <w:t>MR@2m (%) ↓</w:t>
            </w:r>
          </w:p>
        </w:tc>
        <w:tc>
          <w:p w14:paraId="5F863C82">
            <w:pPr>
              <w:pStyle w:val="24"/>
            </w:pPr>
            <w:r>
              <w:rPr>
                <w:rFonts w:ascii="Times New Roman" w:hAnsi="Times New Roman"/>
              </w:rPr>
              <w:t>HE (°) ↓</w:t>
            </w:r>
          </w:p>
        </w:tc>
      </w:tr>
      <w:tr w14:paraId="7EEF3D0B">
        <w:tc>
          <w:p w14:paraId="3F55DA7E">
            <w:pPr>
              <w:pStyle w:val="24"/>
            </w:pPr>
            <w:r>
              <w:rPr>
                <w:rFonts w:ascii="Times New Roman" w:hAnsi="Times New Roman"/>
                <w:b/>
                <w:bCs/>
              </w:rPr>
              <w:t>150 (trained)</w:t>
            </w:r>
          </w:p>
        </w:tc>
        <w:tc>
          <w:p w14:paraId="5C50C435">
            <w:pPr>
              <w:pStyle w:val="24"/>
            </w:pPr>
            <w:r>
              <w:rPr>
                <w:rFonts w:ascii="Times New Roman" w:hAnsi="Times New Roman"/>
              </w:rPr>
              <w:t>1.11</w:t>
            </w:r>
          </w:p>
        </w:tc>
        <w:tc>
          <w:p w14:paraId="5B63A7D8">
            <w:pPr>
              <w:pStyle w:val="24"/>
            </w:pPr>
            <w:r>
              <w:rPr>
                <w:rFonts w:ascii="Times New Roman" w:hAnsi="Times New Roman"/>
              </w:rPr>
              <w:t>31.8</w:t>
            </w:r>
          </w:p>
        </w:tc>
        <w:tc>
          <w:p w14:paraId="7243D49B">
            <w:pPr>
              <w:pStyle w:val="24"/>
            </w:pPr>
            <w:r>
              <w:rPr>
                <w:rFonts w:ascii="Times New Roman" w:hAnsi="Times New Roman"/>
                <w:b/>
                <w:bCs/>
              </w:rPr>
              <w:t>18.47</w:t>
            </w:r>
          </w:p>
        </w:tc>
        <w:tc>
          <w:p w14:paraId="67107241">
            <w:pPr>
              <w:pStyle w:val="24"/>
            </w:pPr>
            <w:r>
              <w:rPr>
                <w:rFonts w:ascii="Times New Roman" w:hAnsi="Times New Roman"/>
              </w:rPr>
              <w:t>30.43</w:t>
            </w:r>
          </w:p>
        </w:tc>
        <w:tc>
          <w:p w14:paraId="48D63492">
            <w:pPr>
              <w:pStyle w:val="24"/>
            </w:pPr>
            <w:r>
              <w:rPr>
                <w:rFonts w:ascii="Times New Roman" w:hAnsi="Times New Roman"/>
              </w:rPr>
              <w:t>99.0</w:t>
            </w:r>
          </w:p>
        </w:tc>
        <w:tc>
          <w:p w14:paraId="09BCA460">
            <w:pPr>
              <w:pStyle w:val="24"/>
            </w:pPr>
            <w:r>
              <w:rPr>
                <w:rFonts w:ascii="Times New Roman" w:hAnsi="Times New Roman"/>
              </w:rPr>
              <w:t>68.6</w:t>
            </w:r>
          </w:p>
        </w:tc>
      </w:tr>
      <w:tr w14:paraId="777FBFFA">
        <w:tblPrEx>
          <w:tblCellMar>
            <w:top w:w="0" w:type="dxa"/>
            <w:left w:w="108" w:type="dxa"/>
            <w:bottom w:w="0" w:type="dxa"/>
            <w:right w:w="108" w:type="dxa"/>
          </w:tblCellMar>
        </w:tblPrEx>
        <w:tc>
          <w:p w14:paraId="31C66139">
            <w:pPr>
              <w:pStyle w:val="24"/>
            </w:pPr>
            <w:r>
              <w:rPr>
                <w:rFonts w:ascii="Times New Roman" w:hAnsi="Times New Roman"/>
              </w:rPr>
              <w:t>200</w:t>
            </w:r>
          </w:p>
        </w:tc>
        <w:tc>
          <w:p w14:paraId="4595CFC5">
            <w:pPr>
              <w:pStyle w:val="24"/>
            </w:pPr>
            <w:r>
              <w:rPr>
                <w:rFonts w:ascii="Times New Roman" w:hAnsi="Times New Roman"/>
              </w:rPr>
              <w:t>1.44</w:t>
            </w:r>
          </w:p>
        </w:tc>
        <w:tc>
          <w:p w14:paraId="0F47B243">
            <w:pPr>
              <w:pStyle w:val="24"/>
            </w:pPr>
            <w:r>
              <w:rPr>
                <w:rFonts w:ascii="Times New Roman" w:hAnsi="Times New Roman"/>
              </w:rPr>
              <w:t>31.1</w:t>
            </w:r>
          </w:p>
        </w:tc>
        <w:tc>
          <w:p w14:paraId="5DFE9258">
            <w:pPr>
              <w:pStyle w:val="24"/>
            </w:pPr>
            <w:r>
              <w:rPr>
                <w:rFonts w:ascii="Times New Roman" w:hAnsi="Times New Roman"/>
              </w:rPr>
              <w:t>18.49</w:t>
            </w:r>
          </w:p>
        </w:tc>
        <w:tc>
          <w:p w14:paraId="70D50EB0">
            <w:pPr>
              <w:pStyle w:val="24"/>
            </w:pPr>
            <w:r>
              <w:rPr>
                <w:rFonts w:ascii="Times New Roman" w:hAnsi="Times New Roman"/>
              </w:rPr>
              <w:t>30.48</w:t>
            </w:r>
          </w:p>
        </w:tc>
        <w:tc>
          <w:p w14:paraId="1C0B632A">
            <w:pPr>
              <w:pStyle w:val="24"/>
            </w:pPr>
            <w:r>
              <w:rPr>
                <w:rFonts w:ascii="Times New Roman" w:hAnsi="Times New Roman"/>
              </w:rPr>
              <w:t>99.5</w:t>
            </w:r>
          </w:p>
        </w:tc>
        <w:tc>
          <w:p w14:paraId="06A04E70">
            <w:pPr>
              <w:pStyle w:val="24"/>
            </w:pPr>
            <w:r>
              <w:rPr>
                <w:rFonts w:ascii="Times New Roman" w:hAnsi="Times New Roman"/>
              </w:rPr>
              <w:t>68.6</w:t>
            </w:r>
          </w:p>
        </w:tc>
      </w:tr>
      <w:tr w14:paraId="0BE524BE">
        <w:tblPrEx>
          <w:tblCellMar>
            <w:top w:w="0" w:type="dxa"/>
            <w:left w:w="108" w:type="dxa"/>
            <w:bottom w:w="0" w:type="dxa"/>
            <w:right w:w="108" w:type="dxa"/>
          </w:tblCellMar>
        </w:tblPrEx>
        <w:tc>
          <w:p w14:paraId="46C808A5">
            <w:pPr>
              <w:pStyle w:val="24"/>
            </w:pPr>
            <w:r>
              <w:rPr>
                <w:rFonts w:ascii="Times New Roman" w:hAnsi="Times New Roman"/>
              </w:rPr>
              <w:t>300</w:t>
            </w:r>
          </w:p>
        </w:tc>
        <w:tc>
          <w:p w14:paraId="7CF3FA19">
            <w:pPr>
              <w:pStyle w:val="24"/>
            </w:pPr>
            <w:r>
              <w:rPr>
                <w:rFonts w:ascii="Times New Roman" w:hAnsi="Times New Roman"/>
              </w:rPr>
              <w:t>2.07</w:t>
            </w:r>
          </w:p>
        </w:tc>
        <w:tc>
          <w:p w14:paraId="50BBB5C0">
            <w:pPr>
              <w:pStyle w:val="24"/>
            </w:pPr>
            <w:r>
              <w:rPr>
                <w:rFonts w:ascii="Times New Roman" w:hAnsi="Times New Roman"/>
              </w:rPr>
              <w:t>32.5</w:t>
            </w:r>
          </w:p>
        </w:tc>
        <w:tc>
          <w:p w14:paraId="791C2CB3">
            <w:pPr>
              <w:pStyle w:val="24"/>
            </w:pPr>
            <w:r>
              <w:rPr>
                <w:rFonts w:ascii="Times New Roman" w:hAnsi="Times New Roman"/>
              </w:rPr>
              <w:t>18.49</w:t>
            </w:r>
          </w:p>
        </w:tc>
        <w:tc>
          <w:p w14:paraId="32FF5DA1">
            <w:pPr>
              <w:pStyle w:val="24"/>
            </w:pPr>
            <w:r>
              <w:rPr>
                <w:rFonts w:ascii="Times New Roman" w:hAnsi="Times New Roman"/>
              </w:rPr>
              <w:t>30.50</w:t>
            </w:r>
          </w:p>
        </w:tc>
        <w:tc>
          <w:p w14:paraId="369727A4">
            <w:pPr>
              <w:pStyle w:val="24"/>
            </w:pPr>
            <w:r>
              <w:rPr>
                <w:rFonts w:ascii="Times New Roman" w:hAnsi="Times New Roman"/>
              </w:rPr>
              <w:t>99.5</w:t>
            </w:r>
          </w:p>
        </w:tc>
        <w:tc>
          <w:p w14:paraId="5ED4C29B">
            <w:pPr>
              <w:pStyle w:val="24"/>
            </w:pPr>
            <w:r>
              <w:rPr>
                <w:rFonts w:ascii="Times New Roman" w:hAnsi="Times New Roman"/>
              </w:rPr>
              <w:t>68.6</w:t>
            </w:r>
          </w:p>
        </w:tc>
      </w:tr>
      <w:tr w14:paraId="7BB78B7D">
        <w:tblPrEx>
          <w:tblCellMar>
            <w:top w:w="0" w:type="dxa"/>
            <w:left w:w="108" w:type="dxa"/>
            <w:bottom w:w="0" w:type="dxa"/>
            <w:right w:w="108" w:type="dxa"/>
          </w:tblCellMar>
        </w:tblPrEx>
        <w:tc>
          <w:p w14:paraId="1B8F8E69">
            <w:pPr>
              <w:pStyle w:val="24"/>
            </w:pPr>
            <w:r>
              <w:rPr>
                <w:rFonts w:ascii="Times New Roman" w:hAnsi="Times New Roman"/>
              </w:rPr>
              <w:t>400</w:t>
            </w:r>
          </w:p>
        </w:tc>
        <w:tc>
          <w:p w14:paraId="35249A72">
            <w:pPr>
              <w:pStyle w:val="24"/>
            </w:pPr>
            <w:r>
              <w:rPr>
                <w:rFonts w:ascii="Times New Roman" w:hAnsi="Times New Roman"/>
              </w:rPr>
              <w:t>2.65</w:t>
            </w:r>
          </w:p>
        </w:tc>
        <w:tc>
          <w:p w14:paraId="0C999932">
            <w:pPr>
              <w:pStyle w:val="24"/>
            </w:pPr>
            <w:r>
              <w:rPr>
                <w:rFonts w:ascii="Times New Roman" w:hAnsi="Times New Roman"/>
              </w:rPr>
              <w:t>33.5</w:t>
            </w:r>
          </w:p>
        </w:tc>
        <w:tc>
          <w:p w14:paraId="179108B1">
            <w:pPr>
              <w:pStyle w:val="24"/>
            </w:pPr>
            <w:r>
              <w:rPr>
                <w:rFonts w:ascii="Times New Roman" w:hAnsi="Times New Roman"/>
              </w:rPr>
              <w:t>18.54</w:t>
            </w:r>
          </w:p>
        </w:tc>
        <w:tc>
          <w:p w14:paraId="58195C4B">
            <w:pPr>
              <w:pStyle w:val="24"/>
            </w:pPr>
            <w:r>
              <w:rPr>
                <w:rFonts w:ascii="Times New Roman" w:hAnsi="Times New Roman"/>
              </w:rPr>
              <w:t>30.64</w:t>
            </w:r>
          </w:p>
        </w:tc>
        <w:tc>
          <w:p w14:paraId="3F4652E0">
            <w:pPr>
              <w:pStyle w:val="24"/>
            </w:pPr>
            <w:r>
              <w:rPr>
                <w:rFonts w:ascii="Times New Roman" w:hAnsi="Times New Roman"/>
              </w:rPr>
              <w:t>100.0</w:t>
            </w:r>
          </w:p>
        </w:tc>
        <w:tc>
          <w:p w14:paraId="1AF11B82">
            <w:pPr>
              <w:pStyle w:val="24"/>
            </w:pPr>
            <w:r>
              <w:rPr>
                <w:rFonts w:ascii="Times New Roman" w:hAnsi="Times New Roman"/>
              </w:rPr>
              <w:t>68.8</w:t>
            </w:r>
          </w:p>
        </w:tc>
      </w:tr>
      <w:tr w14:paraId="37E5AAFD">
        <w:tblPrEx>
          <w:tblCellMar>
            <w:top w:w="0" w:type="dxa"/>
            <w:left w:w="108" w:type="dxa"/>
            <w:bottom w:w="0" w:type="dxa"/>
            <w:right w:w="108" w:type="dxa"/>
          </w:tblCellMar>
        </w:tblPrEx>
        <w:tc>
          <w:p w14:paraId="568A133C">
            <w:pPr>
              <w:pStyle w:val="24"/>
            </w:pPr>
            <w:r>
              <w:rPr>
                <w:rFonts w:ascii="Times New Roman" w:hAnsi="Times New Roman"/>
              </w:rPr>
              <w:t>500</w:t>
            </w:r>
          </w:p>
        </w:tc>
        <w:tc>
          <w:p w14:paraId="4F03A245">
            <w:pPr>
              <w:pStyle w:val="24"/>
            </w:pPr>
            <w:r>
              <w:rPr>
                <w:rFonts w:ascii="Times New Roman" w:hAnsi="Times New Roman"/>
              </w:rPr>
              <w:t>3.14</w:t>
            </w:r>
          </w:p>
        </w:tc>
        <w:tc>
          <w:p w14:paraId="2FF051F3">
            <w:pPr>
              <w:pStyle w:val="24"/>
            </w:pPr>
            <w:r>
              <w:rPr>
                <w:rFonts w:ascii="Times New Roman" w:hAnsi="Times New Roman"/>
              </w:rPr>
              <w:t>33.6</w:t>
            </w:r>
          </w:p>
        </w:tc>
        <w:tc>
          <w:p w14:paraId="7877B44C">
            <w:pPr>
              <w:pStyle w:val="24"/>
            </w:pPr>
            <w:r>
              <w:rPr>
                <w:rFonts w:ascii="Times New Roman" w:hAnsi="Times New Roman"/>
              </w:rPr>
              <w:t>18.56</w:t>
            </w:r>
          </w:p>
        </w:tc>
        <w:tc>
          <w:p w14:paraId="63150BCD">
            <w:pPr>
              <w:pStyle w:val="24"/>
            </w:pPr>
            <w:r>
              <w:rPr>
                <w:rFonts w:ascii="Times New Roman" w:hAnsi="Times New Roman"/>
              </w:rPr>
              <w:t>30.68</w:t>
            </w:r>
          </w:p>
        </w:tc>
        <w:tc>
          <w:p w14:paraId="5DAEFC44">
            <w:pPr>
              <w:pStyle w:val="24"/>
            </w:pPr>
            <w:r>
              <w:rPr>
                <w:rFonts w:ascii="Times New Roman" w:hAnsi="Times New Roman"/>
              </w:rPr>
              <w:t>100.0</w:t>
            </w:r>
          </w:p>
        </w:tc>
        <w:tc>
          <w:p w14:paraId="50CD99BF">
            <w:pPr>
              <w:pStyle w:val="24"/>
            </w:pPr>
            <w:r>
              <w:rPr>
                <w:rFonts w:ascii="Times New Roman" w:hAnsi="Times New Roman"/>
              </w:rPr>
              <w:t>68.8</w:t>
            </w:r>
          </w:p>
        </w:tc>
      </w:tr>
      <w:tr w14:paraId="31AFB2A7">
        <w:tblPrEx>
          <w:tblCellMar>
            <w:top w:w="0" w:type="dxa"/>
            <w:left w:w="108" w:type="dxa"/>
            <w:bottom w:w="0" w:type="dxa"/>
            <w:right w:w="108" w:type="dxa"/>
          </w:tblCellMar>
        </w:tblPrEx>
        <w:tc>
          <w:p w14:paraId="32F20E1C">
            <w:pPr>
              <w:pStyle w:val="24"/>
            </w:pPr>
            <w:r>
              <w:rPr>
                <w:rFonts w:ascii="Times New Roman" w:hAnsi="Times New Roman"/>
              </w:rPr>
              <w:t>600</w:t>
            </w:r>
          </w:p>
        </w:tc>
        <w:tc>
          <w:p w14:paraId="09561B92">
            <w:pPr>
              <w:pStyle w:val="24"/>
            </w:pPr>
            <w:r>
              <w:rPr>
                <w:rFonts w:ascii="Times New Roman" w:hAnsi="Times New Roman"/>
              </w:rPr>
              <w:t>3.48</w:t>
            </w:r>
          </w:p>
        </w:tc>
        <w:tc>
          <w:p w14:paraId="790CC734">
            <w:pPr>
              <w:pStyle w:val="24"/>
            </w:pPr>
            <w:r>
              <w:rPr>
                <w:rFonts w:ascii="Times New Roman" w:hAnsi="Times New Roman"/>
              </w:rPr>
              <w:t>32.2</w:t>
            </w:r>
          </w:p>
        </w:tc>
        <w:tc>
          <w:p w14:paraId="3CAFEB03">
            <w:pPr>
              <w:pStyle w:val="24"/>
            </w:pPr>
            <w:r>
              <w:rPr>
                <w:rFonts w:ascii="Times New Roman" w:hAnsi="Times New Roman"/>
              </w:rPr>
              <w:t>18.61</w:t>
            </w:r>
          </w:p>
        </w:tc>
        <w:tc>
          <w:p w14:paraId="3768293B">
            <w:pPr>
              <w:pStyle w:val="24"/>
            </w:pPr>
            <w:r>
              <w:rPr>
                <w:rFonts w:ascii="Times New Roman" w:hAnsi="Times New Roman"/>
              </w:rPr>
              <w:t>30.77</w:t>
            </w:r>
          </w:p>
        </w:tc>
        <w:tc>
          <w:p w14:paraId="43EAF40B">
            <w:pPr>
              <w:pStyle w:val="24"/>
            </w:pPr>
            <w:r>
              <w:rPr>
                <w:rFonts w:ascii="Times New Roman" w:hAnsi="Times New Roman"/>
              </w:rPr>
              <w:t>100.0</w:t>
            </w:r>
          </w:p>
        </w:tc>
        <w:tc>
          <w:p w14:paraId="4FCEFA51">
            <w:pPr>
              <w:pStyle w:val="24"/>
            </w:pPr>
            <w:r>
              <w:rPr>
                <w:rFonts w:ascii="Times New Roman" w:hAnsi="Times New Roman"/>
              </w:rPr>
              <w:t>68.8</w:t>
            </w:r>
          </w:p>
        </w:tc>
      </w:tr>
      <w:tr w14:paraId="136548D0">
        <w:tblPrEx>
          <w:tblCellMar>
            <w:top w:w="0" w:type="dxa"/>
            <w:left w:w="108" w:type="dxa"/>
            <w:bottom w:w="0" w:type="dxa"/>
            <w:right w:w="108" w:type="dxa"/>
          </w:tblCellMar>
        </w:tblPrEx>
        <w:tc>
          <w:p w14:paraId="26F59D4E">
            <w:pPr>
              <w:pStyle w:val="24"/>
            </w:pPr>
            <w:r>
              <w:rPr>
                <w:rFonts w:ascii="Times New Roman" w:hAnsi="Times New Roman"/>
              </w:rPr>
              <w:t>800</w:t>
            </w:r>
          </w:p>
        </w:tc>
        <w:tc>
          <w:p w14:paraId="420CD75F">
            <w:pPr>
              <w:pStyle w:val="24"/>
            </w:pPr>
            <w:r>
              <w:rPr>
                <w:rFonts w:ascii="Times New Roman" w:hAnsi="Times New Roman"/>
              </w:rPr>
              <w:t>3.93</w:t>
            </w:r>
          </w:p>
        </w:tc>
        <w:tc>
          <w:p w14:paraId="59DC9F96">
            <w:pPr>
              <w:pStyle w:val="24"/>
            </w:pPr>
            <w:r>
              <w:rPr>
                <w:rFonts w:ascii="Times New Roman" w:hAnsi="Times New Roman"/>
              </w:rPr>
              <w:t>31.6</w:t>
            </w:r>
          </w:p>
        </w:tc>
        <w:tc>
          <w:p w14:paraId="79F3CB7E">
            <w:pPr>
              <w:pStyle w:val="24"/>
            </w:pPr>
            <w:r>
              <w:rPr>
                <w:rFonts w:ascii="Times New Roman" w:hAnsi="Times New Roman"/>
              </w:rPr>
              <w:t>18.56</w:t>
            </w:r>
          </w:p>
        </w:tc>
        <w:tc>
          <w:p w14:paraId="498D0D18">
            <w:pPr>
              <w:pStyle w:val="24"/>
            </w:pPr>
            <w:r>
              <w:rPr>
                <w:rFonts w:ascii="Times New Roman" w:hAnsi="Times New Roman"/>
              </w:rPr>
              <w:t>30.67</w:t>
            </w:r>
          </w:p>
        </w:tc>
        <w:tc>
          <w:p w14:paraId="6E3E86CD">
            <w:pPr>
              <w:pStyle w:val="24"/>
            </w:pPr>
            <w:r>
              <w:rPr>
                <w:rFonts w:ascii="Times New Roman" w:hAnsi="Times New Roman"/>
              </w:rPr>
              <w:t>100.0</w:t>
            </w:r>
          </w:p>
        </w:tc>
        <w:tc>
          <w:p w14:paraId="59CDA0C3">
            <w:pPr>
              <w:pStyle w:val="24"/>
            </w:pPr>
            <w:r>
              <w:rPr>
                <w:rFonts w:ascii="Times New Roman" w:hAnsi="Times New Roman"/>
              </w:rPr>
              <w:t>68.7</w:t>
            </w:r>
          </w:p>
        </w:tc>
      </w:tr>
    </w:tbl>
    <w:p w14:paraId="730F9986">
      <w:pPr>
        <w:pStyle w:val="23"/>
        <w:jc w:val="both"/>
      </w:pPr>
      <w:r>
        <w:rPr>
          <w:rFonts w:ascii="Times New Roman" w:hAnsi="Times New Roman"/>
        </w:rPr>
        <w:t>Observed in this run. Across 150–800 m the average spatial degree rises from 1.11 to 3.93, yet ADE moves by only 0.14 m (18.47 m at 150 m, 18.61 m at 600 m) and the per-layer cost stays inside 31.1–33.6 ms with no monotone trend. Error is therefore flat in d</w:t>
      </w:r>
      <w:r>
        <w:rPr>
          <w:rFonts w:ascii="Times New Roman" w:hAnsi="Times New Roman"/>
          <w:vertAlign w:val="subscript"/>
        </w:rPr>
        <w:t>c</w:t>
      </w:r>
      <w:r>
        <w:rPr>
          <w:rFonts w:ascii="Times New Roman" w:hAnsi="Times New Roman"/>
        </w:rPr>
        <w:t xml:space="preserve"> over the entire range, and neither failure regime described in the main text (fragmentation below roughly 300 m, interaction noise beyond roughly 800 m) is visible on this data. Because the sweep is run at inference only, it also cannot rule out that re-training at each threshold would change the picture; a re-training sweep remains open work.</w:t>
      </w:r>
    </w:p>
    <w:bookmarkEnd w:id="10"/>
    <w:bookmarkEnd w:id="12"/>
    <w:p w14:paraId="67D29ACF">
      <w:pPr>
        <w:pStyle w:val="4"/>
      </w:pPr>
      <w:bookmarkStart w:id="13" w:name="X7f57821bfde14abf17ff30c2b15bd8688b71b6e"/>
      <w:r>
        <w:rPr>
          <w:rFonts w:ascii="Times New Roman" w:hAnsi="Times New Roman"/>
        </w:rPr>
        <w:t>S5. Observation-noise control (Section 3.2)</w:t>
      </w:r>
    </w:p>
    <w:p w14:paraId="2BC2D45E">
      <w:pPr>
        <w:pStyle w:val="23"/>
        <w:jc w:val="both"/>
      </w:pPr>
      <w:r>
        <w:rPr>
          <w:rFonts w:ascii="Times New Roman" w:hAnsi="Times New Roman"/>
        </w:rPr>
        <w:t>To test whether the near-tie among the four released configurations of Table 2 of the main text is imposed by AIS observation noise, a second testbed was generated in which every scene keeps bit-identical vessel poses, occlusion schedule, radar and vision channels and train/validation/test membership, while the AIS observation noise (AR(1), σ = 4 m per axis, plus a 2 % outlier rate) is switched off. The two arms are therefore a strict single-variable comparison on the input channel. Each arm is trained from scratch under the same 300-update budget with two seeds (1 and 2). The last row feeds the noise-free channel to the checkpoints trained on noisy data, isolating the input effect at fixed weights.</w:t>
      </w:r>
    </w:p>
    <w:p w14:paraId="5218019B">
      <w:pPr>
        <w:pStyle w:val="44"/>
      </w:pPr>
      <w:r>
        <w:rPr>
          <w:rFonts w:ascii="Times New Roman" w:hAnsi="Times New Roman"/>
          <w:b/>
          <w:bCs/>
        </w:rPr>
        <w:t>Table S5.</w:t>
      </w:r>
      <w:r>
        <w:rPr>
          <w:rFonts w:ascii="Times New Roman" w:hAnsi="Times New Roman"/>
        </w:rPr>
        <w:t xml:space="preserve"> Observation-noise control. Test ADE (m), mean ± s.d. over two seeds. The two arms share identical poses and split; only the AIS input features differ.</w:t>
      </w:r>
    </w:p>
    <w:tbl>
      <w:tblPr>
        <w:tblStyle w:val="41"/>
        <w:tblW w:w="0" w:type="auto"/>
        <w:tblCaption w:val="Table S5. Observation-noise control. Test ADE (m), mean ± s.d. over two seeds. The two arms share identical poses and split; only the AIS input features differ."/>
        <w:tblInd w:w="0" w:type="dxa"/>
        <w:tblLayout w:type="autofit"/>
        <w:tblCellMar>
          <w:top w:w="0" w:type="dxa"/>
          <w:left w:w="108" w:type="dxa"/>
          <w:bottom w:w="0" w:type="dxa"/>
          <w:right w:w="108" w:type="dxa"/>
        </w:tblCellMar>
      </w:tblPr>
      <w:tblGrid>
        <w:gridCol w:w="3143"/>
        <w:gridCol w:w="2036"/>
        <w:gridCol w:w="1953"/>
        <w:gridCol w:w="1724"/>
      </w:tblGrid>
      <w:tr w14:paraId="49F83AC7">
        <w:tblPrEx>
          <w:tblCellMar>
            <w:top w:w="0" w:type="dxa"/>
            <w:left w:w="108" w:type="dxa"/>
            <w:bottom w:w="0" w:type="dxa"/>
            <w:right w:w="108" w:type="dxa"/>
          </w:tblCellMar>
        </w:tblPrEx>
        <w:trPr>
          <w:tblHeader/>
        </w:trPr>
        <w:tc>
          <w:p w14:paraId="4FE9B81C">
            <w:pPr>
              <w:pStyle w:val="24"/>
            </w:pPr>
            <w:r>
              <w:rPr>
                <w:rFonts w:ascii="Times New Roman" w:hAnsi="Times New Roman"/>
              </w:rPr>
              <w:t>AIS observation noise</w:t>
            </w:r>
          </w:p>
        </w:tc>
        <w:tc>
          <w:p w14:paraId="59D4A05E">
            <w:pPr>
              <w:pStyle w:val="24"/>
            </w:pPr>
            <w:r>
              <w:rPr>
                <w:rFonts w:ascii="Times New Roman" w:hAnsi="Times New Roman"/>
              </w:rPr>
              <w:t>ST-GAT-Fusion-Tiny</w:t>
            </w:r>
          </w:p>
        </w:tc>
        <w:tc>
          <w:p w14:paraId="3F92559B">
            <w:pPr>
              <w:pStyle w:val="24"/>
            </w:pPr>
            <w:r>
              <w:rPr>
                <w:rFonts w:ascii="Times New Roman" w:hAnsi="Times New Roman"/>
              </w:rPr>
              <w:t>Bi-LSTM (AIS only)</w:t>
            </w:r>
          </w:p>
        </w:tc>
        <w:tc>
          <w:p w14:paraId="592B9474">
            <w:pPr>
              <w:pStyle w:val="24"/>
            </w:pPr>
            <w:r>
              <w:rPr>
                <w:rFonts w:ascii="Times New Roman" w:hAnsi="Times New Roman"/>
              </w:rPr>
              <w:t>Constant velocity</w:t>
            </w:r>
          </w:p>
        </w:tc>
      </w:tr>
      <w:tr w14:paraId="18CCAB44">
        <w:tblPrEx>
          <w:tblCellMar>
            <w:top w:w="0" w:type="dxa"/>
            <w:left w:w="108" w:type="dxa"/>
            <w:bottom w:w="0" w:type="dxa"/>
            <w:right w:w="108" w:type="dxa"/>
          </w:tblCellMar>
        </w:tblPrEx>
        <w:tc>
          <w:p w14:paraId="5815F7B0">
            <w:pPr>
              <w:pStyle w:val="24"/>
            </w:pPr>
            <w:r>
              <w:rPr>
                <w:rFonts w:ascii="Times New Roman" w:hAnsi="Times New Roman"/>
              </w:rPr>
              <w:t>on (AR(1) σ = 4 m, 2 % outliers)</w:t>
            </w:r>
          </w:p>
        </w:tc>
        <w:tc>
          <w:p w14:paraId="511E2C09">
            <w:pPr>
              <w:pStyle w:val="24"/>
            </w:pPr>
            <w:r>
              <w:rPr>
                <w:rFonts w:ascii="Times New Roman" w:hAnsi="Times New Roman"/>
              </w:rPr>
              <w:t>18.91 ± 0.62</w:t>
            </w:r>
          </w:p>
        </w:tc>
        <w:tc>
          <w:p w14:paraId="07ED3990">
            <w:pPr>
              <w:pStyle w:val="24"/>
            </w:pPr>
            <w:r>
              <w:rPr>
                <w:rFonts w:ascii="Times New Roman" w:hAnsi="Times New Roman"/>
              </w:rPr>
              <w:t>18.96 ± 0.03</w:t>
            </w:r>
          </w:p>
        </w:tc>
        <w:tc>
          <w:p w14:paraId="0F96D703">
            <w:pPr>
              <w:pStyle w:val="24"/>
            </w:pPr>
            <w:r>
              <w:rPr>
                <w:rFonts w:ascii="Times New Roman" w:hAnsi="Times New Roman"/>
              </w:rPr>
              <w:t>39.51</w:t>
            </w:r>
          </w:p>
        </w:tc>
      </w:tr>
      <w:tr w14:paraId="5E533354">
        <w:tblPrEx>
          <w:tblCellMar>
            <w:top w:w="0" w:type="dxa"/>
            <w:left w:w="108" w:type="dxa"/>
            <w:bottom w:w="0" w:type="dxa"/>
            <w:right w:w="108" w:type="dxa"/>
          </w:tblCellMar>
        </w:tblPrEx>
        <w:tc>
          <w:p w14:paraId="1A865D0C">
            <w:pPr>
              <w:pStyle w:val="24"/>
            </w:pPr>
            <w:r>
              <w:rPr>
                <w:rFonts w:ascii="Times New Roman" w:hAnsi="Times New Roman"/>
              </w:rPr>
              <w:t>off (noise-free AIS)</w:t>
            </w:r>
          </w:p>
        </w:tc>
        <w:tc>
          <w:p w14:paraId="54C06EB8">
            <w:pPr>
              <w:pStyle w:val="24"/>
            </w:pPr>
            <w:r>
              <w:rPr>
                <w:rFonts w:ascii="Times New Roman" w:hAnsi="Times New Roman"/>
              </w:rPr>
              <w:t>17.97 ± 0.11</w:t>
            </w:r>
          </w:p>
        </w:tc>
        <w:tc>
          <w:p w14:paraId="23787267">
            <w:pPr>
              <w:pStyle w:val="24"/>
            </w:pPr>
            <w:r>
              <w:rPr>
                <w:rFonts w:ascii="Times New Roman" w:hAnsi="Times New Roman"/>
              </w:rPr>
              <w:t>17.65 ± 0.37</w:t>
            </w:r>
          </w:p>
        </w:tc>
        <w:tc>
          <w:p w14:paraId="23A0697B">
            <w:pPr>
              <w:pStyle w:val="24"/>
            </w:pPr>
            <w:r>
              <w:rPr>
                <w:rFonts w:ascii="Times New Roman" w:hAnsi="Times New Roman"/>
              </w:rPr>
              <w:t>32.74</w:t>
            </w:r>
          </w:p>
        </w:tc>
      </w:tr>
      <w:tr w14:paraId="530E815E">
        <w:tblPrEx>
          <w:tblCellMar>
            <w:top w:w="0" w:type="dxa"/>
            <w:left w:w="108" w:type="dxa"/>
            <w:bottom w:w="0" w:type="dxa"/>
            <w:right w:w="108" w:type="dxa"/>
          </w:tblCellMar>
        </w:tblPrEx>
        <w:tc>
          <w:p w14:paraId="498B213B">
            <w:pPr>
              <w:pStyle w:val="24"/>
            </w:pPr>
            <w:r>
              <w:rPr>
                <w:rFonts w:ascii="Times New Roman" w:hAnsi="Times New Roman"/>
              </w:rPr>
              <w:t>Δ (on − off)</w:t>
            </w:r>
          </w:p>
        </w:tc>
        <w:tc>
          <w:p w14:paraId="44DC184C">
            <w:pPr>
              <w:pStyle w:val="24"/>
            </w:pPr>
            <w:r>
              <w:rPr>
                <w:rFonts w:ascii="Times New Roman" w:hAnsi="Times New Roman"/>
              </w:rPr>
              <w:t>+0.94</w:t>
            </w:r>
          </w:p>
        </w:tc>
        <w:tc>
          <w:p w14:paraId="783A766E">
            <w:pPr>
              <w:pStyle w:val="24"/>
            </w:pPr>
            <w:r>
              <w:rPr>
                <w:rFonts w:ascii="Times New Roman" w:hAnsi="Times New Roman"/>
              </w:rPr>
              <w:t>+1.31</w:t>
            </w:r>
          </w:p>
        </w:tc>
        <w:tc>
          <w:p w14:paraId="365161A1">
            <w:pPr>
              <w:pStyle w:val="24"/>
            </w:pPr>
            <w:r>
              <w:rPr>
                <w:rFonts w:ascii="Times New Roman" w:hAnsi="Times New Roman"/>
              </w:rPr>
              <w:t>+6.77</w:t>
            </w:r>
          </w:p>
        </w:tc>
      </w:tr>
      <w:tr w14:paraId="24DEA56A">
        <w:tblPrEx>
          <w:tblCellMar>
            <w:top w:w="0" w:type="dxa"/>
            <w:left w:w="108" w:type="dxa"/>
            <w:bottom w:w="0" w:type="dxa"/>
            <w:right w:w="108" w:type="dxa"/>
          </w:tblCellMar>
        </w:tblPrEx>
        <w:tc>
          <w:p w14:paraId="3374D8F5">
            <w:pPr>
              <w:pStyle w:val="24"/>
            </w:pPr>
            <w:r>
              <w:rPr>
                <w:rFonts w:ascii="Times New Roman" w:hAnsi="Times New Roman"/>
              </w:rPr>
              <w:t>on-trained weights, noise-free input</w:t>
            </w:r>
          </w:p>
        </w:tc>
        <w:tc>
          <w:p w14:paraId="5C25048D">
            <w:pPr>
              <w:pStyle w:val="24"/>
            </w:pPr>
            <w:r>
              <w:rPr>
                <w:rFonts w:ascii="Times New Roman" w:hAnsi="Times New Roman"/>
              </w:rPr>
              <w:t>17.90 ± 0.81</w:t>
            </w:r>
          </w:p>
        </w:tc>
        <w:tc>
          <w:p w14:paraId="28217CFF">
            <w:pPr>
              <w:pStyle w:val="24"/>
            </w:pPr>
            <w:r>
              <w:rPr>
                <w:rFonts w:ascii="Times New Roman" w:hAnsi="Times New Roman"/>
              </w:rPr>
              <w:t>17.96 ± 0.02</w:t>
            </w:r>
          </w:p>
        </w:tc>
        <w:tc>
          <w:p w14:paraId="506E5B44">
            <w:pPr>
              <w:pStyle w:val="24"/>
            </w:pPr>
            <w:r>
              <w:rPr>
                <w:rFonts w:ascii="Times New Roman" w:hAnsi="Times New Roman"/>
              </w:rPr>
              <w:t>—</w:t>
            </w:r>
          </w:p>
        </w:tc>
      </w:tr>
    </w:tbl>
    <w:p w14:paraId="07F18AE7">
      <w:pPr>
        <w:pStyle w:val="23"/>
        <w:jc w:val="both"/>
      </w:pPr>
      <w:r>
        <w:rPr>
          <w:rFonts w:ascii="Times New Roman" w:hAnsi="Times New Roman"/>
        </w:rPr>
        <w:t xml:space="preserve">Removing the observation noise is worth 0.9–1.3 m to the learned models but 6.8 m (17 %) to the constant-velocity anchor, so the learned models already absorb most of the noise; the fusion difference never survives the seed spread in either arm. Generator and driver: </w:t>
      </w:r>
      <w:r>
        <w:rPr>
          <w:rStyle w:val="48"/>
          <w:rFonts w:ascii="Times New Roman" w:hAnsi="Times New Roman"/>
        </w:rPr>
        <w:t>tools/make_noise_probe.py</w:t>
      </w:r>
      <w:r>
        <w:rPr>
          <w:rFonts w:ascii="Times New Roman" w:hAnsi="Times New Roman"/>
        </w:rPr>
        <w:t xml:space="preserve"> and </w:t>
      </w:r>
      <w:r>
        <w:rPr>
          <w:rStyle w:val="48"/>
          <w:rFonts w:ascii="Times New Roman" w:hAnsi="Times New Roman"/>
        </w:rPr>
        <w:t>tools/run_noise_probe.py</w:t>
      </w:r>
      <w:r>
        <w:rPr>
          <w:rFonts w:ascii="Times New Roman" w:hAnsi="Times New Roman"/>
        </w:rPr>
        <w:t xml:space="preserve">, consolidated into </w:t>
      </w:r>
      <w:r>
        <w:rPr>
          <w:rStyle w:val="48"/>
          <w:rFonts w:ascii="Times New Roman" w:hAnsi="Times New Roman"/>
        </w:rPr>
        <w:t>results/noise_probe_summary.json</w:t>
      </w:r>
      <w:r>
        <w:rPr>
          <w:rFonts w:ascii="Times New Roman" w:hAnsi="Times New Roman"/>
        </w:rPr>
        <w:t>.</w:t>
      </w:r>
    </w:p>
    <w:bookmarkEnd w:id="13"/>
    <w:p w14:paraId="28E11AF2">
      <w:pPr>
        <w:pStyle w:val="4"/>
      </w:pPr>
      <w:bookmarkStart w:id="14" w:name="s6.-reproduction"/>
      <w:r>
        <w:rPr>
          <w:rFonts w:ascii="Times New Roman" w:hAnsi="Times New Roman"/>
        </w:rPr>
        <w:t>S6. Reproduction</w:t>
      </w:r>
    </w:p>
    <w:p w14:paraId="7EAA80E7">
      <w:pPr>
        <w:pStyle w:val="23"/>
        <w:jc w:val="both"/>
      </w:pPr>
      <w:r>
        <w:rPr>
          <w:rFonts w:ascii="Times New Roman" w:hAnsi="Times New Roman"/>
        </w:rPr>
        <w:t xml:space="preserve">All four tables are produced by the released code package on </w:t>
      </w:r>
      <w:r>
        <w:rPr>
          <w:rFonts w:ascii="Times New Roman" w:hAnsi="Times New Roman"/>
          <w:b/>
          <w:bCs/>
        </w:rPr>
        <w:t>InlandVessel-2K-Sim</w:t>
      </w:r>
      <w:r>
        <w:rPr>
          <w:rFonts w:ascii="Times New Roman" w:hAnsi="Times New Roman"/>
        </w:rPr>
        <w:t xml:space="preserve">, the simulator bundled with the release. The simulator writes the same </w:t>
      </w:r>
      <w:r>
        <w:rPr>
          <w:rStyle w:val="48"/>
          <w:rFonts w:ascii="Times New Roman" w:hAnsi="Times New Roman"/>
        </w:rPr>
        <w:t>.npz</w:t>
      </w:r>
      <w:r>
        <w:rPr>
          <w:rFonts w:ascii="Times New Roman" w:hAnsi="Times New Roman"/>
        </w:rPr>
        <w:t xml:space="preserve"> layout that field recordings use, so recordings from the two surveyed reaches replace it without any change to the code. The numbers in this document were obtained on CPU with PyTorch 2.x: the Tiny model trains to early stopping in about 18 minutes at batch size 16 and evaluation is CPU-bound, so no GPU is needed to reproduce any table. Entry points:</w:t>
      </w:r>
    </w:p>
    <w:p w14:paraId="37C8974F">
      <w:pPr>
        <w:pStyle w:val="49"/>
      </w:pPr>
      <w:r>
        <w:rPr>
          <w:rStyle w:val="48"/>
          <w:rFonts w:ascii="Times New Roman" w:hAnsi="Times New Roman"/>
        </w:rPr>
        <w:t># environment</w:t>
      </w:r>
      <w:r>
        <w:rPr>
          <w:rFonts w:ascii="Times New Roman" w:hAnsi="Times New Roman"/>
        </w:rPr>
        <w:br w:type="textWrapping"/>
      </w:r>
      <w:r>
        <w:rPr>
          <w:rStyle w:val="48"/>
          <w:rFonts w:ascii="Times New Roman" w:hAnsi="Times New Roman"/>
        </w:rPr>
        <w:t>pip install -r requirements.txt</w:t>
      </w:r>
      <w:r>
        <w:rPr>
          <w:rFonts w:ascii="Times New Roman" w:hAnsi="Times New Roman"/>
        </w:rPr>
        <w:br w:type="textWrapping"/>
      </w:r>
      <w:r>
        <w:rPr>
          <w:rFonts w:ascii="Times New Roman" w:hAnsi="Times New Roman"/>
        </w:rPr>
        <w:br w:type="textWrapping"/>
      </w:r>
      <w:r>
        <w:rPr>
          <w:rStyle w:val="48"/>
          <w:rFonts w:ascii="Times New Roman" w:hAnsi="Times New Roman"/>
        </w:rPr>
        <w:t># simulate the release data (fields recordings replace this step)</w:t>
      </w:r>
      <w:r>
        <w:rPr>
          <w:rFonts w:ascii="Times New Roman" w:hAnsi="Times New Roman"/>
        </w:rPr>
        <w:br w:type="textWrapping"/>
      </w:r>
      <w:r>
        <w:rPr>
          <w:rStyle w:val="48"/>
          <w:rFonts w:ascii="Times New Roman" w:hAnsi="Times New Roman"/>
        </w:rPr>
        <w:t>python tools/make_realistic_data.py --out data/inlandvessel2k</w:t>
      </w:r>
      <w:r>
        <w:rPr>
          <w:rFonts w:ascii="Times New Roman" w:hAnsi="Times New Roman"/>
        </w:rPr>
        <w:br w:type="textWrapping"/>
      </w:r>
      <w:r>
        <w:rPr>
          <w:rStyle w:val="48"/>
          <w:rFonts w:ascii="Times New Roman" w:hAnsi="Times New Roman"/>
        </w:rPr>
        <w:t>python tools/make_unaligned_variant.py      # de-synchronised input for S2/C</w:t>
      </w:r>
      <w:r>
        <w:rPr>
          <w:rFonts w:ascii="Times New Roman" w:hAnsi="Times New Roman"/>
        </w:rPr>
        <w:br w:type="textWrapping"/>
      </w:r>
      <w:r>
        <w:rPr>
          <w:rFonts w:ascii="Times New Roman" w:hAnsi="Times New Roman"/>
        </w:rPr>
        <w:br w:type="textWrapping"/>
      </w:r>
      <w:r>
        <w:rPr>
          <w:rStyle w:val="48"/>
          <w:rFonts w:ascii="Times New Roman" w:hAnsi="Times New Roman"/>
        </w:rPr>
        <w:t># train the Tiny variant and the full-width model</w:t>
      </w:r>
      <w:r>
        <w:rPr>
          <w:rFonts w:ascii="Times New Roman" w:hAnsi="Times New Roman"/>
        </w:rPr>
        <w:br w:type="textWrapping"/>
      </w:r>
      <w:r>
        <w:rPr>
          <w:rStyle w:val="48"/>
          <w:rFonts w:ascii="Times New Roman" w:hAnsi="Times New Roman"/>
        </w:rPr>
        <w:t>python tools/train.py --config configs/tiny.yaml experiment=T_full</w:t>
      </w:r>
      <w:r>
        <w:rPr>
          <w:rFonts w:ascii="Times New Roman" w:hAnsi="Times New Roman"/>
        </w:rPr>
        <w:br w:type="textWrapping"/>
      </w:r>
      <w:r>
        <w:rPr>
          <w:rStyle w:val="48"/>
          <w:rFonts w:ascii="Times New Roman" w:hAnsi="Times New Roman"/>
        </w:rPr>
        <w:t>python tools/train.py --config configs/default.yaml experiment=exp0</w:t>
      </w:r>
      <w:r>
        <w:rPr>
          <w:rFonts w:ascii="Times New Roman" w:hAnsi="Times New Roman"/>
        </w:rPr>
        <w:br w:type="textWrapping"/>
      </w:r>
      <w:r>
        <w:rPr>
          <w:rFonts w:ascii="Times New Roman" w:hAnsi="Times New Roman"/>
        </w:rPr>
        <w:br w:type="textWrapping"/>
      </w:r>
      <w:r>
        <w:rPr>
          <w:rStyle w:val="48"/>
          <w:rFonts w:ascii="Times New Roman" w:hAnsi="Times New Roman"/>
        </w:rPr>
        <w:t># local baselines (AIS-only Bi-LSTM, Social-STGCNN)</w:t>
      </w:r>
      <w:r>
        <w:rPr>
          <w:rFonts w:ascii="Times New Roman" w:hAnsi="Times New Roman"/>
        </w:rPr>
        <w:br w:type="textWrapping"/>
      </w:r>
      <w:r>
        <w:rPr>
          <w:rStyle w:val="48"/>
          <w:rFonts w:ascii="Times New Roman" w:hAnsi="Times New Roman"/>
        </w:rPr>
        <w:t>python tools/train_baseline.py --name bilstm --width 64 --experiment BL_bilstm_w64</w:t>
      </w:r>
      <w:r>
        <w:rPr>
          <w:rFonts w:ascii="Times New Roman" w:hAnsi="Times New Roman"/>
        </w:rPr>
        <w:br w:type="textWrapping"/>
      </w:r>
      <w:r>
        <w:rPr>
          <w:rFonts w:ascii="Times New Roman" w:hAnsi="Times New Roman"/>
        </w:rPr>
        <w:br w:type="textWrapping"/>
      </w:r>
      <w:r>
        <w:rPr>
          <w:rStyle w:val="48"/>
          <w:rFonts w:ascii="Times New Roman" w:hAnsi="Times New Roman"/>
        </w:rPr>
        <w:t># Tables S2 / S3 - ablations and cross-channel transfer on Tiny</w:t>
      </w:r>
      <w:r>
        <w:rPr>
          <w:rFonts w:ascii="Times New Roman" w:hAnsi="Times New Roman"/>
        </w:rPr>
        <w:br w:type="textWrapping"/>
      </w:r>
      <w:r>
        <w:rPr>
          <w:rStyle w:val="48"/>
          <w:rFonts w:ascii="Times New Roman" w:hAnsi="Times New Roman"/>
        </w:rPr>
        <w:t>python tools/run_s1_s4.py --data-dir data/inlandvessel2k --stages S2,S3</w:t>
      </w:r>
      <w:r>
        <w:rPr>
          <w:rFonts w:ascii="Times New Roman" w:hAnsi="Times New Roman"/>
        </w:rPr>
        <w:br w:type="textWrapping"/>
      </w:r>
      <w:r>
        <w:rPr>
          <w:rStyle w:val="48"/>
          <w:rFonts w:ascii="Times New Roman" w:hAnsi="Times New Roman"/>
        </w:rPr>
        <w:t>python tools/run_extras.py --data-dir data/inlandvessel2k</w:t>
      </w:r>
      <w:r>
        <w:rPr>
          <w:rFonts w:ascii="Times New Roman" w:hAnsi="Times New Roman"/>
        </w:rPr>
        <w:br w:type="textWrapping"/>
      </w:r>
      <w:r>
        <w:rPr>
          <w:rFonts w:ascii="Times New Roman" w:hAnsi="Times New Roman"/>
        </w:rPr>
        <w:br w:type="textWrapping"/>
      </w:r>
      <w:r>
        <w:rPr>
          <w:rStyle w:val="48"/>
          <w:rFonts w:ascii="Times New Roman" w:hAnsi="Times New Roman"/>
        </w:rPr>
        <w:t># Table S4 - threshold sweep and attention cost (inference only)</w:t>
      </w:r>
      <w:r>
        <w:rPr>
          <w:rFonts w:ascii="Times New Roman" w:hAnsi="Times New Roman"/>
        </w:rPr>
        <w:br w:type="textWrapping"/>
      </w:r>
      <w:r>
        <w:rPr>
          <w:rStyle w:val="48"/>
          <w:rFonts w:ascii="Times New Roman" w:hAnsi="Times New Roman"/>
        </w:rPr>
        <w:t>python tools/eval_radius_sweep.py --ckpt runs/T_full/best.pt</w:t>
      </w:r>
      <w:r>
        <w:rPr>
          <w:rFonts w:ascii="Times New Roman" w:hAnsi="Times New Roman"/>
        </w:rPr>
        <w:br w:type="textWrapping"/>
      </w:r>
      <w:r>
        <w:rPr>
          <w:rStyle w:val="48"/>
          <w:rFonts w:ascii="Times New Roman" w:hAnsi="Times New Roman"/>
        </w:rPr>
        <w:t>python tools/measure_graph_cost.py --config runs/T_full/config.yaml</w:t>
      </w:r>
      <w:r>
        <w:rPr>
          <w:rFonts w:ascii="Times New Roman" w:hAnsi="Times New Roman"/>
        </w:rPr>
        <w:br w:type="textWrapping"/>
      </w:r>
      <w:r>
        <w:rPr>
          <w:rFonts w:ascii="Times New Roman" w:hAnsi="Times New Roman"/>
        </w:rPr>
        <w:br w:type="textWrapping"/>
      </w:r>
      <w:r>
        <w:rPr>
          <w:rStyle w:val="48"/>
          <w:rFonts w:ascii="Times New Roman" w:hAnsi="Times New Roman"/>
        </w:rPr>
        <w:t># Table S1 - AIS outage on the frozen checkpoints</w:t>
      </w:r>
      <w:r>
        <w:rPr>
          <w:rFonts w:ascii="Times New Roman" w:hAnsi="Times New Roman"/>
        </w:rPr>
        <w:br w:type="textWrapping"/>
      </w:r>
      <w:r>
        <w:rPr>
          <w:rStyle w:val="48"/>
          <w:rFonts w:ascii="Times New Roman" w:hAnsi="Times New Roman"/>
        </w:rPr>
        <w:t>python tools/eval_outage.py --ckpt runs/T_full/best.pt \</w:t>
      </w:r>
      <w:r>
        <w:rPr>
          <w:rFonts w:ascii="Times New Roman" w:hAnsi="Times New Roman"/>
        </w:rPr>
        <w:br w:type="textWrapping"/>
      </w:r>
      <w:r>
        <w:rPr>
          <w:rStyle w:val="48"/>
          <w:rFonts w:ascii="Times New Roman" w:hAnsi="Times New Roman"/>
        </w:rPr>
        <w:t xml:space="preserve">    --baseline bilstm --baseline-ckpt runs/BL_bilstm_w64/best.pt --baseline-width 64</w:t>
      </w:r>
      <w:r>
        <w:rPr>
          <w:rFonts w:ascii="Times New Roman" w:hAnsi="Times New Roman"/>
        </w:rPr>
        <w:br w:type="textWrapping"/>
      </w:r>
      <w:r>
        <w:rPr>
          <w:rFonts w:ascii="Times New Roman" w:hAnsi="Times New Roman"/>
        </w:rPr>
        <w:br w:type="textWrapping"/>
      </w:r>
      <w:r>
        <w:rPr>
          <w:rStyle w:val="48"/>
          <w:rFonts w:ascii="Times New Roman" w:hAnsi="Times New Roman"/>
        </w:rPr>
        <w:t># aggregate every table</w:t>
      </w:r>
      <w:r>
        <w:rPr>
          <w:rFonts w:ascii="Times New Roman" w:hAnsi="Times New Roman"/>
        </w:rPr>
        <w:br w:type="textWrapping"/>
      </w:r>
      <w:r>
        <w:rPr>
          <w:rStyle w:val="48"/>
          <w:rFonts w:ascii="Times New Roman" w:hAnsi="Times New Roman"/>
        </w:rPr>
        <w:t>python tools/collect_results.py            # -&gt; results/SUMMARY.md</w:t>
      </w:r>
    </w:p>
    <w:p w14:paraId="5C6CB46C">
      <w:pPr>
        <w:pStyle w:val="23"/>
        <w:jc w:val="both"/>
      </w:pPr>
      <w:r>
        <w:rPr>
          <w:rFonts w:ascii="Times New Roman" w:hAnsi="Times New Roman"/>
        </w:rPr>
        <w:t xml:space="preserve">Every table is assembled from the per-run </w:t>
      </w:r>
      <w:r>
        <w:rPr>
          <w:rStyle w:val="48"/>
          <w:rFonts w:ascii="Times New Roman" w:hAnsi="Times New Roman"/>
        </w:rPr>
        <w:t>metrics.json</w:t>
      </w:r>
      <w:r>
        <w:rPr>
          <w:rFonts w:ascii="Times New Roman" w:hAnsi="Times New Roman"/>
        </w:rPr>
        <w:t xml:space="preserve"> and the CSV files in </w:t>
      </w:r>
      <w:r>
        <w:rPr>
          <w:rStyle w:val="48"/>
          <w:rFonts w:ascii="Times New Roman" w:hAnsi="Times New Roman"/>
        </w:rPr>
        <w:t>results/</w:t>
      </w:r>
      <w:r>
        <w:rPr>
          <w:rFonts w:ascii="Times New Roman" w:hAnsi="Times New Roman"/>
        </w:rPr>
        <w:t xml:space="preserve"> by a single command (</w:t>
      </w:r>
      <w:r>
        <w:rPr>
          <w:rStyle w:val="48"/>
          <w:rFonts w:ascii="Times New Roman" w:hAnsi="Times New Roman"/>
        </w:rPr>
        <w:t>tools/collect_results.py</w:t>
      </w:r>
      <w:r>
        <w:rPr>
          <w:rFonts w:ascii="Times New Roman" w:hAnsi="Times New Roman"/>
        </w:rPr>
        <w:t xml:space="preserve">), so the numbers above can be regenerated without touching the document. Each run directory also carries a </w:t>
      </w:r>
      <w:r>
        <w:rPr>
          <w:rStyle w:val="48"/>
          <w:rFonts w:ascii="Times New Roman" w:hAnsi="Times New Roman"/>
        </w:rPr>
        <w:t>DONE</w:t>
      </w:r>
      <w:r>
        <w:rPr>
          <w:rFonts w:ascii="Times New Roman" w:hAnsi="Times New Roman"/>
        </w:rPr>
        <w:t xml:space="preserve"> marker recording the epoch count, the data directory and the checkpoint that produced the reported test metrics; </w:t>
      </w:r>
      <w:r>
        <w:rPr>
          <w:rStyle w:val="48"/>
          <w:rFonts w:ascii="Times New Roman" w:hAnsi="Times New Roman"/>
        </w:rPr>
        <w:t>tools/check_runs.py</w:t>
      </w:r>
      <w:r>
        <w:rPr>
          <w:rFonts w:ascii="Times New Roman" w:hAnsi="Times New Roman"/>
        </w:rPr>
        <w:t xml:space="preserve"> uses that marker to reject aborted or mis-configured runs before they can reach a table.</w:t>
      </w:r>
    </w:p>
    <w:bookmarkEnd w:id="14"/>
    <w:p w14:paraId="5CEC2794">
      <w:pPr>
        <w:pStyle w:val="4"/>
      </w:pPr>
      <w:bookmarkStart w:id="15" w:name="X48dd44389789ef54a5038d7ea854c2c0402aff6"/>
      <w:r>
        <w:rPr>
          <w:rFonts w:ascii="Times New Roman" w:hAnsi="Times New Roman"/>
        </w:rPr>
        <w:t>S7. Provenance and scope of the reported numbers</w:t>
      </w:r>
    </w:p>
    <w:p w14:paraId="2FABF608">
      <w:pPr>
        <w:pStyle w:val="23"/>
        <w:jc w:val="both"/>
      </w:pPr>
      <w:r>
        <w:rPr>
          <w:rFonts w:ascii="Times New Roman" w:hAnsi="Times New Roman"/>
          <w:b/>
          <w:bCs/>
        </w:rPr>
        <w:t>What produced these tables.</w:t>
      </w:r>
      <w:r>
        <w:rPr>
          <w:rFonts w:ascii="Times New Roman" w:hAnsi="Times New Roman"/>
        </w:rPr>
        <w:t xml:space="preserve"> Every value above was obtained by running the released code package end to end: </w:t>
      </w:r>
      <w:r>
        <w:rPr>
          <w:rStyle w:val="48"/>
          <w:rFonts w:ascii="Times New Roman" w:hAnsi="Times New Roman"/>
        </w:rPr>
        <w:t>tools/run_s1_s4.py</w:t>
      </w:r>
      <w:r>
        <w:rPr>
          <w:rFonts w:ascii="Times New Roman" w:hAnsi="Times New Roman"/>
        </w:rPr>
        <w:t xml:space="preserve"> and </w:t>
      </w:r>
      <w:r>
        <w:rPr>
          <w:rStyle w:val="48"/>
          <w:rFonts w:ascii="Times New Roman" w:hAnsi="Times New Roman"/>
        </w:rPr>
        <w:t>tools/run_extras.py</w:t>
      </w:r>
      <w:r>
        <w:rPr>
          <w:rFonts w:ascii="Times New Roman" w:hAnsi="Times New Roman"/>
        </w:rPr>
        <w:t xml:space="preserve"> for the Tiny ablations, the cross-channel transfer and the threshold sweep; </w:t>
      </w:r>
      <w:r>
        <w:rPr>
          <w:rStyle w:val="48"/>
          <w:rFonts w:ascii="Times New Roman" w:hAnsi="Times New Roman"/>
        </w:rPr>
        <w:t>tools/eval_outage.py</w:t>
      </w:r>
      <w:r>
        <w:rPr>
          <w:rFonts w:ascii="Times New Roman" w:hAnsi="Times New Roman"/>
        </w:rPr>
        <w:t xml:space="preserve"> for the AIS-outage table; </w:t>
      </w:r>
      <w:r>
        <w:rPr>
          <w:rStyle w:val="48"/>
          <w:rFonts w:ascii="Times New Roman" w:hAnsi="Times New Roman"/>
        </w:rPr>
        <w:t>tools/train_baseline.py</w:t>
      </w:r>
      <w:r>
        <w:rPr>
          <w:rFonts w:ascii="Times New Roman" w:hAnsi="Times New Roman"/>
        </w:rPr>
        <w:t xml:space="preserve"> for the AIS-only baselines; </w:t>
      </w:r>
      <w:r>
        <w:rPr>
          <w:rStyle w:val="48"/>
          <w:rFonts w:ascii="Times New Roman" w:hAnsi="Times New Roman"/>
        </w:rPr>
        <w:t>tools/run_multiseed.py</w:t>
      </w:r>
      <w:r>
        <w:rPr>
          <w:rFonts w:ascii="Times New Roman" w:hAnsi="Times New Roman"/>
        </w:rPr>
        <w:t xml:space="preserve"> for the three-seed replication of Table 2 of the main text (seed-0 split held fixed as an explicit scene list, seeds 1 and 2 added, consolidated into results</w:t>
      </w:r>
      <w:r>
        <w:rPr>
          <w:rStyle w:val="48"/>
          <w:rFonts w:ascii="Times New Roman" w:hAnsi="Times New Roman"/>
        </w:rPr>
        <w:t>/multiseed_summary.json</w:t>
      </w:r>
      <w:r>
        <w:rPr>
          <w:rFonts w:ascii="Times New Roman" w:hAnsi="Times New Roman"/>
        </w:rPr>
        <w:t xml:space="preserve">); </w:t>
      </w:r>
      <w:r>
        <w:rPr>
          <w:rStyle w:val="48"/>
          <w:rFonts w:ascii="Times New Roman" w:hAnsi="Times New Roman"/>
        </w:rPr>
        <w:t>tools/run_datascale.py</w:t>
      </w:r>
      <w:r>
        <w:rPr>
          <w:rFonts w:ascii="Times New Roman" w:hAnsi="Times New Roman"/>
        </w:rPr>
        <w:t xml:space="preserve"> for the data-scale control of Section 3.2 of the main text (training scenes subsampled to 25/50/100 % with the two channel styles kept in proportion, validation and test scenes held at the released 24/24, optimisation budget fixed at 300 gradient updates per run by rescaling the epoch count and every epoch-based schedule parameter, two seeds per point, consolidated into </w:t>
      </w:r>
      <w:r>
        <w:rPr>
          <w:rStyle w:val="48"/>
          <w:rFonts w:ascii="Times New Roman" w:hAnsi="Times New Roman"/>
        </w:rPr>
        <w:t>results/datascale_summary.json</w:t>
      </w:r>
      <w:r>
        <w:rPr>
          <w:rFonts w:ascii="Times New Roman" w:hAnsi="Times New Roman"/>
        </w:rPr>
        <w:t xml:space="preserve">); </w:t>
      </w:r>
      <w:r>
        <w:rPr>
          <w:rStyle w:val="48"/>
          <w:rFonts w:ascii="Times New Roman" w:hAnsi="Times New Roman"/>
        </w:rPr>
        <w:t>tools/make_noise_probe.py</w:t>
      </w:r>
      <w:r>
        <w:rPr>
          <w:rFonts w:ascii="Times New Roman" w:hAnsi="Times New Roman"/>
        </w:rPr>
        <w:t xml:space="preserve"> and </w:t>
      </w:r>
      <w:r>
        <w:rPr>
          <w:rStyle w:val="48"/>
          <w:rFonts w:ascii="Times New Roman" w:hAnsi="Times New Roman"/>
        </w:rPr>
        <w:t>tools/run_noise_probe.py</w:t>
      </w:r>
      <w:r>
        <w:rPr>
          <w:rFonts w:ascii="Times New Roman" w:hAnsi="Times New Roman"/>
        </w:rPr>
        <w:t xml:space="preserve"> for the observation-noise control of Section 3.2 of the main text (a paired testbed whose two arms share bit-identical vessel poses, occlusion schedule, radar and vision channels, and split, and differ only in whether the AIS input features carry the AR(1) noise and outlier rate; two seeds per arm, 300 gradient updates per run, consolidated into </w:t>
      </w:r>
      <w:r>
        <w:rPr>
          <w:rStyle w:val="48"/>
          <w:rFonts w:ascii="Times New Roman" w:hAnsi="Times New Roman"/>
        </w:rPr>
        <w:t>results/noise_probe_summary.json</w:t>
      </w:r>
      <w:r>
        <w:rPr>
          <w:rFonts w:ascii="Times New Roman" w:hAnsi="Times New Roman"/>
        </w:rPr>
        <w:t xml:space="preserve">); </w:t>
      </w:r>
      <w:r>
        <w:rPr>
          <w:rStyle w:val="48"/>
          <w:rFonts w:ascii="Times New Roman" w:hAnsi="Times New Roman"/>
        </w:rPr>
        <w:t>tools/run_m6_transformer.py</w:t>
      </w:r>
      <w:r>
        <w:rPr>
          <w:rFonts w:ascii="Times New Roman" w:hAnsi="Times New Roman"/>
        </w:rPr>
        <w:t xml:space="preserve"> for the AIS-only Transformer capacity ladder of Section 3.2 of the main text (the same architecture trained at four capacities from 78 K to 4.79 M parameters under the released 100-epoch schedule, three seeds on the fixed seed-0 split, consolidated into </w:t>
      </w:r>
      <w:r>
        <w:rPr>
          <w:rStyle w:val="48"/>
          <w:rFonts w:ascii="Times New Roman" w:hAnsi="Times New Roman"/>
        </w:rPr>
        <w:t>results/m6_transformer_summary.json</w:t>
      </w:r>
      <w:r>
        <w:rPr>
          <w:rFonts w:ascii="Times New Roman" w:hAnsi="Times New Roman"/>
        </w:rPr>
        <w:t xml:space="preserve">); and </w:t>
      </w:r>
      <w:r>
        <w:rPr>
          <w:rStyle w:val="48"/>
          <w:rFonts w:ascii="Times New Roman" w:hAnsi="Times New Roman"/>
        </w:rPr>
        <w:t>tools/eval_m6_stats.py</w:t>
      </w:r>
      <w:r>
        <w:rPr>
          <w:rFonts w:ascii="Times New Roman" w:hAnsi="Times New Roman"/>
        </w:rPr>
        <w:t xml:space="preserve"> for the scene-level paired Wilcoxon tests and the seed-level Welch tests that accompany that ladder (consolidated into </w:t>
      </w:r>
      <w:r>
        <w:rPr>
          <w:rStyle w:val="48"/>
          <w:rFonts w:ascii="Times New Roman" w:hAnsi="Times New Roman"/>
        </w:rPr>
        <w:t>results/m6_paired_stats.json</w:t>
      </w:r>
      <w:r>
        <w:rPr>
          <w:rFonts w:ascii="Times New Roman" w:hAnsi="Times New Roman"/>
        </w:rPr>
        <w:t xml:space="preserve">; it reuses the per-scene convention of </w:t>
      </w:r>
      <w:r>
        <w:rPr>
          <w:rStyle w:val="48"/>
          <w:rFonts w:ascii="Times New Roman" w:hAnsi="Times New Roman"/>
        </w:rPr>
        <w:t>tools/eval_cv_stats.py</w:t>
      </w:r>
      <w:r>
        <w:rPr>
          <w:rFonts w:ascii="Times New Roman" w:hAnsi="Times New Roman"/>
        </w:rPr>
        <w:t xml:space="preserve">, and every prediction file it pairs covers the same 190 evaluable test vessels, so the pairing is like for like); </w:t>
      </w:r>
      <w:r>
        <w:rPr>
          <w:rStyle w:val="48"/>
          <w:rFonts w:ascii="Times New Roman" w:hAnsi="Times New Roman"/>
        </w:rPr>
        <w:t>tools/eval_radius_sweep.py</w:t>
      </w:r>
      <w:r>
        <w:rPr>
          <w:rFonts w:ascii="Times New Roman" w:hAnsi="Times New Roman"/>
        </w:rPr>
        <w:t xml:space="preserve"> and </w:t>
      </w:r>
      <w:r>
        <w:rPr>
          <w:rStyle w:val="48"/>
          <w:rFonts w:ascii="Times New Roman" w:hAnsi="Times New Roman"/>
        </w:rPr>
        <w:t>tools/measure_graph_cost.py</w:t>
      </w:r>
      <w:r>
        <w:rPr>
          <w:rFonts w:ascii="Times New Roman" w:hAnsi="Times New Roman"/>
        </w:rPr>
        <w:t xml:space="preserve"> for the threshold and cost columns; and </w:t>
      </w:r>
      <w:r>
        <w:rPr>
          <w:rStyle w:val="48"/>
          <w:rFonts w:ascii="Times New Roman" w:hAnsi="Times New Roman"/>
        </w:rPr>
        <w:t>tools/collect_results.py</w:t>
      </w:r>
      <w:r>
        <w:rPr>
          <w:rFonts w:ascii="Times New Roman" w:hAnsi="Times New Roman"/>
        </w:rPr>
        <w:t xml:space="preserve"> to assemble the tables. Raw logs, per-run configurations, checkpoints and the consolidated </w:t>
      </w:r>
      <w:r>
        <w:rPr>
          <w:rStyle w:val="48"/>
          <w:rFonts w:ascii="Times New Roman" w:hAnsi="Times New Roman"/>
        </w:rPr>
        <w:t>results/SUMMARY.md</w:t>
      </w:r>
      <w:r>
        <w:rPr>
          <w:rFonts w:ascii="Times New Roman" w:hAnsi="Times New Roman"/>
        </w:rPr>
        <w:t xml:space="preserve"> are part of the release, so every number here can be regenerated with the command sequence in Section S6.</w:t>
      </w:r>
    </w:p>
    <w:p w14:paraId="52874251">
      <w:pPr>
        <w:pStyle w:val="23"/>
        <w:jc w:val="both"/>
      </w:pPr>
      <w:r>
        <w:rPr>
          <w:rFonts w:ascii="Times New Roman" w:hAnsi="Times New Roman"/>
          <w:b/>
          <w:bCs/>
        </w:rPr>
        <w:t>All test metrics come from the validation-selected checkpoint.</w:t>
      </w:r>
      <w:r>
        <w:rPr>
          <w:rFonts w:ascii="Times New Roman" w:hAnsi="Times New Roman"/>
        </w:rPr>
        <w:t xml:space="preserve"> The reported test numbers are those of </w:t>
      </w:r>
      <w:r>
        <w:rPr>
          <w:rStyle w:val="48"/>
          <w:rFonts w:ascii="Times New Roman" w:hAnsi="Times New Roman"/>
        </w:rPr>
        <w:t>best.pt</w:t>
      </w:r>
      <w:r>
        <w:rPr>
          <w:rFonts w:ascii="Times New Roman" w:hAnsi="Times New Roman"/>
        </w:rPr>
        <w:t xml:space="preserve">, chosen on the validation split, not of the final-epoch weights. This matters at the scale of this study: on the Tiny full model the two differ by 0.81 m ADE (18.47 versus 19.28), which is larger than most of the ablation differences reported above. An earlier revision of this package evaluated the final-epoch weights in </w:t>
      </w:r>
      <w:r>
        <w:rPr>
          <w:rStyle w:val="48"/>
          <w:rFonts w:ascii="Times New Roman" w:hAnsi="Times New Roman"/>
        </w:rPr>
        <w:t>tools/train.py</w:t>
      </w:r>
      <w:r>
        <w:rPr>
          <w:rFonts w:ascii="Times New Roman" w:hAnsi="Times New Roman"/>
        </w:rPr>
        <w:t xml:space="preserve"> while the outage and threshold tools already read </w:t>
      </w:r>
      <w:r>
        <w:rPr>
          <w:rStyle w:val="48"/>
          <w:rFonts w:ascii="Times New Roman" w:hAnsi="Times New Roman"/>
        </w:rPr>
        <w:t>best.pt</w:t>
      </w:r>
      <w:r>
        <w:rPr>
          <w:rFonts w:ascii="Times New Roman" w:hAnsi="Times New Roman"/>
        </w:rPr>
        <w:t xml:space="preserve">, which produced two inconsistent ADE values for the same model; </w:t>
      </w:r>
      <w:r>
        <w:rPr>
          <w:rStyle w:val="48"/>
          <w:rFonts w:ascii="Times New Roman" w:hAnsi="Times New Roman"/>
        </w:rPr>
        <w:t>tools/train.py</w:t>
      </w:r>
      <w:r>
        <w:rPr>
          <w:rFonts w:ascii="Times New Roman" w:hAnsi="Times New Roman"/>
        </w:rPr>
        <w:t xml:space="preserve"> and </w:t>
      </w:r>
      <w:r>
        <w:rPr>
          <w:rStyle w:val="48"/>
          <w:rFonts w:ascii="Times New Roman" w:hAnsi="Times New Roman"/>
        </w:rPr>
        <w:t>tools/train_baseline.py</w:t>
      </w:r>
      <w:r>
        <w:rPr>
          <w:rFonts w:ascii="Times New Roman" w:hAnsi="Times New Roman"/>
        </w:rPr>
        <w:t xml:space="preserve"> now load </w:t>
      </w:r>
      <w:r>
        <w:rPr>
          <w:rStyle w:val="48"/>
          <w:rFonts w:ascii="Times New Roman" w:hAnsi="Times New Roman"/>
        </w:rPr>
        <w:t>best.pt</w:t>
      </w:r>
      <w:r>
        <w:rPr>
          <w:rFonts w:ascii="Times New Roman" w:hAnsi="Times New Roman"/>
        </w:rPr>
        <w:t xml:space="preserve"> before the final evaluation, and </w:t>
      </w:r>
      <w:r>
        <w:rPr>
          <w:rStyle w:val="48"/>
          <w:rFonts w:ascii="Times New Roman" w:hAnsi="Times New Roman"/>
        </w:rPr>
        <w:t>tools/reeval_best.py</w:t>
      </w:r>
      <w:r>
        <w:rPr>
          <w:rFonts w:ascii="Times New Roman" w:hAnsi="Times New Roman"/>
        </w:rPr>
        <w:t xml:space="preserve"> re-derives the stored metrics for runs that were trained before that fix.</w:t>
      </w:r>
    </w:p>
    <w:p w14:paraId="4177E17F">
      <w:pPr>
        <w:pStyle w:val="23"/>
        <w:jc w:val="both"/>
      </w:pPr>
      <w:r>
        <w:rPr>
          <w:rFonts w:ascii="Times New Roman" w:hAnsi="Times New Roman"/>
          <w:b/>
          <w:bCs/>
        </w:rPr>
        <w:t>Scope of the multi-seed averages.</w:t>
      </w:r>
      <w:r>
        <w:rPr>
          <w:rFonts w:ascii="Times New Roman" w:hAnsi="Times New Roman"/>
        </w:rPr>
        <w:t xml:space="preserve"> The three-seed means of Table 2 in the main text (seeds 0, 1 and 2 on a fixed split, consolidated in </w:t>
      </w:r>
      <w:r>
        <w:rPr>
          <w:rStyle w:val="48"/>
          <w:rFonts w:ascii="Times New Roman" w:hAnsi="Times New Roman"/>
        </w:rPr>
        <w:t>results/multiseed_summary.json</w:t>
      </w:r>
      <w:r>
        <w:rPr>
          <w:rFonts w:ascii="Times New Roman" w:hAnsi="Times New Roman"/>
        </w:rPr>
        <w:t xml:space="preserve">) are the only multi-seed quantities outside the outage sweep, which averages three mask draws per level. Every table in this supplement reports single-run ablations on seed 0 and should be read against the seed-to-seed spread of the fused models (0.62 m ADE for Tiny, 0.89 m for the full-width model): differences smaller than that spread are not resolvable, and the supplement therefore does not interpret them. The data-scale control of Section 3.2 of the main text is the one other multi-run quantity: it reports two seeds per data fraction. Because that control fixes the optimisation budget at 300 gradient updates per run, its absolute values are not comparable with the 100-epoch numbers of Table 2 of the main text, and only the trend across fractions within the control should be quoted. The observation-noise control of Section 3.2 of the main text also reports two seeds per arm, on a testbed generated afresh by </w:t>
      </w:r>
      <w:r>
        <w:rPr>
          <w:rStyle w:val="48"/>
          <w:rFonts w:ascii="Times New Roman" w:hAnsi="Times New Roman"/>
        </w:rPr>
        <w:t>tools/make_noise_probe.py</w:t>
      </w:r>
      <w:r>
        <w:rPr>
          <w:rFonts w:ascii="Times New Roman" w:hAnsi="Times New Roman"/>
        </w:rPr>
        <w:t xml:space="preserve">; its absolute values are likewise not comparable with Table 2 of the main text (its constant-velocity anchor is 39.51 m against 40.20 m there, which is the check that the two runs are of comparable difficulty). The AIS-only Transformer capacity ladder of Section 3.2 of the main text is a three-seed quantity on the fixed seed-0 split under the released 100-epoch schedule, so its absolute values are comparable with Table 2 of the main text and are reported alongside it in Table 4 there; what that ladder does not do is match the fused configurations in capacity at its upper end, which is limitation (viii) of the main text. A shipped caveat applies to regenerating the released </w:t>
      </w:r>
      <w:r>
        <w:rPr>
          <w:rStyle w:val="48"/>
          <w:rFonts w:ascii="Times New Roman" w:hAnsi="Times New Roman"/>
        </w:rPr>
        <w:t>data/inlandvessel2k</w:t>
      </w:r>
      <w:r>
        <w:rPr>
          <w:rFonts w:ascii="Times New Roman" w:hAnsi="Times New Roman"/>
        </w:rPr>
        <w:t xml:space="preserve">: the build that produced it seeded each channel with </w:t>
      </w:r>
      <w:r>
        <w:rPr>
          <w:rStyle w:val="48"/>
          <w:rFonts w:ascii="Times New Roman" w:hAnsi="Times New Roman"/>
        </w:rPr>
        <w:t>hash(waterway)</w:t>
      </w:r>
      <w:r>
        <w:rPr>
          <w:rFonts w:ascii="Times New Roman" w:hAnsi="Times New Roman"/>
        </w:rPr>
        <w:t xml:space="preserve">, and Python randomises string hashing per process, so the shipped </w:t>
      </w:r>
      <w:r>
        <w:rPr>
          <w:rStyle w:val="48"/>
          <w:rFonts w:ascii="Times New Roman" w:hAnsi="Times New Roman"/>
        </w:rPr>
        <w:t>.npz</w:t>
      </w:r>
      <w:r>
        <w:rPr>
          <w:rFonts w:ascii="Times New Roman" w:hAnsi="Times New Roman"/>
        </w:rPr>
        <w:t xml:space="preserve"> files cannot be reproduced bit-identically by the current generator. The generator in this release seeds deterministically (</w:t>
      </w:r>
      <w:r>
        <w:rPr>
          <w:rStyle w:val="48"/>
          <w:rFonts w:ascii="Times New Roman" w:hAnsi="Times New Roman"/>
        </w:rPr>
        <w:t>--seed</w:t>
      </w:r>
      <w:r>
        <w:rPr>
          <w:rFonts w:ascii="Times New Roman" w:hAnsi="Times New Roman"/>
        </w:rPr>
        <w:t xml:space="preserve"> plus a channel index), and </w:t>
      </w:r>
      <w:r>
        <w:rPr>
          <w:rStyle w:val="48"/>
          <w:rFonts w:ascii="Times New Roman" w:hAnsi="Times New Roman"/>
        </w:rPr>
        <w:t>tools/make_noise_probe.py</w:t>
      </w:r>
      <w:r>
        <w:rPr>
          <w:rFonts w:ascii="Times New Roman" w:hAnsi="Times New Roman"/>
        </w:rPr>
        <w:t xml:space="preserve"> verifies that both arms of the noise control are identical field by field; a fully bit-reproducible released split is produced by </w:t>
      </w:r>
      <w:r>
        <w:rPr>
          <w:rStyle w:val="48"/>
          <w:rFonts w:ascii="Times New Roman" w:hAnsi="Times New Roman"/>
        </w:rPr>
        <w:t>tools/make_realistic_data.py --out &lt;dir&gt; --seed 0</w:t>
      </w:r>
      <w:r>
        <w:rPr>
          <w:rFonts w:ascii="Times New Roman" w:hAnsi="Times New Roman"/>
        </w:rPr>
        <w:t>.</w:t>
      </w:r>
    </w:p>
    <w:p w14:paraId="38C1C541">
      <w:pPr>
        <w:pStyle w:val="3"/>
      </w:pPr>
      <w:r>
        <w:rPr>
          <w:rFonts w:ascii="Times New Roman" w:hAnsi="Times New Roman"/>
          <w:b/>
          <w:bCs/>
        </w:rPr>
        <w:t>Where the data came from.</w:t>
      </w:r>
      <w:r>
        <w:rPr>
          <w:rFonts w:ascii="Times New Roman" w:hAnsi="Times New Roman"/>
        </w:rPr>
        <w:t xml:space="preserve"> The runs reported here use </w:t>
      </w:r>
      <w:r>
        <w:rPr>
          <w:rFonts w:ascii="Times New Roman" w:hAnsi="Times New Roman"/>
          <w:b/>
          <w:bCs/>
        </w:rPr>
        <w:t>InlandVessel-2K-Sim</w:t>
      </w:r>
      <w:r>
        <w:rPr>
          <w:rFonts w:ascii="Times New Roman" w:hAnsi="Times New Roman"/>
        </w:rPr>
        <w:t>, the simulator shipped with the code release (</w:t>
      </w:r>
      <w:r>
        <w:rPr>
          <w:rStyle w:val="48"/>
          <w:rFonts w:ascii="Times New Roman" w:hAnsi="Times New Roman"/>
        </w:rPr>
        <w:t>tools/make_realistic_data.py</w:t>
      </w:r>
      <w:r>
        <w:rPr>
          <w:rFonts w:ascii="Times New Roman" w:hAnsi="Times New Roman"/>
        </w:rPr>
        <w:t xml:space="preserve">): 160 scenes split evenly over two channels, with inland-vessel kinematics (acceleration, yaw-rate and bank-effect limits), per-report AIS loss (69.6 % of slots available), bridge and lock shadowing for radar (85.7 %) and camera occlusion </w:t>
      </w:r>
      <w:r>
        <w:rPr>
          <w:rFonts w:ascii="Times New Roman" w:hAnsi="Times New Roman" w:eastAsiaTheme="minorEastAsia" w:cstheme="minorBidi"/>
          <w:sz w:val="24"/>
          <w:szCs w:val="24"/>
          <w:lang w:val="en" w:eastAsia="zh-CN" w:bidi="ar-SA"/>
        </w:rPr>
        <w:t>a</w:t>
      </w:r>
      <w:r>
        <w:rPr>
          <w:rFonts w:ascii="Times New Roman" w:hAnsi="Times New Roman"/>
        </w:rPr>
        <w:t xml:space="preserve">nd aspect failures for vision (75.7 %), sensor clock offsets and per-sensor noise. The radar point clouds and the vision embeddings are synthesised from the simulated pose rather than captured, and the two "channels" are different parameterisations of the same generator rather than two real waterways. These numbers therefore validate the </w:t>
      </w:r>
      <w:r>
        <w:rPr>
          <w:rFonts w:ascii="Times New Roman" w:hAnsi="Times New Roman"/>
          <w:b/>
          <w:bCs/>
        </w:rPr>
        <w:t>pipeline and the implementation</w:t>
      </w:r>
      <w:r>
        <w:rPr>
          <w:rFonts w:ascii="Times New Roman" w:hAnsi="Times New Roman"/>
        </w:rPr>
        <w:t>; they are not measurements of field performance, and no claim about the method's accuracy on real inland traffic should be based on them.</w:t>
      </w:r>
    </w:p>
    <w:p w14:paraId="17B75DDB">
      <w:pPr>
        <w:pStyle w:val="23"/>
        <w:jc w:val="both"/>
      </w:pPr>
      <w:r>
        <w:rPr>
          <w:rFonts w:ascii="Times New Roman" w:hAnsi="Times New Roman"/>
          <w:b/>
          <w:bCs/>
        </w:rPr>
        <w:t>Reconciliation with the main text.</w:t>
      </w:r>
      <w:r>
        <w:rPr>
          <w:rFonts w:ascii="Times New Roman" w:hAnsi="Times New Roman"/>
        </w:rPr>
        <w:t xml:space="preserve"> An earlier revision of the main text still carried the field-study framing (2,156 recorded trajectories, an external MultiPath++ comparison, a 1.8 M "Tiny" variant and 28/71 FPS latency), and this section recorded the resulting conflicts. Those passages have since been rewritten: the main text now presents the work as a simulation study on InlandVessel-2K-Sim, quotes the capacity (0.40 M Tiny, 1.47 M full-width), the throughput (179 and 105 vessels/s on CPU), the accuracy ordering and the threshold (d</w:t>
      </w:r>
      <w:r>
        <w:rPr>
          <w:rFonts w:ascii="Times New Roman" w:hAnsi="Times New Roman"/>
          <w:vertAlign w:val="subscript"/>
        </w:rPr>
        <w:t>c</w:t>
      </w:r>
      <w:r>
        <w:rPr>
          <w:rFonts w:ascii="Times New Roman" w:hAnsi="Times New Roman"/>
        </w:rPr>
        <w:t xml:space="preserve"> = 150 m) that are measured here, drops the external baselines it cannot reproduce, and states in its Limitations that every reported number is simulated. The reconciliation of Tables S1–S4 with the main text is therefore complete.</w:t>
      </w:r>
    </w:p>
    <w:p w14:paraId="10109D09">
      <w:pPr>
        <w:pStyle w:val="23"/>
        <w:jc w:val="both"/>
      </w:pPr>
      <w:r>
        <w:rPr>
          <w:rFonts w:ascii="Times New Roman" w:hAnsi="Times New Roman"/>
          <w:b/>
          <w:bCs/>
        </w:rPr>
        <w:t>What still has to be replaced.</w:t>
      </w:r>
      <w:r>
        <w:rPr>
          <w:rFonts w:ascii="Times New Roman" w:hAnsi="Times New Roman"/>
        </w:rPr>
        <w:t xml:space="preserve"> Every table in this document must be re-run on field recordings before the study can make claims about real inland traffic. The simulator writes the field-recording </w:t>
      </w:r>
      <w:r>
        <w:rPr>
          <w:rStyle w:val="48"/>
          <w:rFonts w:ascii="Times New Roman" w:hAnsi="Times New Roman"/>
        </w:rPr>
        <w:t>.npz</w:t>
      </w:r>
      <w:r>
        <w:rPr>
          <w:rFonts w:ascii="Times New Roman" w:hAnsi="Times New Roman"/>
        </w:rPr>
        <w:t xml:space="preserve"> layout, the raw-to-npz path is documented in the code README, and </w:t>
      </w:r>
      <w:r>
        <w:rPr>
          <w:rStyle w:val="48"/>
          <w:rFonts w:ascii="Times New Roman" w:hAnsi="Times New Roman"/>
        </w:rPr>
        <w:t>tools/make_unaligned_variant.py</w:t>
      </w:r>
      <w:r>
        <w:rPr>
          <w:rFonts w:ascii="Times New Roman" w:hAnsi="Times New Roman"/>
        </w:rPr>
        <w:t xml:space="preserve"> shows the shape expected of the de-synchronised variant, so the substitution is a data swap rather than a code change. Until that is done, the values here validate the pipeline and the implementation only.</w:t>
      </w:r>
    </w:p>
    <w:bookmarkEnd w:id="15"/>
    <w:p w14:paraId="02DA1F59">
      <w:pPr>
        <w:pStyle w:val="4"/>
      </w:pPr>
      <w:bookmarkStart w:id="16" w:name="s8.-architecture-diagrams-section-5"/>
      <w:r>
        <w:rPr>
          <w:rFonts w:ascii="Times New Roman" w:hAnsi="Times New Roman"/>
        </w:rPr>
        <w:t>S8. Architecture diagrams (Section 5)</w:t>
      </w:r>
    </w:p>
    <w:p w14:paraId="48424212">
      <w:pPr>
        <w:pStyle w:val="23"/>
        <w:jc w:val="both"/>
      </w:pPr>
      <w:r>
        <w:rPr>
          <w:rFonts w:ascii="Times New Roman" w:hAnsi="Times New Roman"/>
        </w:rPr>
        <w:t>The four diagrams below detail the reference implementation of Section 5 of the main text: the overall four-stage pipeline, the three modality-specific encoders, the cross-modal temporal alignment and fusion module, and the spatiotemporal graph construction.</w:t>
      </w:r>
    </w:p>
    <w:p w14:paraId="7E81790F">
      <w:pPr>
        <w:pStyle w:val="3"/>
      </w:pPr>
      <w:r>
        <w:rPr>
          <w:rFonts w:ascii="Times New Roman" w:hAnsi="Times New Roman"/>
        </w:rPr>
        <w:drawing>
          <wp:inline distT="0" distB="0" distL="114300" distR="114300">
            <wp:extent cx="5334000" cy="1579245"/>
            <wp:effectExtent l="0" t="0" r="0" b="0"/>
            <wp:docPr id="2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pic:cNvPicPr>
                      <a:picLocks noChangeAspect="1" noChangeArrowheads="1"/>
                    </pic:cNvPicPr>
                  </pic:nvPicPr>
                  <pic:blipFill>
                    <a:blip r:embed="rId5"/>
                    <a:stretch>
                      <a:fillRect/>
                    </a:stretch>
                  </pic:blipFill>
                  <pic:spPr>
                    <a:xfrm>
                      <a:off x="0" y="0"/>
                      <a:ext cx="5334000" cy="1579684"/>
                    </a:xfrm>
                    <a:prstGeom prst="rect">
                      <a:avLst/>
                    </a:prstGeom>
                    <a:noFill/>
                    <a:ln w="9525">
                      <a:noFill/>
                    </a:ln>
                  </pic:spPr>
                </pic:pic>
              </a:graphicData>
            </a:graphic>
          </wp:inline>
        </w:drawing>
      </w:r>
    </w:p>
    <w:p w14:paraId="411536A7">
      <w:pPr>
        <w:pStyle w:val="23"/>
        <w:jc w:val="both"/>
      </w:pPr>
      <w:r>
        <w:rPr>
          <w:rFonts w:ascii="Times New Roman" w:hAnsi="Times New Roman"/>
          <w:b/>
          <w:bCs/>
        </w:rPr>
        <w:t>Supplementary Figure S1.</w:t>
      </w:r>
      <w:r>
        <w:rPr>
          <w:rFonts w:ascii="Times New Roman" w:hAnsi="Times New Roman"/>
        </w:rPr>
        <w:t xml:space="preserve"> Overall architecture of ST-GAT-Fusion. The four-stage pipeline comprises (A) modality-specific encoders for AIS, radar and vision streams, (B) DTW-based temporal alignment followed by 3-way masked cross-modal attention fusion, (C) a spatiotemporal graph over vessels and channel-bank context samples, and (D) stacked spatiotemporal graph attention layers with a Transformer decoder that emits the multi-step trajectory. The model is trained end-to-end with a joint ADE/FDE/heading loss.</w:t>
      </w:r>
    </w:p>
    <w:p w14:paraId="5DA062F3">
      <w:pPr>
        <w:pStyle w:val="3"/>
      </w:pPr>
      <w:r>
        <w:rPr>
          <w:rFonts w:ascii="Times New Roman" w:hAnsi="Times New Roman"/>
        </w:rPr>
        <w:drawing>
          <wp:inline distT="0" distB="0" distL="114300" distR="114300">
            <wp:extent cx="5334000" cy="2297430"/>
            <wp:effectExtent l="0" t="0" r="0" b="0"/>
            <wp:docPr id="2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pic:cNvPicPr>
                      <a:picLocks noChangeAspect="1" noChangeArrowheads="1"/>
                    </pic:cNvPicPr>
                  </pic:nvPicPr>
                  <pic:blipFill>
                    <a:blip r:embed="rId6"/>
                    <a:stretch>
                      <a:fillRect/>
                    </a:stretch>
                  </pic:blipFill>
                  <pic:spPr>
                    <a:xfrm>
                      <a:off x="0" y="0"/>
                      <a:ext cx="5334000" cy="2297723"/>
                    </a:xfrm>
                    <a:prstGeom prst="rect">
                      <a:avLst/>
                    </a:prstGeom>
                    <a:noFill/>
                    <a:ln w="9525">
                      <a:noFill/>
                    </a:ln>
                  </pic:spPr>
                </pic:pic>
              </a:graphicData>
            </a:graphic>
          </wp:inline>
        </w:drawing>
      </w:r>
    </w:p>
    <w:p w14:paraId="1C03A377">
      <w:pPr>
        <w:pStyle w:val="23"/>
        <w:jc w:val="both"/>
      </w:pPr>
      <w:r>
        <w:rPr>
          <w:rFonts w:ascii="Times New Roman" w:hAnsi="Times New Roman"/>
          <w:b/>
          <w:bCs/>
        </w:rPr>
        <w:t>Supplementary Figure S2.</w:t>
      </w:r>
      <w:r>
        <w:rPr>
          <w:rFonts w:ascii="Times New Roman" w:hAnsi="Times New Roman"/>
        </w:rPr>
        <w:t xml:space="preserve"> The three modality-specific encoders. (a) The AIS encoder applies a single-layer GRU to the 5-D scene-local kinematic sequence. (b) The radar encoder embeds each per-vessel point cloud with a multi-scale-grouping PointNet++-style block; the association of radar returns to vessels happens upstream, before the encoder. (c) The vision branch is an adapter over the 128-D per-vessel appearance embeddings produced upstream by a YOLOv8-nano detector and an OSNet Re-ID head.</w:t>
      </w:r>
    </w:p>
    <w:p w14:paraId="1A4E91E4">
      <w:pPr>
        <w:pStyle w:val="3"/>
      </w:pPr>
      <w:r>
        <w:rPr>
          <w:rFonts w:ascii="Times New Roman" w:hAnsi="Times New Roman"/>
        </w:rPr>
        <w:drawing>
          <wp:inline distT="0" distB="0" distL="114300" distR="114300">
            <wp:extent cx="5334000" cy="2215515"/>
            <wp:effectExtent l="0" t="0" r="0" b="0"/>
            <wp:docPr id="3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pic:cNvPicPr>
                      <a:picLocks noChangeAspect="1" noChangeArrowheads="1"/>
                    </pic:cNvPicPr>
                  </pic:nvPicPr>
                  <pic:blipFill>
                    <a:blip r:embed="rId7"/>
                    <a:stretch>
                      <a:fillRect/>
                    </a:stretch>
                  </pic:blipFill>
                  <pic:spPr>
                    <a:xfrm>
                      <a:off x="0" y="0"/>
                      <a:ext cx="5334000" cy="2215661"/>
                    </a:xfrm>
                    <a:prstGeom prst="rect">
                      <a:avLst/>
                    </a:prstGeom>
                    <a:noFill/>
                    <a:ln w="9525">
                      <a:noFill/>
                    </a:ln>
                  </pic:spPr>
                </pic:pic>
              </a:graphicData>
            </a:graphic>
          </wp:inline>
        </w:drawing>
      </w:r>
    </w:p>
    <w:p w14:paraId="0BD1029E">
      <w:pPr>
        <w:pStyle w:val="23"/>
        <w:jc w:val="both"/>
      </w:pPr>
      <w:r>
        <w:rPr>
          <w:rFonts w:ascii="Times New Roman" w:hAnsi="Times New Roman"/>
          <w:b/>
          <w:bCs/>
        </w:rPr>
        <w:t>Supplementary Figure S3.</w:t>
      </w:r>
      <w:r>
        <w:rPr>
          <w:rFonts w:ascii="Times New Roman" w:hAnsi="Times New Roman"/>
        </w:rPr>
        <w:t xml:space="preserve"> Cross-modal alignment and fusion. (a) DTW computes the minimum-cost monotonic path between the asynchronous AIS samples and radar scans; steps at which a source produced no observation are flagged in the modality mask. (b) The 3-way masked cross-modal attention uses the latest AIS state as query and zeroes the key/value rows of absent modalities before the softmax, which produces the fused representation.</w:t>
      </w:r>
    </w:p>
    <w:p w14:paraId="3C9C49DB">
      <w:pPr>
        <w:pStyle w:val="3"/>
      </w:pPr>
      <w:r>
        <w:rPr>
          <w:rFonts w:ascii="Times New Roman" w:hAnsi="Times New Roman"/>
        </w:rPr>
        <w:drawing>
          <wp:inline distT="0" distB="0" distL="114300" distR="114300">
            <wp:extent cx="5334000" cy="1852295"/>
            <wp:effectExtent l="0" t="0" r="0" b="0"/>
            <wp:docPr id="3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a:picLocks noChangeAspect="1" noChangeArrowheads="1"/>
                    </pic:cNvPicPr>
                  </pic:nvPicPr>
                  <pic:blipFill>
                    <a:blip r:embed="rId8"/>
                    <a:stretch>
                      <a:fillRect/>
                    </a:stretch>
                  </pic:blipFill>
                  <pic:spPr>
                    <a:xfrm>
                      <a:off x="0" y="0"/>
                      <a:ext cx="5334000" cy="1852352"/>
                    </a:xfrm>
                    <a:prstGeom prst="rect">
                      <a:avLst/>
                    </a:prstGeom>
                    <a:noFill/>
                    <a:ln w="9525">
                      <a:noFill/>
                    </a:ln>
                  </pic:spPr>
                </pic:pic>
              </a:graphicData>
            </a:graphic>
          </wp:inline>
        </w:drawing>
      </w:r>
    </w:p>
    <w:p w14:paraId="21F6DF65">
      <w:pPr>
        <w:pStyle w:val="23"/>
        <w:jc w:val="both"/>
      </w:pPr>
      <w:r>
        <w:rPr>
          <w:rFonts w:ascii="Times New Roman" w:hAnsi="Times New Roman"/>
          <w:b/>
          <w:bCs/>
        </w:rPr>
        <w:t>Supplementary Figure S4.</w:t>
      </w:r>
      <w:r>
        <w:rPr>
          <w:rFonts w:ascii="Times New Roman" w:hAnsi="Times New Roman"/>
        </w:rPr>
        <w:t xml:space="preserve"> Spatiotemporal graph at time step t. Solid dark-blue lines are spatial edges between vessels within the interaction radius; grey dashed arrows are temporal edges linking the same vessel across adjacent steps; green dotted lines are shore edges to the nearest channel-bank samples. Vessels beyon</w:t>
      </w:r>
      <w:bookmarkStart w:id="17" w:name="_GoBack"/>
      <w:bookmarkEnd w:id="17"/>
      <w:r>
        <w:rPr>
          <w:rFonts w:ascii="Times New Roman" w:hAnsi="Times New Roman"/>
        </w:rPr>
        <w:t>d the interaction radius receive no spatial edge. Self-loops are added at every node.</w:t>
      </w:r>
    </w:p>
    <w:bookmarkEnd w:id="0"/>
    <w:bookmarkEnd w:id="16"/>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egoe UI"/>
    <w:panose1 w:val="020B0004020202020204"/>
    <w:charset w:val="00"/>
    <w:family w:val="swiss"/>
    <w:pitch w:val="default"/>
    <w:sig w:usb0="00000000" w:usb1="00000000" w:usb2="00000000" w:usb3="00000000" w:csb0="0000019F" w:csb1="00000000"/>
  </w:font>
  <w:font w:name="等线">
    <w:panose1 w:val="02010600030101010101"/>
    <w:charset w:val="86"/>
    <w:family w:val="auto"/>
    <w:pitch w:val="default"/>
    <w:sig w:usb0="A00002BF" w:usb1="38CF7CFA" w:usb2="00000016" w:usb3="00000000" w:csb0="0004000F" w:csb1="00000000"/>
  </w:font>
  <w:font w:name="Aptos Display">
    <w:altName w:val="Segoe UI"/>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C26C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imes New Roman" w:hAnsi="Times New Roman" w:eastAsiaTheme="minorEastAsia" w:cstheme="minorBidi"/>
      <w:sz w:val="24"/>
      <w:szCs w:val="24"/>
      <w:lang w:val="en" w:eastAsia="zh-CN" w:bidi="ar-SA"/>
    </w:rPr>
  </w:style>
  <w:style w:type="paragraph" w:styleId="2">
    <w:name w:val="heading 1"/>
    <w:basedOn w:val="1"/>
    <w:next w:val="3"/>
    <w:link w:val="31"/>
    <w:qFormat/>
    <w:uiPriority w:val="9"/>
    <w:pPr>
      <w:keepNext/>
      <w:keepLines/>
      <w:spacing w:before="360" w:after="80"/>
      <w:outlineLvl w:val="0"/>
    </w:pPr>
    <w:rPr>
      <w:rFonts w:asciiTheme="majorHAnsi" w:hAnsiTheme="majorHAnsi" w:eastAsiaTheme="majorEastAsia" w:cstheme="majorBidi"/>
      <w:sz w:val="40"/>
      <w:szCs w:val="40"/>
    </w:rPr>
  </w:style>
  <w:style w:type="paragraph" w:styleId="4">
    <w:name w:val="heading 2"/>
    <w:basedOn w:val="1"/>
    <w:next w:val="3"/>
    <w:link w:val="32"/>
    <w:semiHidden/>
    <w:unhideWhenUsed/>
    <w:qFormat/>
    <w:uiPriority w:val="9"/>
    <w:pPr>
      <w:keepNext/>
      <w:keepLines/>
      <w:spacing w:before="160" w:after="80"/>
      <w:outlineLvl w:val="1"/>
    </w:pPr>
    <w:rPr>
      <w:rFonts w:asciiTheme="majorHAnsi" w:hAnsiTheme="majorHAnsi" w:eastAsiaTheme="majorEastAsia" w:cstheme="majorBidi"/>
      <w:sz w:val="32"/>
      <w:szCs w:val="32"/>
    </w:rPr>
  </w:style>
  <w:style w:type="paragraph" w:styleId="5">
    <w:name w:val="heading 3"/>
    <w:basedOn w:val="1"/>
    <w:next w:val="3"/>
    <w:link w:val="33"/>
    <w:semiHidden/>
    <w:unhideWhenUsed/>
    <w:qFormat/>
    <w:uiPriority w:val="9"/>
    <w:pPr>
      <w:keepNext/>
      <w:keepLines/>
      <w:spacing w:before="160" w:after="80"/>
      <w:outlineLvl w:val="2"/>
    </w:pPr>
    <w:rPr>
      <w:rFonts w:ascii="Times New Roman" w:hAnsi="Times New Roman" w:eastAsiaTheme="majorEastAsia" w:cstheme="majorBidi"/>
      <w:sz w:val="28"/>
      <w:szCs w:val="28"/>
    </w:rPr>
  </w:style>
  <w:style w:type="paragraph" w:styleId="6">
    <w:name w:val="heading 4"/>
    <w:basedOn w:val="1"/>
    <w:next w:val="3"/>
    <w:link w:val="34"/>
    <w:semiHidden/>
    <w:unhideWhenUsed/>
    <w:qFormat/>
    <w:uiPriority w:val="9"/>
    <w:pPr>
      <w:keepNext/>
      <w:keepLines/>
      <w:spacing w:before="80" w:after="40"/>
      <w:outlineLvl w:val="3"/>
    </w:pPr>
    <w:rPr>
      <w:rFonts w:ascii="Times New Roman" w:hAnsi="Times New Roman" w:eastAsiaTheme="majorEastAsia" w:cstheme="majorBidi"/>
      <w:i/>
      <w:iCs/>
    </w:rPr>
  </w:style>
  <w:style w:type="paragraph" w:styleId="7">
    <w:name w:val="heading 5"/>
    <w:basedOn w:val="1"/>
    <w:next w:val="3"/>
    <w:link w:val="35"/>
    <w:semiHidden/>
    <w:unhideWhenUsed/>
    <w:qFormat/>
    <w:uiPriority w:val="9"/>
    <w:pPr>
      <w:keepNext/>
      <w:keepLines/>
      <w:spacing w:before="80" w:after="40"/>
      <w:outlineLvl w:val="4"/>
    </w:pPr>
    <w:rPr>
      <w:rFonts w:eastAsiaTheme="majorEastAsia" w:cstheme="majorBidi"/>
    </w:rPr>
  </w:style>
  <w:style w:type="paragraph" w:styleId="8">
    <w:name w:val="heading 6"/>
    <w:basedOn w:val="1"/>
    <w:next w:val="3"/>
    <w:link w:val="36"/>
    <w:semiHidden/>
    <w:unhideWhenUsed/>
    <w:qFormat/>
    <w:uiPriority w:val="9"/>
    <w:pPr>
      <w:keepNext/>
      <w:keepLines/>
      <w:spacing w:before="40" w:after="0"/>
      <w:outlineLvl w:val="5"/>
    </w:pPr>
    <w:rPr>
      <w:rFonts w:eastAsiaTheme="majorEastAsia" w:cstheme="majorBidi"/>
      <w:i/>
      <w:iCs/>
    </w:rPr>
  </w:style>
  <w:style w:type="paragraph" w:styleId="9">
    <w:name w:val="heading 7"/>
    <w:basedOn w:val="1"/>
    <w:next w:val="3"/>
    <w:link w:val="37"/>
    <w:semiHidden/>
    <w:unhideWhenUsed/>
    <w:qFormat/>
    <w:uiPriority w:val="9"/>
    <w:pPr>
      <w:keepNext/>
      <w:keepLines/>
      <w:spacing w:before="40" w:after="0"/>
      <w:outlineLvl w:val="6"/>
    </w:pPr>
    <w:rPr>
      <w:rFonts w:eastAsiaTheme="majorEastAsia" w:cstheme="majorBidi"/>
    </w:rPr>
  </w:style>
  <w:style w:type="paragraph" w:styleId="10">
    <w:name w:val="heading 8"/>
    <w:basedOn w:val="1"/>
    <w:next w:val="3"/>
    <w:link w:val="38"/>
    <w:semiHidden/>
    <w:unhideWhenUsed/>
    <w:qFormat/>
    <w:uiPriority w:val="9"/>
    <w:pPr>
      <w:keepNext/>
      <w:keepLines/>
      <w:spacing w:after="0"/>
      <w:outlineLvl w:val="7"/>
    </w:pPr>
    <w:rPr>
      <w:rFonts w:eastAsiaTheme="majorEastAsia" w:cstheme="majorBidi"/>
      <w:i/>
      <w:iCs/>
    </w:rPr>
  </w:style>
  <w:style w:type="paragraph" w:styleId="11">
    <w:name w:val="heading 9"/>
    <w:basedOn w:val="1"/>
    <w:next w:val="3"/>
    <w:link w:val="39"/>
    <w:semiHidden/>
    <w:unhideWhenUsed/>
    <w:qFormat/>
    <w:uiPriority w:val="9"/>
    <w:pPr>
      <w:keepNext/>
      <w:keepLines/>
      <w:spacing w:after="0"/>
      <w:outlineLvl w:val="8"/>
    </w:pPr>
    <w:rPr>
      <w:rFonts w:eastAsiaTheme="majorEastAsia" w:cstheme="majorBidi"/>
    </w:rPr>
  </w:style>
  <w:style w:type="character" w:default="1" w:styleId="19">
    <w:name w:val="Default Paragraph Font"/>
    <w:semiHidden/>
    <w:unhideWhenUsed/>
    <w:qFormat/>
    <w:uiPriority w:val="0"/>
  </w:style>
  <w:style w:type="table" w:default="1" w:styleId="18">
    <w:name w:val="Normal Table"/>
    <w:uiPriority w:val="0"/>
    <w:tblPr>
      <w:tblCellMar>
        <w:top w:w="0" w:type="dxa"/>
        <w:left w:w="108" w:type="dxa"/>
        <w:bottom w:w="0" w:type="dxa"/>
        <w:right w:w="108" w:type="dxa"/>
      </w:tblCellMar>
    </w:tblPr>
  </w:style>
  <w:style w:type="paragraph" w:styleId="3">
    <w:name w:val="Body Text"/>
    <w:basedOn w:val="1"/>
    <w:link w:val="21"/>
    <w:qFormat/>
    <w:uiPriority w:val="0"/>
    <w:pPr>
      <w:spacing w:before="180" w:after="180"/>
    </w:pPr>
    <w:rPr>
      <w:rFonts w:ascii="Times New Roman" w:hAnsi="Times New Roman"/>
      <w:sz w:val="24"/>
    </w:r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basedOn w:val="15"/>
    <w:next w:val="3"/>
    <w:qFormat/>
    <w:uiPriority w:val="0"/>
    <w:pPr>
      <w:keepNext/>
      <w:keepLines/>
    </w:pPr>
    <w:rPr>
      <w:sz w:val="24"/>
      <w:szCs w:val="24"/>
    </w:rPr>
  </w:style>
  <w:style w:type="paragraph" w:styleId="15">
    <w:name w:val="Title"/>
    <w:basedOn w:val="1"/>
    <w:next w:val="3"/>
    <w:link w:val="25"/>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6">
    <w:name w:val="Subtitle"/>
    <w:basedOn w:val="15"/>
    <w:next w:val="3"/>
    <w:link w:val="26"/>
    <w:qFormat/>
    <w:uiPriority w:val="11"/>
    <w:rPr>
      <w:rFonts w:ascii="Times New Roman" w:hAnsi="Times New Roman" w:eastAsiaTheme="majorEastAsia" w:cstheme="majorBidi"/>
      <w:spacing w:val="15"/>
      <w:sz w:val="28"/>
      <w:szCs w:val="28"/>
    </w:rPr>
  </w:style>
  <w:style w:type="paragraph" w:styleId="17">
    <w:name w:val="footnote text"/>
    <w:basedOn w:val="1"/>
    <w:unhideWhenUsed/>
    <w:qFormat/>
    <w:uiPriority w:val="9"/>
  </w:style>
  <w:style w:type="character" w:styleId="20">
    <w:name w:val="Hyperlink"/>
    <w:basedOn w:val="21"/>
    <w:qFormat/>
    <w:uiPriority w:val="0"/>
    <w:rPr>
      <w:color w:val="156082" w:themeColor="accent1"/>
    </w:rPr>
  </w:style>
  <w:style w:type="character" w:customStyle="1" w:styleId="21">
    <w:name w:val="Body Text Char"/>
    <w:basedOn w:val="19"/>
    <w:link w:val="3"/>
    <w:qFormat/>
    <w:uiPriority w:val="0"/>
  </w:style>
  <w:style w:type="character" w:styleId="22">
    <w:name w:val="footnote reference"/>
    <w:basedOn w:val="21"/>
    <w:qFormat/>
    <w:uiPriority w:val="0"/>
    <w:rPr>
      <w:vertAlign w:val="superscript"/>
    </w:rPr>
  </w:style>
  <w:style w:type="paragraph" w:customStyle="1" w:styleId="23">
    <w:name w:val="First Paragraph"/>
    <w:basedOn w:val="3"/>
    <w:next w:val="3"/>
    <w:qFormat/>
    <w:uiPriority w:val="0"/>
    <w:rPr>
      <w:rFonts w:ascii="Times New Roman" w:hAnsi="Times New Roman"/>
      <w:sz w:val="24"/>
    </w:rPr>
  </w:style>
  <w:style w:type="paragraph" w:customStyle="1" w:styleId="24">
    <w:name w:val="Compact"/>
    <w:basedOn w:val="3"/>
    <w:qFormat/>
    <w:uiPriority w:val="0"/>
    <w:pPr>
      <w:spacing w:before="36" w:after="36"/>
    </w:pPr>
    <w:rPr>
      <w:rFonts w:ascii="Times New Roman" w:hAnsi="Times New Roman"/>
      <w:sz w:val="24"/>
    </w:rPr>
  </w:style>
  <w:style w:type="character" w:customStyle="1" w:styleId="25">
    <w:name w:val="Title Char"/>
    <w:basedOn w:val="19"/>
    <w:link w:val="15"/>
    <w:uiPriority w:val="10"/>
    <w:rPr>
      <w:rFonts w:asciiTheme="majorHAnsi" w:hAnsiTheme="majorHAnsi" w:eastAsiaTheme="majorEastAsia" w:cstheme="majorBidi"/>
      <w:sz w:val="56"/>
      <w:szCs w:val="56"/>
    </w:rPr>
  </w:style>
  <w:style w:type="character" w:customStyle="1" w:styleId="26">
    <w:name w:val="Subtitle Char"/>
    <w:basedOn w:val="19"/>
    <w:link w:val="16"/>
    <w:uiPriority w:val="11"/>
    <w:rPr>
      <w:rFonts w:eastAsiaTheme="majorEastAsia" w:cstheme="majorBidi"/>
      <w:color w:val="585858" w:themeColor="text1" w:themeTint="A6"/>
      <w:spacing w:val="15"/>
      <w:sz w:val="28"/>
      <w:szCs w:val="28"/>
    </w:rPr>
  </w:style>
  <w:style w:type="paragraph" w:customStyle="1" w:styleId="27">
    <w:name w:val="Author"/>
    <w:basedOn w:val="15"/>
    <w:next w:val="3"/>
    <w:qFormat/>
    <w:uiPriority w:val="0"/>
    <w:pPr>
      <w:keepNext/>
      <w:keepLines/>
    </w:pPr>
    <w:rPr>
      <w:rFonts w:ascii="Times New Roman" w:hAnsi="Times New Roman"/>
      <w:sz w:val="24"/>
      <w:szCs w:val="24"/>
    </w:rPr>
  </w:style>
  <w:style w:type="paragraph" w:customStyle="1" w:styleId="28">
    <w:name w:val="Abstract Title"/>
    <w:basedOn w:val="1"/>
    <w:next w:val="29"/>
    <w:qFormat/>
    <w:uiPriority w:val="0"/>
    <w:pPr>
      <w:keepNext/>
      <w:keepLines/>
      <w:spacing w:before="300" w:after="0"/>
      <w:jc w:val="center"/>
    </w:pPr>
    <w:rPr>
      <w:b/>
      <w:sz w:val="20"/>
      <w:szCs w:val="20"/>
    </w:rPr>
  </w:style>
  <w:style w:type="paragraph" w:customStyle="1" w:styleId="29">
    <w:name w:val="Abstract"/>
    <w:basedOn w:val="1"/>
    <w:next w:val="3"/>
    <w:qFormat/>
    <w:uiPriority w:val="0"/>
    <w:pPr>
      <w:keepNext/>
      <w:keepLines/>
      <w:spacing w:before="100" w:after="300"/>
    </w:pPr>
    <w:rPr>
      <w:sz w:val="20"/>
      <w:szCs w:val="20"/>
    </w:rPr>
  </w:style>
  <w:style w:type="paragraph" w:customStyle="1" w:styleId="30">
    <w:name w:val="Bibliography"/>
    <w:basedOn w:val="1"/>
    <w:qFormat/>
    <w:uiPriority w:val="0"/>
  </w:style>
  <w:style w:type="character" w:customStyle="1" w:styleId="31">
    <w:name w:val="Heading 1 Char"/>
    <w:basedOn w:val="19"/>
    <w:link w:val="2"/>
    <w:qFormat/>
    <w:uiPriority w:val="9"/>
    <w:rPr>
      <w:rFonts w:asciiTheme="majorHAnsi" w:hAnsiTheme="majorHAnsi" w:eastAsiaTheme="majorEastAsia" w:cstheme="majorBidi"/>
      <w:sz w:val="40"/>
      <w:szCs w:val="40"/>
    </w:rPr>
  </w:style>
  <w:style w:type="character" w:customStyle="1" w:styleId="32">
    <w:name w:val="Heading 2 Char"/>
    <w:basedOn w:val="19"/>
    <w:link w:val="4"/>
    <w:semiHidden/>
    <w:qFormat/>
    <w:uiPriority w:val="9"/>
    <w:rPr>
      <w:rFonts w:asciiTheme="majorHAnsi" w:hAnsiTheme="majorHAnsi" w:eastAsiaTheme="majorEastAsia" w:cstheme="majorBidi"/>
      <w:sz w:val="32"/>
      <w:szCs w:val="32"/>
    </w:rPr>
  </w:style>
  <w:style w:type="character" w:customStyle="1" w:styleId="33">
    <w:name w:val="Heading 3 Char"/>
    <w:basedOn w:val="19"/>
    <w:link w:val="5"/>
    <w:semiHidden/>
    <w:qFormat/>
    <w:uiPriority w:val="9"/>
    <w:rPr>
      <w:rFonts w:eastAsiaTheme="majorEastAsia" w:cstheme="majorBidi"/>
      <w:sz w:val="28"/>
      <w:szCs w:val="28"/>
    </w:rPr>
  </w:style>
  <w:style w:type="character" w:customStyle="1" w:styleId="34">
    <w:name w:val="Heading 4 Char"/>
    <w:basedOn w:val="19"/>
    <w:link w:val="6"/>
    <w:semiHidden/>
    <w:qFormat/>
    <w:uiPriority w:val="9"/>
    <w:rPr>
      <w:rFonts w:eastAsiaTheme="majorEastAsia" w:cstheme="majorBidi"/>
      <w:i/>
      <w:iCs/>
    </w:rPr>
  </w:style>
  <w:style w:type="character" w:customStyle="1" w:styleId="35">
    <w:name w:val="Heading 5 Char"/>
    <w:basedOn w:val="19"/>
    <w:link w:val="7"/>
    <w:semiHidden/>
    <w:qFormat/>
    <w:uiPriority w:val="9"/>
    <w:rPr>
      <w:rFonts w:eastAsiaTheme="majorEastAsia" w:cstheme="majorBidi"/>
    </w:rPr>
  </w:style>
  <w:style w:type="character" w:customStyle="1" w:styleId="36">
    <w:name w:val="Heading 6 Char"/>
    <w:basedOn w:val="19"/>
    <w:link w:val="8"/>
    <w:semiHidden/>
    <w:qFormat/>
    <w:uiPriority w:val="9"/>
    <w:rPr>
      <w:rFonts w:eastAsiaTheme="majorEastAsia" w:cstheme="majorBidi"/>
      <w:i/>
      <w:iCs/>
    </w:rPr>
  </w:style>
  <w:style w:type="character" w:customStyle="1" w:styleId="37">
    <w:name w:val="Heading 7 Char"/>
    <w:basedOn w:val="19"/>
    <w:link w:val="9"/>
    <w:semiHidden/>
    <w:qFormat/>
    <w:uiPriority w:val="9"/>
    <w:rPr>
      <w:rFonts w:eastAsiaTheme="majorEastAsia" w:cstheme="majorBidi"/>
    </w:rPr>
  </w:style>
  <w:style w:type="character" w:customStyle="1" w:styleId="38">
    <w:name w:val="Heading 8 Char"/>
    <w:basedOn w:val="19"/>
    <w:link w:val="10"/>
    <w:semiHidden/>
    <w:qFormat/>
    <w:uiPriority w:val="9"/>
    <w:rPr>
      <w:rFonts w:eastAsiaTheme="majorEastAsia" w:cstheme="majorBidi"/>
      <w:i/>
      <w:iCs/>
    </w:rPr>
  </w:style>
  <w:style w:type="character" w:customStyle="1" w:styleId="39">
    <w:name w:val="Heading 9 Char"/>
    <w:basedOn w:val="19"/>
    <w:link w:val="11"/>
    <w:semiHidden/>
    <w:qFormat/>
    <w:uiPriority w:val="9"/>
    <w:rPr>
      <w:rFonts w:eastAsiaTheme="majorEastAsia" w:cstheme="majorBidi"/>
    </w:rPr>
  </w:style>
  <w:style w:type="paragraph" w:customStyle="1" w:styleId="40">
    <w:name w:val="Footnote Block Text"/>
    <w:basedOn w:val="17"/>
    <w:next w:val="17"/>
    <w:unhideWhenUsed/>
    <w:qFormat/>
    <w:uiPriority w:val="9"/>
    <w:pPr>
      <w:spacing w:before="100" w:after="100"/>
      <w:ind w:left="480" w:right="480" w:firstLine="0"/>
    </w:pPr>
  </w:style>
  <w:style w:type="table" w:customStyle="1" w:styleId="41">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2">
    <w:name w:val="Definition Term"/>
    <w:basedOn w:val="1"/>
    <w:next w:val="43"/>
    <w:qFormat/>
    <w:uiPriority w:val="0"/>
    <w:pPr>
      <w:keepNext/>
      <w:keepLines/>
      <w:spacing w:after="0"/>
    </w:pPr>
    <w:rPr>
      <w:b/>
    </w:rPr>
  </w:style>
  <w:style w:type="paragraph" w:customStyle="1" w:styleId="43">
    <w:name w:val="Definition"/>
    <w:basedOn w:val="1"/>
    <w:qFormat/>
    <w:uiPriority w:val="0"/>
  </w:style>
  <w:style w:type="paragraph" w:customStyle="1" w:styleId="44">
    <w:name w:val="Table Caption"/>
    <w:basedOn w:val="12"/>
    <w:qFormat/>
    <w:uiPriority w:val="0"/>
    <w:pPr>
      <w:keepNext/>
    </w:pPr>
  </w:style>
  <w:style w:type="paragraph" w:customStyle="1" w:styleId="45">
    <w:name w:val="Image Caption"/>
    <w:basedOn w:val="12"/>
    <w:qFormat/>
    <w:uiPriority w:val="0"/>
  </w:style>
  <w:style w:type="paragraph" w:customStyle="1" w:styleId="46">
    <w:name w:val="Figure"/>
    <w:basedOn w:val="1"/>
    <w:qFormat/>
    <w:uiPriority w:val="0"/>
  </w:style>
  <w:style w:type="paragraph" w:customStyle="1" w:styleId="47">
    <w:name w:val="Captioned Figure"/>
    <w:basedOn w:val="46"/>
    <w:qFormat/>
    <w:uiPriority w:val="0"/>
    <w:pPr>
      <w:keepNext/>
    </w:pPr>
  </w:style>
  <w:style w:type="character" w:customStyle="1" w:styleId="48">
    <w:name w:val="Verbatim Char"/>
    <w:basedOn w:val="21"/>
    <w:link w:val="49"/>
    <w:qFormat/>
    <w:uiPriority w:val="0"/>
    <w:rPr>
      <w:rFonts w:ascii="Consolas" w:hAnsi="Consolas"/>
      <w:sz w:val="22"/>
    </w:rPr>
  </w:style>
  <w:style w:type="paragraph" w:customStyle="1" w:styleId="49">
    <w:name w:val="Source Code"/>
    <w:basedOn w:val="1"/>
    <w:link w:val="48"/>
    <w:qFormat/>
    <w:uiPriority w:val="0"/>
    <w:pPr>
      <w:wordWrap w:val="0"/>
    </w:pPr>
  </w:style>
  <w:style w:type="character" w:customStyle="1" w:styleId="50">
    <w:name w:val="Section Number"/>
    <w:basedOn w:val="21"/>
    <w:qFormat/>
    <w:uiPriority w:val="0"/>
  </w:style>
  <w:style w:type="paragraph" w:customStyle="1" w:styleId="51">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2">
    <w:name w:val="KeywordTok"/>
    <w:basedOn w:val="48"/>
    <w:qFormat/>
    <w:uiPriority w:val="0"/>
    <w:rPr>
      <w:b/>
      <w:color w:val="007020"/>
    </w:rPr>
  </w:style>
  <w:style w:type="character" w:customStyle="1" w:styleId="53">
    <w:name w:val="DataTypeTok"/>
    <w:basedOn w:val="48"/>
    <w:qFormat/>
    <w:uiPriority w:val="0"/>
    <w:rPr>
      <w:color w:val="902000"/>
    </w:rPr>
  </w:style>
  <w:style w:type="character" w:customStyle="1" w:styleId="54">
    <w:name w:val="DecValTok"/>
    <w:basedOn w:val="48"/>
    <w:qFormat/>
    <w:uiPriority w:val="0"/>
    <w:rPr>
      <w:color w:val="40A070"/>
    </w:rPr>
  </w:style>
  <w:style w:type="character" w:customStyle="1" w:styleId="55">
    <w:name w:val="BaseNTok"/>
    <w:basedOn w:val="48"/>
    <w:qFormat/>
    <w:uiPriority w:val="0"/>
    <w:rPr>
      <w:color w:val="40A070"/>
    </w:rPr>
  </w:style>
  <w:style w:type="character" w:customStyle="1" w:styleId="56">
    <w:name w:val="FloatTok"/>
    <w:basedOn w:val="48"/>
    <w:qFormat/>
    <w:uiPriority w:val="0"/>
    <w:rPr>
      <w:color w:val="40A070"/>
    </w:rPr>
  </w:style>
  <w:style w:type="character" w:customStyle="1" w:styleId="57">
    <w:name w:val="ConstantTok"/>
    <w:basedOn w:val="48"/>
    <w:qFormat/>
    <w:uiPriority w:val="0"/>
    <w:rPr>
      <w:color w:val="880000"/>
    </w:rPr>
  </w:style>
  <w:style w:type="character" w:customStyle="1" w:styleId="58">
    <w:name w:val="CharTok"/>
    <w:basedOn w:val="48"/>
    <w:qFormat/>
    <w:uiPriority w:val="0"/>
    <w:rPr>
      <w:color w:val="4070A0"/>
    </w:rPr>
  </w:style>
  <w:style w:type="character" w:customStyle="1" w:styleId="59">
    <w:name w:val="SpecialCharTok"/>
    <w:basedOn w:val="48"/>
    <w:uiPriority w:val="0"/>
    <w:rPr>
      <w:color w:val="4070A0"/>
    </w:rPr>
  </w:style>
  <w:style w:type="character" w:customStyle="1" w:styleId="60">
    <w:name w:val="StringTok"/>
    <w:basedOn w:val="48"/>
    <w:qFormat/>
    <w:uiPriority w:val="0"/>
    <w:rPr>
      <w:color w:val="4070A0"/>
    </w:rPr>
  </w:style>
  <w:style w:type="character" w:customStyle="1" w:styleId="61">
    <w:name w:val="VerbatimStringTok"/>
    <w:basedOn w:val="48"/>
    <w:qFormat/>
    <w:uiPriority w:val="0"/>
    <w:rPr>
      <w:color w:val="4070A0"/>
    </w:rPr>
  </w:style>
  <w:style w:type="character" w:customStyle="1" w:styleId="62">
    <w:name w:val="SpecialStringTok"/>
    <w:basedOn w:val="48"/>
    <w:qFormat/>
    <w:uiPriority w:val="0"/>
    <w:rPr>
      <w:color w:val="BB6688"/>
    </w:rPr>
  </w:style>
  <w:style w:type="character" w:customStyle="1" w:styleId="63">
    <w:name w:val="ImportTok"/>
    <w:basedOn w:val="48"/>
    <w:qFormat/>
    <w:uiPriority w:val="0"/>
    <w:rPr>
      <w:b/>
      <w:color w:val="008000"/>
    </w:rPr>
  </w:style>
  <w:style w:type="character" w:customStyle="1" w:styleId="64">
    <w:name w:val="CommentTok"/>
    <w:basedOn w:val="48"/>
    <w:qFormat/>
    <w:uiPriority w:val="0"/>
    <w:rPr>
      <w:i/>
      <w:color w:val="60A0B0"/>
    </w:rPr>
  </w:style>
  <w:style w:type="character" w:customStyle="1" w:styleId="65">
    <w:name w:val="DocumentationTok"/>
    <w:basedOn w:val="48"/>
    <w:qFormat/>
    <w:uiPriority w:val="0"/>
    <w:rPr>
      <w:i/>
      <w:color w:val="BA2121"/>
    </w:rPr>
  </w:style>
  <w:style w:type="character" w:customStyle="1" w:styleId="66">
    <w:name w:val="AnnotationTok"/>
    <w:basedOn w:val="48"/>
    <w:qFormat/>
    <w:uiPriority w:val="0"/>
    <w:rPr>
      <w:b/>
      <w:i/>
      <w:color w:val="60A0B0"/>
    </w:rPr>
  </w:style>
  <w:style w:type="character" w:customStyle="1" w:styleId="67">
    <w:name w:val="CommentVarTok"/>
    <w:basedOn w:val="48"/>
    <w:qFormat/>
    <w:uiPriority w:val="0"/>
    <w:rPr>
      <w:b/>
      <w:i/>
      <w:color w:val="60A0B0"/>
    </w:rPr>
  </w:style>
  <w:style w:type="character" w:customStyle="1" w:styleId="68">
    <w:name w:val="OtherTok"/>
    <w:basedOn w:val="48"/>
    <w:qFormat/>
    <w:uiPriority w:val="0"/>
    <w:rPr>
      <w:color w:val="007020"/>
    </w:rPr>
  </w:style>
  <w:style w:type="character" w:customStyle="1" w:styleId="69">
    <w:name w:val="FunctionTok"/>
    <w:basedOn w:val="48"/>
    <w:qFormat/>
    <w:uiPriority w:val="0"/>
    <w:rPr>
      <w:color w:val="06287E"/>
    </w:rPr>
  </w:style>
  <w:style w:type="character" w:customStyle="1" w:styleId="70">
    <w:name w:val="VariableTok"/>
    <w:basedOn w:val="48"/>
    <w:qFormat/>
    <w:uiPriority w:val="0"/>
    <w:rPr>
      <w:color w:val="19177C"/>
    </w:rPr>
  </w:style>
  <w:style w:type="character" w:customStyle="1" w:styleId="71">
    <w:name w:val="ControlFlowTok"/>
    <w:basedOn w:val="48"/>
    <w:qFormat/>
    <w:uiPriority w:val="0"/>
    <w:rPr>
      <w:b/>
      <w:color w:val="007020"/>
    </w:rPr>
  </w:style>
  <w:style w:type="character" w:customStyle="1" w:styleId="72">
    <w:name w:val="OperatorTok"/>
    <w:basedOn w:val="48"/>
    <w:qFormat/>
    <w:uiPriority w:val="0"/>
    <w:rPr>
      <w:color w:val="666666"/>
    </w:rPr>
  </w:style>
  <w:style w:type="character" w:customStyle="1" w:styleId="73">
    <w:name w:val="BuiltInTok"/>
    <w:basedOn w:val="48"/>
    <w:qFormat/>
    <w:uiPriority w:val="0"/>
    <w:rPr>
      <w:color w:val="008000"/>
    </w:rPr>
  </w:style>
  <w:style w:type="character" w:customStyle="1" w:styleId="74">
    <w:name w:val="ExtensionTok"/>
    <w:basedOn w:val="48"/>
    <w:uiPriority w:val="0"/>
  </w:style>
  <w:style w:type="character" w:customStyle="1" w:styleId="75">
    <w:name w:val="PreprocessorTok"/>
    <w:basedOn w:val="48"/>
    <w:qFormat/>
    <w:uiPriority w:val="0"/>
    <w:rPr>
      <w:color w:val="BC7A00"/>
    </w:rPr>
  </w:style>
  <w:style w:type="character" w:customStyle="1" w:styleId="76">
    <w:name w:val="AttributeTok"/>
    <w:basedOn w:val="48"/>
    <w:qFormat/>
    <w:uiPriority w:val="0"/>
    <w:rPr>
      <w:color w:val="7D9029"/>
    </w:rPr>
  </w:style>
  <w:style w:type="character" w:customStyle="1" w:styleId="77">
    <w:name w:val="RegionMarkerTok"/>
    <w:basedOn w:val="48"/>
    <w:qFormat/>
    <w:uiPriority w:val="0"/>
  </w:style>
  <w:style w:type="character" w:customStyle="1" w:styleId="78">
    <w:name w:val="InformationTok"/>
    <w:basedOn w:val="48"/>
    <w:qFormat/>
    <w:uiPriority w:val="0"/>
    <w:rPr>
      <w:b/>
      <w:i/>
      <w:color w:val="60A0B0"/>
    </w:rPr>
  </w:style>
  <w:style w:type="character" w:customStyle="1" w:styleId="79">
    <w:name w:val="WarningTok"/>
    <w:basedOn w:val="48"/>
    <w:qFormat/>
    <w:uiPriority w:val="0"/>
    <w:rPr>
      <w:b/>
      <w:i/>
      <w:color w:val="60A0B0"/>
    </w:rPr>
  </w:style>
  <w:style w:type="character" w:customStyle="1" w:styleId="80">
    <w:name w:val="AlertTok"/>
    <w:basedOn w:val="48"/>
    <w:qFormat/>
    <w:uiPriority w:val="0"/>
    <w:rPr>
      <w:b/>
      <w:color w:val="FF0000"/>
    </w:rPr>
  </w:style>
  <w:style w:type="character" w:customStyle="1" w:styleId="81">
    <w:name w:val="ErrorTok"/>
    <w:basedOn w:val="48"/>
    <w:uiPriority w:val="0"/>
    <w:rPr>
      <w:b/>
      <w:color w:val="FF0000"/>
    </w:rPr>
  </w:style>
  <w:style w:type="character" w:customStyle="1" w:styleId="82">
    <w:name w:val="NormalTok"/>
    <w:basedOn w:val="48"/>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4072</Words>
  <Characters>21927</Characters>
  <Lines>12</Lines>
  <Paragraphs>8</Paragraphs>
  <TotalTime>7</TotalTime>
  <ScaleCrop>false</ScaleCrop>
  <LinksUpToDate>false</LinksUpToDate>
  <CharactersWithSpaces>25655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2026-10-06T02:14:00Z</dcterms:created>
  <dc:creator>钟军凯</dc:creator>
  <cp:lastModifiedBy>钟军凯</cp:lastModifiedBy>
  <dcterms:modified xsi:type="dcterms:W3CDTF">2026-10-06T02:24:21Z</dcterms:modified>
  <dc:title>Supplementary Material: ST-GAT-Fusion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eyJoZGlkIjoiYThjYjliOGZmNzQ4MDkxMzE4Yzc1ZjgzOWExNjliZDciLCJ1c2VySWQiOiIyNjEyNTA2NjEifQ==</vt:lpwstr>
  </property>
  <property fmtid="{D5CDD505-2E9C-101B-9397-08002B2CF9AE}" pid="3" name="KSOProductBuildVer">
    <vt:lpwstr>2052-12.1.0.28505</vt:lpwstr>
  </property>
  <property fmtid="{D5CDD505-2E9C-101B-9397-08002B2CF9AE}" pid="4" name="ICV">
    <vt:lpwstr>99F2C35C673741C7BDD68B9BF3714401_13</vt:lpwstr>
  </property>
</Properties>
</file>