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43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bidi="ar"/>
        </w:rPr>
        <w:t xml:space="preserve">Appendix 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highlight w:val="none"/>
          <w:lang w:val="en-US" w:eastAsia="zh-CN" w:bidi="ar"/>
        </w:rPr>
        <w:t>Figure S1. Study workflow diagram.</w:t>
      </w:r>
    </w:p>
    <w:p w14:paraId="37F04E19">
      <w:pPr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highlight w:val="none"/>
          <w:lang w:val="en-US" w:eastAsia="zh-CN"/>
        </w:rPr>
        <w:drawing>
          <wp:inline distT="0" distB="0" distL="114300" distR="114300">
            <wp:extent cx="5760720" cy="2592070"/>
            <wp:effectExtent l="0" t="0" r="1905" b="8255"/>
            <wp:docPr id="5" name="图片 5" descr="Figure_4_Study_workf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_4_Study_workflow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6C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>Eighty synthetic cardiovascular primary prevention scenarios were each rendered into five risk-presentation formats, administered in Chinese and English arms, and answered independently three times by each of the three LLMs (7,200 responses in total). Responses were scored against a locked gold standard by two independently implemented automated scorers (R and Python). ARR, absolute risk reduction; ARI, absolute risk increase; NNT, number needed to treat; NNH, number needed to harm.</w:t>
      </w:r>
    </w:p>
    <w:p w14:paraId="469D4056">
      <w:pPr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highlight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D36F5"/>
    <w:rsid w:val="5D1D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2026-09-25T15:02:00Z</dcterms:created>
  <dc:creator>焦韵涵</dc:creator>
  <cp:lastModifiedBy>焦韵涵</cp:lastModifiedBy>
  <dcterms:modified xsi:type="dcterms:W3CDTF">2026-09-25T15:03:48Z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886E643225DA4ADA8D0E676BF6AFB358_11</vt:lpwstr>
  </property>
  <property fmtid="{D5CDD505-2E9C-101B-9397-08002B2CF9AE}" pid="4" name="KSOTemplateDocerSaveRecord">
    <vt:lpwstr>eyJoZGlkIjoiMzEwNTM5NzYwMDRjMzkwZTVkZjY2ODkwMGIxNGU0OTUiLCJ1c2VySWQiOiIzMzg4ODQzMTcifQ==</vt:lpwstr>
  </property>
</Properties>
</file>