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2E021" w14:textId="77777777" w:rsidR="00C723C7" w:rsidRDefault="00000000">
      <w:pPr>
        <w:spacing w:line="360" w:lineRule="exact"/>
        <w:rPr>
          <w:rFonts w:ascii="Times New Roman" w:hAnsi="Times New Roman" w:cs="Times New Roman"/>
          <w:b/>
          <w:bCs/>
          <w:szCs w:val="21"/>
        </w:rPr>
      </w:pPr>
      <w:r>
        <w:rPr>
          <w:rFonts w:ascii="Times New Roman" w:hAnsi="Times New Roman" w:cs="Times New Roman"/>
          <w:b/>
          <w:bCs/>
          <w:szCs w:val="21"/>
        </w:rPr>
        <w:t xml:space="preserve">A Biologically Interpretable Multimodal Model for Prognostic Risk Stratification and Glucocorticoid-Associated Outcome Heterogeneity in </w:t>
      </w:r>
      <w:r>
        <w:rPr>
          <w:rFonts w:ascii="Times New Roman" w:hAnsi="Times New Roman" w:cs="Times New Roman" w:hint="eastAsia"/>
          <w:b/>
          <w:bCs/>
          <w:szCs w:val="21"/>
        </w:rPr>
        <w:t>A</w:t>
      </w:r>
      <w:r>
        <w:rPr>
          <w:rFonts w:ascii="Times New Roman" w:hAnsi="Times New Roman" w:cs="Times New Roman"/>
          <w:b/>
          <w:bCs/>
          <w:szCs w:val="21"/>
        </w:rPr>
        <w:t xml:space="preserve">cute </w:t>
      </w:r>
      <w:r>
        <w:rPr>
          <w:rFonts w:ascii="Times New Roman" w:hAnsi="Times New Roman" w:cs="Times New Roman" w:hint="eastAsia"/>
          <w:b/>
          <w:bCs/>
          <w:szCs w:val="21"/>
        </w:rPr>
        <w:t>R</w:t>
      </w:r>
      <w:r>
        <w:rPr>
          <w:rFonts w:ascii="Times New Roman" w:hAnsi="Times New Roman" w:cs="Times New Roman"/>
          <w:b/>
          <w:bCs/>
          <w:szCs w:val="21"/>
        </w:rPr>
        <w:t xml:space="preserve">espiratory </w:t>
      </w:r>
      <w:r>
        <w:rPr>
          <w:rFonts w:ascii="Times New Roman" w:hAnsi="Times New Roman" w:cs="Times New Roman" w:hint="eastAsia"/>
          <w:b/>
          <w:bCs/>
          <w:szCs w:val="21"/>
        </w:rPr>
        <w:t>D</w:t>
      </w:r>
      <w:r>
        <w:rPr>
          <w:rFonts w:ascii="Times New Roman" w:hAnsi="Times New Roman" w:cs="Times New Roman"/>
          <w:b/>
          <w:bCs/>
          <w:szCs w:val="21"/>
        </w:rPr>
        <w:t xml:space="preserve">istress </w:t>
      </w:r>
      <w:r>
        <w:rPr>
          <w:rFonts w:ascii="Times New Roman" w:hAnsi="Times New Roman" w:cs="Times New Roman" w:hint="eastAsia"/>
          <w:b/>
          <w:bCs/>
          <w:szCs w:val="21"/>
        </w:rPr>
        <w:t>S</w:t>
      </w:r>
      <w:r>
        <w:rPr>
          <w:rFonts w:ascii="Times New Roman" w:hAnsi="Times New Roman" w:cs="Times New Roman"/>
          <w:b/>
          <w:bCs/>
          <w:szCs w:val="21"/>
        </w:rPr>
        <w:t xml:space="preserve">yndrome </w:t>
      </w:r>
      <w:r>
        <w:rPr>
          <w:rFonts w:ascii="Times New Roman" w:hAnsi="Times New Roman" w:cs="Times New Roman" w:hint="eastAsia"/>
          <w:b/>
          <w:bCs/>
          <w:szCs w:val="21"/>
        </w:rPr>
        <w:t>(</w:t>
      </w:r>
      <w:r>
        <w:rPr>
          <w:rFonts w:ascii="Times New Roman" w:hAnsi="Times New Roman" w:cs="Times New Roman"/>
          <w:b/>
          <w:bCs/>
          <w:szCs w:val="21"/>
        </w:rPr>
        <w:t>ARDS</w:t>
      </w:r>
      <w:r>
        <w:rPr>
          <w:rFonts w:ascii="Times New Roman" w:hAnsi="Times New Roman" w:cs="Times New Roman" w:hint="eastAsia"/>
          <w:b/>
          <w:bCs/>
          <w:szCs w:val="21"/>
        </w:rPr>
        <w:t>)</w:t>
      </w:r>
    </w:p>
    <w:p w14:paraId="10599C0B" w14:textId="77777777" w:rsidR="00C723C7" w:rsidRDefault="00C723C7">
      <w:pPr>
        <w:spacing w:line="360" w:lineRule="exact"/>
        <w:rPr>
          <w:rFonts w:ascii="Times New Roman" w:hAnsi="Times New Roman" w:cs="Times New Roman"/>
          <w:b/>
          <w:bCs/>
        </w:rPr>
      </w:pPr>
    </w:p>
    <w:p w14:paraId="345E539D" w14:textId="77777777" w:rsidR="0068154F" w:rsidRDefault="0068154F" w:rsidP="0068154F">
      <w:pPr>
        <w:spacing w:line="440" w:lineRule="exact"/>
        <w:rPr>
          <w:rFonts w:ascii="Times New Roman" w:hAnsi="Times New Roman" w:cs="Times New Roman"/>
        </w:rPr>
      </w:pPr>
      <w:r>
        <w:rPr>
          <w:rFonts w:ascii="Times New Roman" w:hAnsi="Times New Roman" w:cs="Times New Roman"/>
        </w:rPr>
        <w:t>Mengna Lin</w:t>
      </w:r>
      <w:r>
        <w:rPr>
          <w:rFonts w:ascii="Times New Roman" w:hAnsi="Times New Roman" w:cs="Times New Roman"/>
          <w:vertAlign w:val="superscript"/>
        </w:rPr>
        <w:t xml:space="preserve">1, </w:t>
      </w:r>
      <w:r>
        <w:rPr>
          <w:rFonts w:ascii="Times New Roman" w:hAnsi="Times New Roman" w:cs="Times New Roman"/>
          <w:b/>
          <w:bCs/>
          <w:vertAlign w:val="superscript"/>
        </w:rPr>
        <w:t>†</w:t>
      </w:r>
      <w:r>
        <w:rPr>
          <w:rFonts w:ascii="Times New Roman" w:hAnsi="Times New Roman" w:cs="Times New Roman"/>
        </w:rPr>
        <w:t>, Su Lu</w:t>
      </w:r>
      <w:r>
        <w:rPr>
          <w:rFonts w:ascii="Times New Roman" w:hAnsi="Times New Roman" w:cs="Times New Roman"/>
          <w:vertAlign w:val="superscript"/>
        </w:rPr>
        <w:t xml:space="preserve">1, </w:t>
      </w:r>
      <w:r>
        <w:rPr>
          <w:rFonts w:ascii="Times New Roman" w:hAnsi="Times New Roman" w:cs="Times New Roman"/>
          <w:b/>
          <w:bCs/>
          <w:vertAlign w:val="superscript"/>
        </w:rPr>
        <w:t>†</w:t>
      </w:r>
      <w:r>
        <w:rPr>
          <w:rFonts w:ascii="Times New Roman" w:hAnsi="Times New Roman" w:cs="Times New Roman"/>
        </w:rPr>
        <w:t>, Yan Zeng</w:t>
      </w:r>
      <w:r>
        <w:rPr>
          <w:rFonts w:ascii="Times New Roman" w:hAnsi="Times New Roman" w:cs="Times New Roman"/>
          <w:vertAlign w:val="superscript"/>
        </w:rPr>
        <w:t xml:space="preserve">2, </w:t>
      </w:r>
      <w:r>
        <w:rPr>
          <w:rFonts w:ascii="Times New Roman" w:hAnsi="Times New Roman" w:cs="Times New Roman"/>
          <w:b/>
          <w:bCs/>
          <w:vertAlign w:val="superscript"/>
        </w:rPr>
        <w:t>†</w:t>
      </w:r>
      <w:r>
        <w:rPr>
          <w:rFonts w:ascii="Times New Roman" w:hAnsi="Times New Roman" w:cs="Times New Roman"/>
        </w:rPr>
        <w:t>,</w:t>
      </w:r>
      <w:r>
        <w:rPr>
          <w:rFonts w:ascii="Times New Roman" w:hAnsi="Times New Roman" w:cs="Times New Roman" w:hint="eastAsia"/>
        </w:rPr>
        <w:t xml:space="preserve"> Na Zheng</w:t>
      </w:r>
      <w:r>
        <w:rPr>
          <w:rFonts w:ascii="Times New Roman" w:hAnsi="Times New Roman" w:cs="Times New Roman"/>
          <w:vertAlign w:val="superscript"/>
        </w:rPr>
        <w:t>1</w:t>
      </w:r>
      <w:r>
        <w:rPr>
          <w:rFonts w:ascii="Times New Roman" w:hAnsi="Times New Roman" w:cs="Times New Roman" w:hint="eastAsia"/>
        </w:rPr>
        <w:t xml:space="preserve">, </w:t>
      </w:r>
      <w:r>
        <w:rPr>
          <w:rFonts w:ascii="Times New Roman" w:hAnsi="Times New Roman" w:cs="Times New Roman"/>
        </w:rPr>
        <w:t>Yumei Chen</w:t>
      </w:r>
      <w:r>
        <w:rPr>
          <w:rFonts w:ascii="Times New Roman" w:hAnsi="Times New Roman" w:cs="Times New Roman"/>
          <w:vertAlign w:val="superscript"/>
        </w:rPr>
        <w:t>1</w:t>
      </w:r>
      <w:r>
        <w:rPr>
          <w:rFonts w:ascii="Times New Roman" w:hAnsi="Times New Roman" w:cs="Times New Roman"/>
        </w:rPr>
        <w:t>, Chen Chen</w:t>
      </w:r>
      <w:r>
        <w:rPr>
          <w:rFonts w:ascii="Times New Roman" w:hAnsi="Times New Roman" w:cs="Times New Roman"/>
          <w:vertAlign w:val="superscript"/>
        </w:rPr>
        <w:t>1</w:t>
      </w:r>
      <w:r>
        <w:rPr>
          <w:rFonts w:ascii="Times New Roman" w:hAnsi="Times New Roman" w:cs="Times New Roman"/>
        </w:rPr>
        <w:t>,</w:t>
      </w:r>
      <w:r>
        <w:rPr>
          <w:rFonts w:ascii="Times New Roman" w:hAnsi="Times New Roman" w:cs="Times New Roman" w:hint="eastAsia"/>
        </w:rPr>
        <w:t xml:space="preserve"> </w:t>
      </w:r>
      <w:r>
        <w:rPr>
          <w:rFonts w:ascii="Times New Roman" w:hAnsi="Times New Roman" w:cs="Times New Roman"/>
        </w:rPr>
        <w:t>Xiaojing Zou</w:t>
      </w:r>
      <w:r>
        <w:rPr>
          <w:rFonts w:ascii="Times New Roman" w:hAnsi="Times New Roman" w:cs="Times New Roman" w:hint="eastAsia"/>
          <w:vertAlign w:val="superscript"/>
        </w:rPr>
        <w:t>3</w:t>
      </w:r>
      <w:r>
        <w:rPr>
          <w:rFonts w:ascii="Times New Roman" w:hAnsi="Times New Roman" w:cs="Times New Roman"/>
        </w:rPr>
        <w:t>, Feixiang</w:t>
      </w:r>
      <w:r>
        <w:rPr>
          <w:rFonts w:ascii="Times New Roman" w:hAnsi="Times New Roman" w:cs="Times New Roman" w:hint="eastAsia"/>
        </w:rPr>
        <w:t xml:space="preserve"> </w:t>
      </w:r>
      <w:r>
        <w:rPr>
          <w:rFonts w:ascii="Times New Roman" w:hAnsi="Times New Roman" w:cs="Times New Roman"/>
        </w:rPr>
        <w:t>Xu</w:t>
      </w:r>
      <w:r>
        <w:rPr>
          <w:rFonts w:ascii="Times New Roman" w:hAnsi="Times New Roman" w:cs="Times New Roman"/>
          <w:vertAlign w:val="superscript"/>
        </w:rPr>
        <w:t>1</w:t>
      </w:r>
      <w:r>
        <w:rPr>
          <w:rFonts w:ascii="Times New Roman" w:hAnsi="Times New Roman" w:cs="Times New Roman"/>
        </w:rPr>
        <w:t>, Zhiwei Chen</w:t>
      </w:r>
      <w:r>
        <w:rPr>
          <w:rFonts w:ascii="Times New Roman" w:hAnsi="Times New Roman" w:cs="Times New Roman" w:hint="eastAsia"/>
          <w:vertAlign w:val="superscript"/>
        </w:rPr>
        <w:t>4</w:t>
      </w:r>
      <w:r>
        <w:rPr>
          <w:rFonts w:ascii="Times New Roman" w:hAnsi="Times New Roman" w:cs="Times New Roman"/>
        </w:rPr>
        <w:t>, Simeng Wu</w:t>
      </w:r>
      <w:r>
        <w:rPr>
          <w:rFonts w:ascii="Times New Roman" w:hAnsi="Times New Roman" w:cs="Times New Roman" w:hint="eastAsia"/>
          <w:vertAlign w:val="superscript"/>
        </w:rPr>
        <w:t>4</w:t>
      </w:r>
      <w:r>
        <w:rPr>
          <w:rFonts w:ascii="Times New Roman" w:hAnsi="Times New Roman" w:cs="Times New Roman"/>
        </w:rPr>
        <w:t>, Chengjin Gao</w:t>
      </w:r>
      <w:r>
        <w:rPr>
          <w:rFonts w:ascii="Times New Roman" w:hAnsi="Times New Roman" w:cs="Times New Roman" w:hint="eastAsia"/>
          <w:vertAlign w:val="superscript"/>
        </w:rPr>
        <w:t>5</w:t>
      </w:r>
      <w:r>
        <w:rPr>
          <w:rFonts w:ascii="Times New Roman" w:hAnsi="Times New Roman" w:cs="Times New Roman"/>
        </w:rPr>
        <w:t>, Xueling Wu</w:t>
      </w:r>
      <w:r>
        <w:rPr>
          <w:rFonts w:ascii="Times New Roman" w:hAnsi="Times New Roman" w:cs="Times New Roman" w:hint="eastAsia"/>
          <w:vertAlign w:val="superscript"/>
        </w:rPr>
        <w:t>6</w:t>
      </w:r>
      <w:r>
        <w:rPr>
          <w:rFonts w:ascii="Times New Roman" w:hAnsi="Times New Roman" w:cs="Times New Roman"/>
        </w:rPr>
        <w:t>, Zhaocai Zhang</w:t>
      </w:r>
      <w:r>
        <w:rPr>
          <w:rFonts w:ascii="Times New Roman" w:hAnsi="Times New Roman" w:cs="Times New Roman" w:hint="eastAsia"/>
          <w:vertAlign w:val="superscript"/>
        </w:rPr>
        <w:t>7</w:t>
      </w:r>
      <w:r>
        <w:rPr>
          <w:rFonts w:ascii="Times New Roman" w:hAnsi="Times New Roman" w:cs="Times New Roman"/>
        </w:rPr>
        <w:t>, Qi Liu</w:t>
      </w:r>
      <w:r>
        <w:rPr>
          <w:rFonts w:ascii="Times New Roman" w:hAnsi="Times New Roman" w:cs="Times New Roman" w:hint="eastAsia"/>
          <w:vertAlign w:val="superscript"/>
        </w:rPr>
        <w:t>8</w:t>
      </w:r>
      <w:r>
        <w:rPr>
          <w:rFonts w:ascii="Times New Roman" w:hAnsi="Times New Roman" w:cs="Times New Roman"/>
        </w:rPr>
        <w:t>, Yao Shen</w:t>
      </w:r>
      <w:r>
        <w:rPr>
          <w:rFonts w:ascii="Times New Roman" w:hAnsi="Times New Roman" w:cs="Times New Roman" w:hint="eastAsia"/>
          <w:vertAlign w:val="superscript"/>
        </w:rPr>
        <w:t>9</w:t>
      </w:r>
      <w:r>
        <w:rPr>
          <w:rFonts w:ascii="Times New Roman" w:hAnsi="Times New Roman" w:cs="Times New Roman"/>
        </w:rPr>
        <w:t>, Yiyan Lin</w:t>
      </w:r>
      <w:r>
        <w:rPr>
          <w:rFonts w:ascii="Times New Roman" w:hAnsi="Times New Roman" w:cs="Times New Roman"/>
          <w:vertAlign w:val="superscript"/>
        </w:rPr>
        <w:t>1</w:t>
      </w:r>
      <w:r>
        <w:rPr>
          <w:rFonts w:ascii="Times New Roman" w:hAnsi="Times New Roman" w:cs="Times New Roman" w:hint="eastAsia"/>
          <w:vertAlign w:val="superscript"/>
        </w:rPr>
        <w:t>0</w:t>
      </w:r>
      <w:r>
        <w:rPr>
          <w:rFonts w:ascii="Times New Roman" w:hAnsi="Times New Roman" w:cs="Times New Roman"/>
        </w:rPr>
        <w:t>, Yiyu Deng</w:t>
      </w:r>
      <w:r>
        <w:rPr>
          <w:rFonts w:ascii="Times New Roman" w:hAnsi="Times New Roman" w:cs="Times New Roman"/>
          <w:vertAlign w:val="superscript"/>
        </w:rPr>
        <w:t>1</w:t>
      </w:r>
      <w:r>
        <w:rPr>
          <w:rFonts w:ascii="Times New Roman" w:hAnsi="Times New Roman" w:cs="Times New Roman" w:hint="eastAsia"/>
          <w:vertAlign w:val="superscript"/>
        </w:rPr>
        <w:t>0</w:t>
      </w:r>
      <w:r>
        <w:rPr>
          <w:rFonts w:ascii="Times New Roman" w:hAnsi="Times New Roman" w:cs="Times New Roman"/>
        </w:rPr>
        <w:t>,</w:t>
      </w:r>
      <w:r>
        <w:rPr>
          <w:rFonts w:ascii="Times New Roman" w:hAnsi="Times New Roman" w:cs="Times New Roman" w:hint="eastAsia"/>
        </w:rPr>
        <w:t xml:space="preserve"> </w:t>
      </w:r>
      <w:r>
        <w:rPr>
          <w:rFonts w:ascii="Times New Roman" w:hAnsi="Times New Roman" w:cs="Times New Roman"/>
        </w:rPr>
        <w:t>Ran Ji</w:t>
      </w:r>
      <w:r>
        <w:rPr>
          <w:rFonts w:ascii="Times New Roman" w:hAnsi="Times New Roman" w:cs="Times New Roman" w:hint="eastAsia"/>
          <w:vertAlign w:val="superscript"/>
        </w:rPr>
        <w:t>7</w:t>
      </w:r>
      <w:r>
        <w:rPr>
          <w:rFonts w:ascii="Times New Roman" w:hAnsi="Times New Roman" w:cs="Times New Roman"/>
        </w:rPr>
        <w:t>, Jianfeng Song</w:t>
      </w:r>
      <w:r>
        <w:rPr>
          <w:rFonts w:ascii="Times New Roman" w:hAnsi="Times New Roman" w:cs="Times New Roman" w:hint="eastAsia"/>
          <w:vertAlign w:val="superscript"/>
        </w:rPr>
        <w:t>11</w:t>
      </w:r>
      <w:r>
        <w:rPr>
          <w:rFonts w:ascii="Times New Roman" w:hAnsi="Times New Roman" w:cs="Times New Roman"/>
        </w:rPr>
        <w:t xml:space="preserve">, </w:t>
      </w:r>
      <w:r>
        <w:rPr>
          <w:rFonts w:ascii="Times New Roman" w:hAnsi="Times New Roman" w:cs="Times New Roman" w:hint="eastAsia"/>
        </w:rPr>
        <w:t>Lu Wang</w:t>
      </w:r>
      <w:r>
        <w:rPr>
          <w:rFonts w:ascii="Times New Roman" w:hAnsi="Times New Roman" w:cs="Times New Roman" w:hint="eastAsia"/>
          <w:vertAlign w:val="superscript"/>
        </w:rPr>
        <w:t>12</w:t>
      </w:r>
      <w:r>
        <w:rPr>
          <w:rFonts w:ascii="Times New Roman" w:hAnsi="Times New Roman" w:cs="Times New Roman" w:hint="eastAsia"/>
        </w:rPr>
        <w:t>, Chengchao Peng</w:t>
      </w:r>
      <w:r>
        <w:rPr>
          <w:rFonts w:ascii="Times New Roman" w:hAnsi="Times New Roman" w:cs="Times New Roman" w:hint="eastAsia"/>
          <w:vertAlign w:val="superscript"/>
        </w:rPr>
        <w:t>3</w:t>
      </w:r>
      <w:r>
        <w:rPr>
          <w:rFonts w:ascii="Times New Roman" w:hAnsi="Times New Roman" w:cs="Times New Roman" w:hint="eastAsia"/>
        </w:rPr>
        <w:t>, Xue Tian</w:t>
      </w:r>
      <w:r>
        <w:rPr>
          <w:rFonts w:ascii="Times New Roman" w:hAnsi="Times New Roman" w:cs="Times New Roman" w:hint="eastAsia"/>
          <w:vertAlign w:val="superscript"/>
        </w:rPr>
        <w:t>3</w:t>
      </w:r>
      <w:r>
        <w:rPr>
          <w:rFonts w:ascii="Times New Roman" w:hAnsi="Times New Roman" w:cs="Times New Roman" w:hint="eastAsia"/>
        </w:rPr>
        <w:t xml:space="preserve">, </w:t>
      </w:r>
      <w:r>
        <w:rPr>
          <w:rFonts w:ascii="Times New Roman" w:hAnsi="Times New Roman" w:cs="Times New Roman"/>
        </w:rPr>
        <w:t>Ruilan Wang</w:t>
      </w:r>
      <w:r>
        <w:rPr>
          <w:rFonts w:ascii="Times New Roman" w:hAnsi="Times New Roman" w:cs="Times New Roman" w:hint="eastAsia"/>
          <w:vertAlign w:val="superscript"/>
        </w:rPr>
        <w:t>13</w:t>
      </w:r>
      <w:r>
        <w:rPr>
          <w:rFonts w:ascii="Times New Roman" w:hAnsi="Times New Roman" w:cs="Times New Roman"/>
          <w:vertAlign w:val="superscript"/>
        </w:rPr>
        <w:t>, *</w:t>
      </w:r>
      <w:r>
        <w:rPr>
          <w:rFonts w:ascii="Times New Roman" w:hAnsi="Times New Roman" w:cs="Times New Roman"/>
        </w:rPr>
        <w:t>,</w:t>
      </w:r>
      <w:r>
        <w:rPr>
          <w:rFonts w:ascii="Times New Roman" w:hAnsi="Times New Roman" w:cs="Times New Roman" w:hint="eastAsia"/>
        </w:rPr>
        <w:t xml:space="preserve"> </w:t>
      </w:r>
      <w:r>
        <w:rPr>
          <w:rFonts w:ascii="Times New Roman" w:hAnsi="Times New Roman" w:cs="Times New Roman"/>
        </w:rPr>
        <w:t>Lei Chen</w:t>
      </w:r>
      <w:r>
        <w:rPr>
          <w:rFonts w:ascii="Times New Roman" w:hAnsi="Times New Roman" w:cs="Times New Roman"/>
          <w:vertAlign w:val="superscript"/>
        </w:rPr>
        <w:t>2, *</w:t>
      </w:r>
      <w:r>
        <w:rPr>
          <w:rFonts w:ascii="Times New Roman" w:hAnsi="Times New Roman" w:cs="Times New Roman"/>
        </w:rPr>
        <w:t>, Liying Zhan</w:t>
      </w:r>
      <w:r>
        <w:rPr>
          <w:rFonts w:ascii="Times New Roman" w:hAnsi="Times New Roman" w:cs="Times New Roman"/>
          <w:vertAlign w:val="superscript"/>
        </w:rPr>
        <w:t>1</w:t>
      </w:r>
      <w:r>
        <w:rPr>
          <w:rFonts w:ascii="Times New Roman" w:hAnsi="Times New Roman" w:cs="Times New Roman" w:hint="eastAsia"/>
          <w:vertAlign w:val="superscript"/>
        </w:rPr>
        <w:t>2</w:t>
      </w:r>
      <w:r>
        <w:rPr>
          <w:rFonts w:ascii="Times New Roman" w:hAnsi="Times New Roman" w:cs="Times New Roman"/>
          <w:vertAlign w:val="superscript"/>
        </w:rPr>
        <w:t>, *</w:t>
      </w:r>
      <w:r>
        <w:rPr>
          <w:rFonts w:ascii="Times New Roman" w:hAnsi="Times New Roman" w:cs="Times New Roman"/>
        </w:rPr>
        <w:t>, Zhenju Song</w:t>
      </w:r>
      <w:r>
        <w:rPr>
          <w:rFonts w:ascii="Times New Roman" w:hAnsi="Times New Roman" w:cs="Times New Roman"/>
          <w:vertAlign w:val="superscript"/>
        </w:rPr>
        <w:t>1,</w:t>
      </w:r>
      <w:bookmarkStart w:id="0" w:name="OLE_LINK2"/>
      <w:r>
        <w:rPr>
          <w:rFonts w:ascii="Times New Roman" w:hAnsi="Times New Roman" w:cs="Times New Roman" w:hint="eastAsia"/>
          <w:vertAlign w:val="superscript"/>
        </w:rPr>
        <w:t xml:space="preserve"> </w:t>
      </w:r>
      <w:r>
        <w:rPr>
          <w:rFonts w:ascii="Times New Roman" w:hAnsi="Times New Roman" w:cs="Times New Roman"/>
          <w:vertAlign w:val="superscript"/>
        </w:rPr>
        <w:t>1</w:t>
      </w:r>
      <w:r>
        <w:rPr>
          <w:rFonts w:ascii="Times New Roman" w:hAnsi="Times New Roman" w:cs="Times New Roman" w:hint="eastAsia"/>
          <w:vertAlign w:val="superscript"/>
        </w:rPr>
        <w:t>4</w:t>
      </w:r>
      <w:r>
        <w:rPr>
          <w:rFonts w:ascii="Times New Roman" w:hAnsi="Times New Roman" w:cs="Times New Roman"/>
          <w:vertAlign w:val="superscript"/>
        </w:rPr>
        <w:t>,</w:t>
      </w:r>
      <w:r>
        <w:rPr>
          <w:rFonts w:ascii="Times New Roman" w:hAnsi="Times New Roman" w:cs="Times New Roman" w:hint="eastAsia"/>
          <w:vertAlign w:val="superscript"/>
        </w:rPr>
        <w:t xml:space="preserve"> </w:t>
      </w:r>
      <w:r>
        <w:rPr>
          <w:rFonts w:ascii="Times New Roman" w:hAnsi="Times New Roman" w:cs="Times New Roman"/>
          <w:vertAlign w:val="superscript"/>
        </w:rPr>
        <w:t>1</w:t>
      </w:r>
      <w:r>
        <w:rPr>
          <w:rFonts w:ascii="Times New Roman" w:hAnsi="Times New Roman" w:cs="Times New Roman" w:hint="eastAsia"/>
          <w:vertAlign w:val="superscript"/>
        </w:rPr>
        <w:t>5</w:t>
      </w:r>
      <w:r>
        <w:rPr>
          <w:rFonts w:ascii="Times New Roman" w:hAnsi="Times New Roman" w:cs="Times New Roman"/>
          <w:vertAlign w:val="superscript"/>
        </w:rPr>
        <w:t>,</w:t>
      </w:r>
      <w:r>
        <w:rPr>
          <w:rFonts w:ascii="Times New Roman" w:hAnsi="Times New Roman" w:cs="Times New Roman" w:hint="eastAsia"/>
          <w:vertAlign w:val="superscript"/>
        </w:rPr>
        <w:t xml:space="preserve"> </w:t>
      </w:r>
      <w:r>
        <w:rPr>
          <w:rFonts w:ascii="Times New Roman" w:hAnsi="Times New Roman" w:cs="Times New Roman"/>
          <w:vertAlign w:val="superscript"/>
        </w:rPr>
        <w:t>1</w:t>
      </w:r>
      <w:r>
        <w:rPr>
          <w:rFonts w:ascii="Times New Roman" w:hAnsi="Times New Roman" w:cs="Times New Roman" w:hint="eastAsia"/>
          <w:vertAlign w:val="superscript"/>
        </w:rPr>
        <w:t>6</w:t>
      </w:r>
      <w:r>
        <w:rPr>
          <w:rFonts w:ascii="Times New Roman" w:hAnsi="Times New Roman" w:cs="Times New Roman"/>
          <w:vertAlign w:val="superscript"/>
        </w:rPr>
        <w:t>, *</w:t>
      </w:r>
      <w:bookmarkEnd w:id="0"/>
      <w:r>
        <w:rPr>
          <w:rFonts w:ascii="Times New Roman" w:hAnsi="Times New Roman" w:cs="Times New Roman" w:hint="eastAsia"/>
        </w:rPr>
        <w:t>,</w:t>
      </w:r>
      <w:r>
        <w:rPr>
          <w:rFonts w:ascii="Times New Roman" w:hAnsi="Times New Roman" w:cs="Times New Roman" w:hint="eastAsia"/>
          <w:vertAlign w:val="superscript"/>
        </w:rPr>
        <w:t xml:space="preserve"> </w:t>
      </w:r>
      <w:r>
        <w:rPr>
          <w:rFonts w:ascii="Times New Roman" w:hAnsi="Times New Roman" w:cs="Times New Roman" w:hint="eastAsia"/>
        </w:rPr>
        <w:t>on behalf of SEpsis and ARDS Research collaborative network of CHina (SEARCH)</w:t>
      </w:r>
    </w:p>
    <w:p w14:paraId="755D2A3E" w14:textId="77777777" w:rsidR="00C723C7" w:rsidRPr="0068154F" w:rsidRDefault="00C723C7">
      <w:pPr>
        <w:spacing w:line="440" w:lineRule="exact"/>
        <w:rPr>
          <w:rFonts w:ascii="Times New Roman" w:hAnsi="Times New Roman" w:cs="Times New Roman"/>
        </w:rPr>
      </w:pPr>
    </w:p>
    <w:p w14:paraId="122A8F93" w14:textId="77777777" w:rsidR="00C723C7" w:rsidRDefault="00000000">
      <w:pPr>
        <w:spacing w:line="440" w:lineRule="exact"/>
        <w:rPr>
          <w:rFonts w:ascii="Times New Roman" w:hAnsi="Times New Roman" w:cs="Times New Roman"/>
        </w:rPr>
      </w:pPr>
      <w:r>
        <w:rPr>
          <w:rFonts w:ascii="Times New Roman" w:hAnsi="Times New Roman" w:cs="Times New Roman"/>
          <w:vertAlign w:val="superscript"/>
        </w:rPr>
        <w:t>1</w:t>
      </w:r>
      <w:r>
        <w:rPr>
          <w:rFonts w:ascii="Times New Roman" w:hAnsi="Times New Roman" w:cs="Times New Roman"/>
        </w:rPr>
        <w:t>Department of Emergency Medicine, Zhongshan Hospital, Fudan University, Shanghai, China.</w:t>
      </w:r>
    </w:p>
    <w:p w14:paraId="05D2C868" w14:textId="77777777" w:rsidR="00C723C7" w:rsidRDefault="00000000">
      <w:pPr>
        <w:spacing w:line="440" w:lineRule="exact"/>
        <w:rPr>
          <w:rFonts w:ascii="Times New Roman" w:hAnsi="Times New Roman" w:cs="Times New Roman"/>
        </w:rPr>
      </w:pPr>
      <w:r>
        <w:rPr>
          <w:rFonts w:ascii="Times New Roman" w:hAnsi="Times New Roman" w:cs="Times New Roman"/>
          <w:vertAlign w:val="superscript"/>
        </w:rPr>
        <w:t>2</w:t>
      </w:r>
      <w:r>
        <w:rPr>
          <w:rFonts w:ascii="Times New Roman" w:hAnsi="Times New Roman" w:cs="Times New Roman"/>
        </w:rPr>
        <w:t>Department of Research and Development, United Imaging Intelligence, Shanghai, China.</w:t>
      </w:r>
    </w:p>
    <w:p w14:paraId="025EF4A2" w14:textId="77777777" w:rsidR="00C723C7" w:rsidRDefault="00000000">
      <w:pPr>
        <w:spacing w:line="440" w:lineRule="exact"/>
        <w:rPr>
          <w:rFonts w:ascii="Times New Roman" w:hAnsi="Times New Roman" w:cs="Times New Roman"/>
        </w:rPr>
      </w:pPr>
      <w:r>
        <w:rPr>
          <w:rFonts w:ascii="Times New Roman" w:hAnsi="Times New Roman" w:cs="Times New Roman" w:hint="eastAsia"/>
          <w:vertAlign w:val="superscript"/>
        </w:rPr>
        <w:t>3</w:t>
      </w:r>
      <w:r>
        <w:rPr>
          <w:rFonts w:ascii="Times New Roman" w:hAnsi="Times New Roman" w:cs="Times New Roman"/>
        </w:rPr>
        <w:t>Department of Critical Care Medicine, Union Hospital, Tongji Medical College, Huazhong University of Science and Technology, Wuhan, China.</w:t>
      </w:r>
    </w:p>
    <w:p w14:paraId="0FDB9CD5" w14:textId="77777777" w:rsidR="00C723C7" w:rsidRDefault="00000000">
      <w:pPr>
        <w:spacing w:line="440" w:lineRule="exact"/>
        <w:rPr>
          <w:rFonts w:ascii="Times New Roman" w:hAnsi="Times New Roman" w:cs="Times New Roman"/>
        </w:rPr>
      </w:pPr>
      <w:r>
        <w:rPr>
          <w:rFonts w:ascii="Times New Roman" w:hAnsi="Times New Roman" w:cs="Times New Roman" w:hint="eastAsia"/>
          <w:vertAlign w:val="superscript"/>
        </w:rPr>
        <w:t>4</w:t>
      </w:r>
      <w:r>
        <w:rPr>
          <w:rFonts w:ascii="Times New Roman" w:hAnsi="Times New Roman" w:cs="Times New Roman"/>
        </w:rPr>
        <w:t>Department of Information and Intelligence Development, Zhongshan Hospital, Fudan University, Shanghai, China.</w:t>
      </w:r>
    </w:p>
    <w:p w14:paraId="771C50C6" w14:textId="77777777" w:rsidR="00C723C7" w:rsidRDefault="00000000">
      <w:pPr>
        <w:spacing w:line="440" w:lineRule="exact"/>
        <w:rPr>
          <w:rFonts w:ascii="Times New Roman" w:hAnsi="Times New Roman" w:cs="Times New Roman"/>
        </w:rPr>
      </w:pPr>
      <w:r>
        <w:rPr>
          <w:rFonts w:ascii="Times New Roman" w:hAnsi="Times New Roman" w:cs="Times New Roman" w:hint="eastAsia"/>
          <w:vertAlign w:val="superscript"/>
        </w:rPr>
        <w:t>5</w:t>
      </w:r>
      <w:r>
        <w:rPr>
          <w:rFonts w:ascii="Times New Roman" w:hAnsi="Times New Roman" w:cs="Times New Roman"/>
        </w:rPr>
        <w:t>Department of Emergency Medicine, Xinhua Hospital, Shanghai Jiao Tong University School of Medicine, Shanghai, China.</w:t>
      </w:r>
    </w:p>
    <w:p w14:paraId="1453B205" w14:textId="77777777" w:rsidR="00C723C7" w:rsidRDefault="00000000">
      <w:pPr>
        <w:spacing w:line="440" w:lineRule="exact"/>
        <w:rPr>
          <w:rFonts w:ascii="Times New Roman" w:hAnsi="Times New Roman" w:cs="Times New Roman"/>
        </w:rPr>
      </w:pPr>
      <w:r>
        <w:rPr>
          <w:rFonts w:ascii="Times New Roman" w:hAnsi="Times New Roman" w:cs="Times New Roman" w:hint="eastAsia"/>
          <w:vertAlign w:val="superscript"/>
        </w:rPr>
        <w:t>6</w:t>
      </w:r>
      <w:r>
        <w:rPr>
          <w:rFonts w:ascii="Times New Roman" w:hAnsi="Times New Roman" w:cs="Times New Roman"/>
        </w:rPr>
        <w:t>Department of Respiratory and Critical Care Medicine, Renji Hospital, Shanghai Jiao Tong University School of Medicine, Shanghai, China.</w:t>
      </w:r>
    </w:p>
    <w:p w14:paraId="69E1277B" w14:textId="77777777" w:rsidR="00C723C7" w:rsidRDefault="00000000">
      <w:pPr>
        <w:spacing w:line="440" w:lineRule="exact"/>
        <w:rPr>
          <w:rFonts w:ascii="Times New Roman" w:hAnsi="Times New Roman" w:cs="Times New Roman"/>
        </w:rPr>
      </w:pPr>
      <w:r>
        <w:rPr>
          <w:rFonts w:ascii="Times New Roman" w:hAnsi="Times New Roman" w:cs="Times New Roman" w:hint="eastAsia"/>
          <w:vertAlign w:val="superscript"/>
        </w:rPr>
        <w:t>7</w:t>
      </w:r>
      <w:r>
        <w:rPr>
          <w:rFonts w:ascii="Times New Roman" w:hAnsi="Times New Roman" w:cs="Times New Roman"/>
        </w:rPr>
        <w:t>Department of Critical Care Medicine, The Second Affiliated Hospital, Zhejiang University School of Medicine, Hangzhou, China.</w:t>
      </w:r>
    </w:p>
    <w:p w14:paraId="7DB48654" w14:textId="77777777" w:rsidR="00C723C7" w:rsidRDefault="00000000">
      <w:pPr>
        <w:spacing w:line="440" w:lineRule="exact"/>
        <w:rPr>
          <w:rFonts w:ascii="Times New Roman" w:hAnsi="Times New Roman" w:cs="Times New Roman"/>
        </w:rPr>
      </w:pPr>
      <w:r>
        <w:rPr>
          <w:rFonts w:ascii="Times New Roman" w:hAnsi="Times New Roman" w:cs="Times New Roman" w:hint="eastAsia"/>
          <w:vertAlign w:val="superscript"/>
        </w:rPr>
        <w:t>8</w:t>
      </w:r>
      <w:r>
        <w:rPr>
          <w:rFonts w:ascii="Times New Roman" w:hAnsi="Times New Roman" w:cs="Times New Roman"/>
        </w:rPr>
        <w:t>Emergency Intensive Care Ward, The First Affiliated Hospital of Zhengzhou University, Zhengzhou, China.</w:t>
      </w:r>
    </w:p>
    <w:p w14:paraId="11922CE5" w14:textId="77777777" w:rsidR="00C723C7" w:rsidRDefault="00000000">
      <w:pPr>
        <w:spacing w:line="440" w:lineRule="exact"/>
        <w:rPr>
          <w:rFonts w:ascii="Times New Roman" w:hAnsi="Times New Roman" w:cs="Times New Roman"/>
        </w:rPr>
      </w:pPr>
      <w:r>
        <w:rPr>
          <w:rFonts w:ascii="Times New Roman" w:hAnsi="Times New Roman" w:cs="Times New Roman" w:hint="eastAsia"/>
          <w:vertAlign w:val="superscript"/>
        </w:rPr>
        <w:t>9</w:t>
      </w:r>
      <w:r>
        <w:rPr>
          <w:rFonts w:ascii="Times New Roman" w:hAnsi="Times New Roman" w:cs="Times New Roman"/>
        </w:rPr>
        <w:t>Department of Respiratory and Critical Care Medicine, Pudong Hospital, Fudan University, Shanghai, China.</w:t>
      </w:r>
    </w:p>
    <w:p w14:paraId="2FD101B8" w14:textId="77777777" w:rsidR="00C723C7" w:rsidRDefault="00000000">
      <w:pPr>
        <w:spacing w:line="440" w:lineRule="exact"/>
        <w:rPr>
          <w:rFonts w:ascii="Times New Roman" w:hAnsi="Times New Roman" w:cs="Times New Roman"/>
        </w:rPr>
      </w:pPr>
      <w:r>
        <w:rPr>
          <w:rFonts w:ascii="Times New Roman" w:hAnsi="Times New Roman" w:cs="Times New Roman"/>
          <w:vertAlign w:val="superscript"/>
        </w:rPr>
        <w:t>1</w:t>
      </w:r>
      <w:r>
        <w:rPr>
          <w:rFonts w:ascii="Times New Roman" w:hAnsi="Times New Roman" w:cs="Times New Roman" w:hint="eastAsia"/>
          <w:vertAlign w:val="superscript"/>
        </w:rPr>
        <w:t>0</w:t>
      </w:r>
      <w:r>
        <w:rPr>
          <w:rFonts w:ascii="Times New Roman" w:hAnsi="Times New Roman" w:cs="Times New Roman"/>
        </w:rPr>
        <w:t>Department of Critical Care Medicine, Guangdong Provincial People’s Hospital, Guangdong Academy of Medical Sciences, Southern Medical University, Guangzhou, China.</w:t>
      </w:r>
    </w:p>
    <w:p w14:paraId="003BAFFD" w14:textId="77777777" w:rsidR="00C723C7" w:rsidRDefault="00000000">
      <w:pPr>
        <w:spacing w:line="440" w:lineRule="exact"/>
        <w:rPr>
          <w:rFonts w:ascii="Times New Roman" w:hAnsi="Times New Roman" w:cs="Times New Roman"/>
        </w:rPr>
      </w:pPr>
      <w:r>
        <w:rPr>
          <w:rFonts w:ascii="Times New Roman" w:hAnsi="Times New Roman" w:cs="Times New Roman"/>
          <w:vertAlign w:val="superscript"/>
        </w:rPr>
        <w:t>1</w:t>
      </w:r>
      <w:r>
        <w:rPr>
          <w:rFonts w:ascii="Times New Roman" w:hAnsi="Times New Roman" w:cs="Times New Roman" w:hint="eastAsia"/>
          <w:vertAlign w:val="superscript"/>
        </w:rPr>
        <w:t>1</w:t>
      </w:r>
      <w:r>
        <w:rPr>
          <w:rFonts w:ascii="Times New Roman" w:hAnsi="Times New Roman" w:cs="Times New Roman"/>
        </w:rPr>
        <w:t>Department of Emergency Medicine, Minhang Hospital, Fudan University, Shanghai, China.</w:t>
      </w:r>
    </w:p>
    <w:p w14:paraId="0CDB1C9C" w14:textId="77777777" w:rsidR="00C723C7" w:rsidRDefault="00000000">
      <w:pPr>
        <w:spacing w:line="440" w:lineRule="exact"/>
        <w:rPr>
          <w:rFonts w:ascii="Times New Roman" w:hAnsi="Times New Roman" w:cs="Times New Roman"/>
        </w:rPr>
      </w:pPr>
      <w:r>
        <w:rPr>
          <w:rFonts w:ascii="Times New Roman" w:hAnsi="Times New Roman" w:cs="Times New Roman"/>
          <w:vertAlign w:val="superscript"/>
        </w:rPr>
        <w:t>1</w:t>
      </w:r>
      <w:r>
        <w:rPr>
          <w:rFonts w:ascii="Times New Roman" w:hAnsi="Times New Roman" w:cs="Times New Roman" w:hint="eastAsia"/>
          <w:vertAlign w:val="superscript"/>
        </w:rPr>
        <w:t>2</w:t>
      </w:r>
      <w:r>
        <w:rPr>
          <w:rFonts w:ascii="Times New Roman" w:hAnsi="Times New Roman" w:cs="Times New Roman"/>
        </w:rPr>
        <w:t>Department of Critical Care Medicine, Renmin Hospital of Wuhan University, Wuhan, China.</w:t>
      </w:r>
    </w:p>
    <w:p w14:paraId="4CE539C8" w14:textId="77777777" w:rsidR="00C723C7" w:rsidRDefault="00000000">
      <w:pPr>
        <w:spacing w:line="440" w:lineRule="exact"/>
        <w:rPr>
          <w:rFonts w:ascii="Times New Roman" w:hAnsi="Times New Roman" w:cs="Times New Roman"/>
        </w:rPr>
      </w:pPr>
      <w:r>
        <w:rPr>
          <w:rFonts w:ascii="Times New Roman" w:hAnsi="Times New Roman" w:cs="Times New Roman" w:hint="eastAsia"/>
          <w:vertAlign w:val="superscript"/>
        </w:rPr>
        <w:t>13</w:t>
      </w:r>
      <w:r>
        <w:rPr>
          <w:rFonts w:ascii="Times New Roman" w:hAnsi="Times New Roman" w:cs="Times New Roman"/>
        </w:rPr>
        <w:t>Department of Emergency and Critical Care Medicine, Shanghai General Hospital, Shanghai Jiao Tong University School of Medicine, Shanghai, China.</w:t>
      </w:r>
    </w:p>
    <w:p w14:paraId="10E67CD9" w14:textId="77777777" w:rsidR="00C723C7" w:rsidRDefault="00000000">
      <w:pPr>
        <w:spacing w:line="440" w:lineRule="exact"/>
        <w:rPr>
          <w:rFonts w:ascii="Times New Roman" w:hAnsi="Times New Roman" w:cs="Times New Roman"/>
        </w:rPr>
      </w:pPr>
      <w:r>
        <w:rPr>
          <w:rFonts w:ascii="Times New Roman" w:hAnsi="Times New Roman" w:cs="Times New Roman"/>
          <w:vertAlign w:val="superscript"/>
        </w:rPr>
        <w:lastRenderedPageBreak/>
        <w:t>14</w:t>
      </w:r>
      <w:r>
        <w:rPr>
          <w:rFonts w:ascii="Times New Roman" w:hAnsi="Times New Roman" w:cs="Times New Roman"/>
        </w:rPr>
        <w:t>Department of Emergency and Critical Care Medicine, Xuhui Hospital, Fudan University, Shanghai, China.</w:t>
      </w:r>
    </w:p>
    <w:p w14:paraId="75505B28" w14:textId="77777777" w:rsidR="00C723C7" w:rsidRDefault="00000000">
      <w:pPr>
        <w:spacing w:line="440" w:lineRule="exact"/>
        <w:rPr>
          <w:rFonts w:ascii="Times New Roman" w:hAnsi="Times New Roman" w:cs="Times New Roman"/>
        </w:rPr>
      </w:pPr>
      <w:r>
        <w:rPr>
          <w:rFonts w:ascii="Times New Roman" w:hAnsi="Times New Roman" w:cs="Times New Roman"/>
          <w:vertAlign w:val="superscript"/>
        </w:rPr>
        <w:t>15</w:t>
      </w:r>
      <w:r>
        <w:rPr>
          <w:rFonts w:ascii="Times New Roman" w:hAnsi="Times New Roman" w:cs="Times New Roman"/>
        </w:rPr>
        <w:t>Institute of Emergency Rescue and Critical Care, Fudan University, Shanghai, China.</w:t>
      </w:r>
    </w:p>
    <w:p w14:paraId="26C614EE" w14:textId="77777777" w:rsidR="00C723C7" w:rsidRDefault="00000000">
      <w:pPr>
        <w:spacing w:line="440" w:lineRule="exact"/>
        <w:rPr>
          <w:rFonts w:ascii="Times New Roman" w:hAnsi="Times New Roman" w:cs="Times New Roman"/>
        </w:rPr>
      </w:pPr>
      <w:r>
        <w:rPr>
          <w:rFonts w:ascii="Times New Roman" w:hAnsi="Times New Roman" w:cs="Times New Roman"/>
          <w:vertAlign w:val="superscript"/>
        </w:rPr>
        <w:t>16</w:t>
      </w:r>
      <w:r>
        <w:rPr>
          <w:rFonts w:ascii="Times New Roman" w:hAnsi="Times New Roman" w:cs="Times New Roman"/>
        </w:rPr>
        <w:t>Shanghai Key Laboratory of Lung Inflammation and Injury, Shanghai, China.</w:t>
      </w:r>
    </w:p>
    <w:p w14:paraId="181DAAA2" w14:textId="77777777" w:rsidR="00C723C7" w:rsidRDefault="00C723C7">
      <w:pPr>
        <w:spacing w:line="440" w:lineRule="exact"/>
        <w:rPr>
          <w:rFonts w:ascii="Times New Roman" w:hAnsi="Times New Roman" w:cs="Times New Roman"/>
        </w:rPr>
      </w:pPr>
    </w:p>
    <w:p w14:paraId="4527B6DC" w14:textId="77777777" w:rsidR="00C723C7" w:rsidRDefault="00000000">
      <w:pPr>
        <w:spacing w:line="440" w:lineRule="exact"/>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rPr>
        <w:t xml:space="preserve">Contributed equally as first authors. </w:t>
      </w:r>
    </w:p>
    <w:p w14:paraId="1F9EDDA1" w14:textId="77777777" w:rsidR="00C723C7" w:rsidRDefault="00000000">
      <w:pPr>
        <w:spacing w:line="440" w:lineRule="exact"/>
        <w:rPr>
          <w:rFonts w:ascii="Times New Roman" w:hAnsi="Times New Roman" w:cs="Times New Roman"/>
        </w:rPr>
      </w:pPr>
      <w:r>
        <w:rPr>
          <w:rFonts w:ascii="Times New Roman" w:hAnsi="Times New Roman" w:cs="Times New Roman"/>
        </w:rPr>
        <w:t>*Contributed equally as senior authors.</w:t>
      </w:r>
    </w:p>
    <w:p w14:paraId="2CA93CCF" w14:textId="77777777" w:rsidR="00C723C7" w:rsidRDefault="00000000">
      <w:pPr>
        <w:pStyle w:val="Default"/>
        <w:spacing w:line="480" w:lineRule="auto"/>
        <w:jc w:val="both"/>
        <w:rPr>
          <w:rFonts w:ascii="Times New Roman" w:hAnsi="Times New Roman" w:cs="Times New Roman"/>
          <w:b/>
          <w:bCs/>
          <w:sz w:val="20"/>
          <w:szCs w:val="20"/>
        </w:rPr>
      </w:pPr>
      <w:r>
        <w:rPr>
          <w:rFonts w:ascii="Times New Roman" w:hAnsi="Times New Roman" w:cs="Times New Roman"/>
          <w:b/>
          <w:bCs/>
          <w:sz w:val="20"/>
          <w:szCs w:val="20"/>
        </w:rPr>
        <w:t>Correspondence:</w:t>
      </w:r>
    </w:p>
    <w:p w14:paraId="738EAA70" w14:textId="77777777" w:rsidR="00C723C7" w:rsidRDefault="00000000">
      <w:pPr>
        <w:autoSpaceDE w:val="0"/>
        <w:autoSpaceDN w:val="0"/>
        <w:adjustRightInd w:val="0"/>
        <w:spacing w:line="480" w:lineRule="auto"/>
        <w:rPr>
          <w:rFonts w:ascii="Times New Roman" w:hAnsi="Times New Roman" w:cs="Times New Roman"/>
          <w:sz w:val="20"/>
          <w:szCs w:val="20"/>
        </w:rPr>
      </w:pPr>
      <w:r>
        <w:rPr>
          <w:rFonts w:ascii="Times New Roman" w:hAnsi="Times New Roman" w:cs="Times New Roman"/>
          <w:sz w:val="20"/>
          <w:szCs w:val="20"/>
        </w:rPr>
        <w:t>Zhenju Song</w:t>
      </w:r>
    </w:p>
    <w:p w14:paraId="432D7157" w14:textId="77777777" w:rsidR="00C723C7" w:rsidRDefault="00C723C7">
      <w:pPr>
        <w:pStyle w:val="Default"/>
        <w:spacing w:line="480" w:lineRule="auto"/>
        <w:jc w:val="both"/>
        <w:rPr>
          <w:rStyle w:val="a8"/>
          <w:rFonts w:ascii="Times New Roman" w:eastAsia="WarnockPro-Regular" w:hAnsi="Times New Roman" w:cs="Times New Roman"/>
          <w:sz w:val="20"/>
          <w:szCs w:val="20"/>
        </w:rPr>
      </w:pPr>
      <w:hyperlink r:id="rId7" w:history="1">
        <w:r>
          <w:rPr>
            <w:rStyle w:val="a8"/>
            <w:rFonts w:ascii="Times New Roman" w:eastAsia="WarnockPro-Regular" w:hAnsi="Times New Roman" w:cs="Times New Roman"/>
            <w:sz w:val="20"/>
            <w:szCs w:val="20"/>
          </w:rPr>
          <w:t>song.zhenju@zs-hospital.sh.cn</w:t>
        </w:r>
      </w:hyperlink>
    </w:p>
    <w:p w14:paraId="4161EAC0" w14:textId="77777777" w:rsidR="00C723C7" w:rsidRDefault="00000000">
      <w:pPr>
        <w:autoSpaceDE w:val="0"/>
        <w:autoSpaceDN w:val="0"/>
        <w:adjustRightInd w:val="0"/>
        <w:spacing w:line="480" w:lineRule="auto"/>
        <w:jc w:val="left"/>
        <w:rPr>
          <w:rFonts w:ascii="Times New Roman" w:eastAsia="TimesNewRomanPSMT" w:hAnsi="Times New Roman" w:cs="Times New Roman"/>
          <w:kern w:val="0"/>
          <w:sz w:val="20"/>
          <w:szCs w:val="20"/>
        </w:rPr>
      </w:pPr>
      <w:r>
        <w:rPr>
          <w:rFonts w:ascii="Times New Roman" w:eastAsia="TimesNewRomanPSMT" w:hAnsi="Times New Roman" w:cs="Times New Roman"/>
          <w:kern w:val="0"/>
          <w:sz w:val="20"/>
          <w:szCs w:val="20"/>
        </w:rPr>
        <w:t xml:space="preserve">Phone: +86 13816607453; Fax: </w:t>
      </w:r>
      <w:r>
        <w:rPr>
          <w:rFonts w:ascii="Times New Roman" w:eastAsia="TimesNewRomanPSMT" w:hAnsi="Times New Roman" w:cs="Times New Roman"/>
          <w:sz w:val="20"/>
          <w:szCs w:val="20"/>
        </w:rPr>
        <w:t xml:space="preserve">021-64041990 </w:t>
      </w:r>
    </w:p>
    <w:p w14:paraId="6477A0EA" w14:textId="77777777" w:rsidR="00C723C7" w:rsidRDefault="00000000">
      <w:pPr>
        <w:spacing w:line="360" w:lineRule="exact"/>
        <w:rPr>
          <w:rFonts w:ascii="Times New Roman" w:hAnsi="Times New Roman" w:cs="Times New Roman"/>
        </w:rPr>
      </w:pPr>
      <w:r>
        <w:rPr>
          <w:rFonts w:hint="eastAsia"/>
          <w:b/>
          <w:bCs/>
        </w:rPr>
        <w:br w:type="page"/>
      </w:r>
    </w:p>
    <w:p w14:paraId="72EFAC0B" w14:textId="77777777" w:rsidR="00C723C7" w:rsidRDefault="00000000">
      <w:pPr>
        <w:spacing w:line="440" w:lineRule="exact"/>
        <w:rPr>
          <w:rFonts w:ascii="Times New Roman" w:hAnsi="Times New Roman" w:cs="Times New Roman"/>
          <w:b/>
          <w:bCs/>
        </w:rPr>
      </w:pPr>
      <w:r>
        <w:rPr>
          <w:rFonts w:ascii="Times New Roman" w:hAnsi="Times New Roman" w:cs="Times New Roman"/>
          <w:b/>
          <w:bCs/>
        </w:rPr>
        <w:lastRenderedPageBreak/>
        <w:t>Study population and ethical approval</w:t>
      </w:r>
    </w:p>
    <w:p w14:paraId="1B1CDB25" w14:textId="77777777" w:rsidR="00C723C7" w:rsidRDefault="00000000">
      <w:pPr>
        <w:spacing w:line="440" w:lineRule="exact"/>
        <w:ind w:firstLineChars="200" w:firstLine="420"/>
        <w:rPr>
          <w:rFonts w:ascii="Times New Roman" w:hAnsi="Times New Roman" w:cs="Times New Roman"/>
        </w:rPr>
      </w:pPr>
      <w:r>
        <w:rPr>
          <w:rFonts w:ascii="Times New Roman" w:hAnsi="Times New Roman" w:cs="Times New Roman"/>
        </w:rPr>
        <w:t>The training cohort was established at two hospitals in China between June 2021 and October 2025: Zhongshan Hospital, Fudan University (Ethics No. B2022-175), and Shanghai General Hospital, Shanghai Jiao Tong University School of Medicine (Ethics No. 2021KY041). The internal testing cohort comprised patients from Renmin Hospital of Wuhan University (Ethics No. WDRY2021-K115) and Guangdong Provincial People’s Hospital, Guangdong Academy of Medical Sciences (Ethics No. KY-Z-2022-074-02). The external validation cohort was recruited from independent centres, including Union Hospital, Tongji Medical College, Huazhong University of Science and Technology (Ethics No. 0027-02); Renji Hospital, Shanghai Jiao Tong University School of Medicine (Ethics No. KY2021-102-B); Minhang Hospital, Fudan University (Ethics No. 2022-041-01K); Xinhua Hospital, Shanghai Jiao Tong University School of Medicine (Ethics No. XHEC-D-2022-252); the Second Affiliated Hospital, Zhejiang University School of Medicine (Ethics No. I2022941)</w:t>
      </w:r>
      <w:r>
        <w:rPr>
          <w:rFonts w:ascii="Times New Roman" w:hAnsi="Times New Roman" w:cs="Times New Roman" w:hint="eastAsia"/>
        </w:rPr>
        <w:t xml:space="preserve">; and </w:t>
      </w:r>
      <w:r>
        <w:rPr>
          <w:rFonts w:ascii="Times New Roman" w:hAnsi="Times New Roman" w:cs="Times New Roman"/>
          <w:kern w:val="0"/>
          <w:szCs w:val="21"/>
        </w:rPr>
        <w:t xml:space="preserve">Pudong Hospital, Fudan University </w:t>
      </w:r>
      <w:r>
        <w:rPr>
          <w:rFonts w:ascii="Times New Roman" w:hAnsi="Times New Roman" w:cs="Times New Roman"/>
          <w:szCs w:val="21"/>
        </w:rPr>
        <w:t xml:space="preserve">(Ethics No. </w:t>
      </w:r>
      <w:r>
        <w:rPr>
          <w:rFonts w:ascii="Times New Roman" w:hAnsi="Times New Roman" w:cs="Times New Roman"/>
          <w:kern w:val="0"/>
          <w:szCs w:val="21"/>
        </w:rPr>
        <w:t>SKWXZ-01</w:t>
      </w:r>
      <w:r>
        <w:rPr>
          <w:rFonts w:ascii="Times New Roman" w:hAnsi="Times New Roman" w:cs="Times New Roman"/>
          <w:szCs w:val="21"/>
        </w:rPr>
        <w:t>)</w:t>
      </w:r>
      <w:r>
        <w:rPr>
          <w:rFonts w:ascii="Times New Roman" w:hAnsi="Times New Roman" w:cs="Times New Roman"/>
        </w:rPr>
        <w:t>. The study was conducted in accordance with the ethical approvals granted by the institutional review boards of all participating centres.</w:t>
      </w:r>
    </w:p>
    <w:p w14:paraId="1A79C9E1" w14:textId="77777777" w:rsidR="00C723C7" w:rsidRDefault="00C723C7">
      <w:pPr>
        <w:ind w:firstLineChars="200" w:firstLine="420"/>
        <w:rPr>
          <w:rFonts w:hint="eastAsia"/>
        </w:rPr>
      </w:pPr>
    </w:p>
    <w:p w14:paraId="404222C1" w14:textId="77777777" w:rsidR="00C723C7" w:rsidRDefault="00000000">
      <w:pPr>
        <w:spacing w:line="440" w:lineRule="exact"/>
        <w:rPr>
          <w:rFonts w:ascii="Times New Roman" w:hAnsi="Times New Roman" w:cs="Times New Roman"/>
          <w:b/>
          <w:bCs/>
        </w:rPr>
      </w:pPr>
      <w:r>
        <w:rPr>
          <w:rFonts w:ascii="Times New Roman" w:hAnsi="Times New Roman" w:cs="Times New Roman"/>
          <w:b/>
          <w:bCs/>
        </w:rPr>
        <w:t>Clinical data acquisition and preprocessing</w:t>
      </w:r>
    </w:p>
    <w:p w14:paraId="4FF65895" w14:textId="0A0B664F" w:rsidR="00C723C7" w:rsidRDefault="00000000">
      <w:pPr>
        <w:spacing w:line="440" w:lineRule="exact"/>
        <w:ind w:firstLineChars="200" w:firstLine="420"/>
        <w:rPr>
          <w:rFonts w:ascii="Times New Roman" w:hAnsi="Times New Roman" w:cs="Times New Roman"/>
        </w:rPr>
      </w:pPr>
      <w:r>
        <w:rPr>
          <w:rFonts w:ascii="Times New Roman" w:hAnsi="Times New Roman" w:cs="Times New Roman"/>
        </w:rPr>
        <w:t xml:space="preserve">Clinical information for </w:t>
      </w:r>
      <w:r w:rsidR="00E54036">
        <w:rPr>
          <w:rFonts w:ascii="Times New Roman" w:hAnsi="Times New Roman" w:cs="Times New Roman" w:hint="eastAsia"/>
        </w:rPr>
        <w:t>each medical centre</w:t>
      </w:r>
      <w:r>
        <w:rPr>
          <w:rFonts w:ascii="Times New Roman" w:hAnsi="Times New Roman" w:cs="Times New Roman"/>
        </w:rPr>
        <w:t xml:space="preserve"> was retrieved from electronic medical records and compiled into a standardized research database. Whenever possible, variables were extracted electronically; otherwise, trained study personnel manually abstracted the required data according to predefined procedures. ARDS diagnosis was independently reviewed by three experienced critical care physicians. A diagnosis was considered confirmed when at least two of the three adjudicators reached agreement. Clinical severity indices, including the Sequential Organ Failure Assessment (SOFA) score, were derived from the corresponding physiological and laboratory measurements recorded in the study database.</w:t>
      </w:r>
    </w:p>
    <w:p w14:paraId="4389EE9A" w14:textId="77777777" w:rsidR="00C723C7" w:rsidRDefault="00C723C7">
      <w:pPr>
        <w:spacing w:line="440" w:lineRule="exact"/>
        <w:rPr>
          <w:rFonts w:ascii="Times New Roman" w:hAnsi="Times New Roman" w:cs="Times New Roman"/>
        </w:rPr>
      </w:pPr>
    </w:p>
    <w:p w14:paraId="38B125BE" w14:textId="77777777" w:rsidR="00C723C7" w:rsidRDefault="00000000">
      <w:pPr>
        <w:spacing w:line="440" w:lineRule="exact"/>
        <w:rPr>
          <w:rFonts w:ascii="Times New Roman" w:hAnsi="Times New Roman" w:cs="Times New Roman"/>
          <w:b/>
          <w:bCs/>
        </w:rPr>
      </w:pPr>
      <w:r>
        <w:rPr>
          <w:rFonts w:ascii="Times New Roman" w:hAnsi="Times New Roman" w:cs="Times New Roman"/>
          <w:b/>
          <w:bCs/>
        </w:rPr>
        <w:t>Harmonization of laboratory measurements</w:t>
      </w:r>
    </w:p>
    <w:p w14:paraId="032836ED" w14:textId="5ADD59D7" w:rsidR="00C723C7" w:rsidRDefault="00000000">
      <w:pPr>
        <w:spacing w:line="440" w:lineRule="exact"/>
        <w:ind w:firstLineChars="200" w:firstLine="420"/>
        <w:rPr>
          <w:rFonts w:ascii="Times New Roman" w:hAnsi="Times New Roman" w:cs="Times New Roman"/>
        </w:rPr>
      </w:pPr>
      <w:r>
        <w:rPr>
          <w:rFonts w:ascii="Times New Roman" w:hAnsi="Times New Roman" w:cs="Times New Roman"/>
        </w:rPr>
        <w:t xml:space="preserve">Variables reported in different units were converted to predefined common units using established conversion relationships. Values reported beyond an assay's measurable range were handled as boundary-censored observations. Measurements below the lower detection threshold were replaced by the reported lower limit, whereas measurements exceeding the upper analytical </w:t>
      </w:r>
      <w:r>
        <w:rPr>
          <w:rFonts w:ascii="Times New Roman" w:hAnsi="Times New Roman" w:cs="Times New Roman"/>
        </w:rPr>
        <w:lastRenderedPageBreak/>
        <w:t>threshold were assigned the corresponding upper limit.</w:t>
      </w:r>
    </w:p>
    <w:p w14:paraId="6201D378" w14:textId="77777777" w:rsidR="00C723C7" w:rsidRDefault="00C723C7" w:rsidP="00107B79">
      <w:pPr>
        <w:spacing w:line="440" w:lineRule="exact"/>
        <w:rPr>
          <w:rFonts w:ascii="Times New Roman" w:hAnsi="Times New Roman" w:cs="Times New Roman"/>
        </w:rPr>
      </w:pPr>
    </w:p>
    <w:p w14:paraId="436D6F44" w14:textId="77777777" w:rsidR="00C723C7" w:rsidRDefault="00000000">
      <w:pPr>
        <w:spacing w:line="440" w:lineRule="exact"/>
        <w:rPr>
          <w:rFonts w:ascii="Times New Roman" w:hAnsi="Times New Roman" w:cs="Times New Roman"/>
          <w:b/>
          <w:bCs/>
        </w:rPr>
      </w:pPr>
      <w:r>
        <w:rPr>
          <w:rFonts w:ascii="Times New Roman" w:hAnsi="Times New Roman" w:cs="Times New Roman"/>
          <w:b/>
          <w:bCs/>
        </w:rPr>
        <w:t>Serum proteomic profiling</w:t>
      </w:r>
    </w:p>
    <w:p w14:paraId="585262B6" w14:textId="77777777" w:rsidR="00C723C7" w:rsidRDefault="00000000">
      <w:pPr>
        <w:spacing w:line="440" w:lineRule="exact"/>
        <w:ind w:firstLineChars="200" w:firstLine="420"/>
        <w:rPr>
          <w:rFonts w:ascii="Times New Roman" w:hAnsi="Times New Roman" w:cs="Times New Roman"/>
        </w:rPr>
      </w:pPr>
      <w:r>
        <w:rPr>
          <w:rFonts w:ascii="Times New Roman" w:hAnsi="Times New Roman" w:cs="Times New Roman"/>
        </w:rPr>
        <w:t xml:space="preserve">Peripheral venous blood was collected into serum tubes. After clot formation under cooled conditions, samples were centrifuged and the serum fraction was separated, immediately stored at −80 </w:t>
      </w:r>
      <w:r>
        <w:rPr>
          <w:rFonts w:ascii="Times New Roman" w:eastAsia="等线" w:hAnsi="Times New Roman" w:cs="Times New Roman"/>
        </w:rPr>
        <w:t>°</w:t>
      </w:r>
      <w:r>
        <w:rPr>
          <w:rFonts w:ascii="Times New Roman" w:hAnsi="Times New Roman" w:cs="Times New Roman"/>
        </w:rPr>
        <w:t xml:space="preserve">C, and subsequently transported to a central laboratory for proteomic analysis. Proteomic measurements were performed by Shanghai Biotechnology Corporation (Shanghai, China). Laboratory personnel were blinded to clinical information and study outcomes. Serum proteins were quantified using the Olink® Explore 384 Cardiovascular I </w:t>
      </w:r>
      <w:r>
        <w:rPr>
          <w:rFonts w:ascii="Times New Roman" w:hAnsi="Times New Roman" w:cs="Times New Roman" w:hint="eastAsia"/>
        </w:rPr>
        <w:t xml:space="preserve">and Inflammation I </w:t>
      </w:r>
      <w:r>
        <w:rPr>
          <w:rFonts w:ascii="Times New Roman" w:hAnsi="Times New Roman" w:cs="Times New Roman"/>
        </w:rPr>
        <w:t>panel, which is based on proximity extension assay technology coupled with next-generation sequencing readout. Sequencing-derived signals were processed using the standard Olink analytical workflow. This included assay-level and sample-level quality assessment, normalization, and conversion to Normalized Protein eXpression (NPX) values. NPX is reported on a log2 scale and reflects relative protein abundance. Assay performance was monitored using multiple internal and external controls. Each sample contained incubation, extension, and amplification controls. Additional controls included two sample controls, three negative controls, and three plate controls. Plate controls were used to minimize technical variation between assay plates. Quality assessment was conducted at both the individual-sample and plate levels. Samples were flagged when the mean read count was below 500 or when the deviation of an internal control exceeded 0.3 NPX relative to the corresponding plate median. For plate and negative controls, the median values of triplicate measurements were required to remain within predefined quality limits for at least 90% of assays, corresponding to ≤5 standard deviations for plate controls and ≤3 standard deviations for negative controls. Assays not meeting these requirements were considered to have potential quality concerns. An assay plate was classified as failed when QC warnings were present in more than one-sixth of the samples together with a median absolute deviation &gt;0.3 NPX for the incubation or amplification controls. Additional technical information on assay characteristics, including detection limits and intra- and inter-assay variability, is available from the Olink platform documentation. After removal of duplicated assays, assay controls, and assays failing quality-control criteria, 711 unique protein features remained and constituted the initial protein abundance matrix for downstream analysis.</w:t>
      </w:r>
    </w:p>
    <w:p w14:paraId="2DC4B446" w14:textId="77777777" w:rsidR="00C723C7" w:rsidRDefault="00C723C7">
      <w:pPr>
        <w:rPr>
          <w:rFonts w:hint="eastAsia"/>
        </w:rPr>
      </w:pPr>
    </w:p>
    <w:p w14:paraId="537255C2" w14:textId="77777777" w:rsidR="00C723C7" w:rsidRDefault="00000000">
      <w:pPr>
        <w:spacing w:line="440" w:lineRule="exact"/>
        <w:rPr>
          <w:rFonts w:ascii="Times New Roman" w:hAnsi="Times New Roman" w:cs="Times New Roman"/>
          <w:b/>
          <w:bCs/>
        </w:rPr>
      </w:pPr>
      <w:r>
        <w:rPr>
          <w:rFonts w:ascii="Times New Roman" w:hAnsi="Times New Roman" w:cs="Times New Roman"/>
          <w:b/>
          <w:bCs/>
        </w:rPr>
        <w:t>Clinical predictive model construction</w:t>
      </w:r>
    </w:p>
    <w:p w14:paraId="6A311803" w14:textId="0B84FA63" w:rsidR="00C723C7" w:rsidRDefault="00000000">
      <w:pPr>
        <w:spacing w:line="440" w:lineRule="exact"/>
        <w:ind w:firstLineChars="200" w:firstLine="420"/>
        <w:rPr>
          <w:rFonts w:ascii="Times New Roman" w:hAnsi="Times New Roman" w:cs="Times New Roman"/>
          <w:bCs/>
        </w:rPr>
      </w:pPr>
      <w:r>
        <w:rPr>
          <w:rFonts w:ascii="Times New Roman" w:hAnsi="Times New Roman" w:cs="Times New Roman"/>
          <w:bCs/>
        </w:rPr>
        <w:lastRenderedPageBreak/>
        <w:t>A total of 75 candidate clinical predictors were prespecified based on clinical relevance and previously reported prognostic factors in ARDS</w:t>
      </w:r>
      <w:r w:rsidR="00627244">
        <w:rPr>
          <w:rFonts w:ascii="Times New Roman" w:hAnsi="Times New Roman" w:cs="Times New Roman" w:hint="eastAsia"/>
          <w:bCs/>
        </w:rPr>
        <w:t xml:space="preserve"> (</w:t>
      </w:r>
      <w:r w:rsidR="00627244" w:rsidRPr="0082637A">
        <w:rPr>
          <w:rFonts w:ascii="Times New Roman" w:hAnsi="Times New Roman" w:cs="Times New Roman" w:hint="eastAsia"/>
          <w:b/>
        </w:rPr>
        <w:t>Table S</w:t>
      </w:r>
      <w:r w:rsidR="00D3396E" w:rsidRPr="0082637A">
        <w:rPr>
          <w:rFonts w:ascii="Times New Roman" w:hAnsi="Times New Roman" w:cs="Times New Roman" w:hint="eastAsia"/>
          <w:b/>
        </w:rPr>
        <w:t>5</w:t>
      </w:r>
      <w:r w:rsidR="00627244">
        <w:rPr>
          <w:rFonts w:ascii="Times New Roman" w:hAnsi="Times New Roman" w:cs="Times New Roman" w:hint="eastAsia"/>
          <w:bCs/>
        </w:rPr>
        <w:t>)</w:t>
      </w:r>
      <w:r>
        <w:rPr>
          <w:rFonts w:ascii="Times New Roman" w:hAnsi="Times New Roman" w:cs="Times New Roman"/>
          <w:bCs/>
        </w:rPr>
        <w:t xml:space="preserve">. Candidate variables encompassed demographic characteristics, comorbidities, vital signs, respiratory and gas-exchange parameters, routine laboratory measurements, and indicators of extrapulmonary organ dysfunction. </w:t>
      </w:r>
      <w:r>
        <w:rPr>
          <w:rFonts w:ascii="Times New Roman" w:hAnsi="Times New Roman" w:cs="Times New Roman"/>
        </w:rPr>
        <w:t xml:space="preserve">Continuous variables were standardized by z-score transformation using the mean and standard deviation estimated from the training cohort. Univariate logistic regression analyses were then performed for each candidate predictor with 30-day all-cause mortality as the outcome, and variables with a univariate </w:t>
      </w:r>
      <w:r>
        <w:rPr>
          <w:rFonts w:ascii="Times New Roman" w:hAnsi="Times New Roman" w:cs="Times New Roman"/>
          <w:i/>
          <w:iCs/>
        </w:rPr>
        <w:t>P</w:t>
      </w:r>
      <w:r>
        <w:rPr>
          <w:rFonts w:ascii="Times New Roman" w:hAnsi="Times New Roman" w:cs="Times New Roman"/>
        </w:rPr>
        <w:t xml:space="preserve"> value &lt;</w:t>
      </w:r>
      <w:r>
        <w:rPr>
          <w:rFonts w:ascii="Times New Roman" w:hAnsi="Times New Roman" w:cs="Times New Roman" w:hint="eastAsia"/>
        </w:rPr>
        <w:t xml:space="preserve"> </w:t>
      </w:r>
      <w:r>
        <w:rPr>
          <w:rFonts w:ascii="Times New Roman" w:hAnsi="Times New Roman" w:cs="Times New Roman"/>
        </w:rPr>
        <w:t>0.</w:t>
      </w:r>
      <w:r>
        <w:rPr>
          <w:rFonts w:ascii="Times New Roman" w:hAnsi="Times New Roman" w:cs="Times New Roman" w:hint="eastAsia"/>
        </w:rPr>
        <w:t>05</w:t>
      </w:r>
      <w:r>
        <w:rPr>
          <w:rFonts w:ascii="Times New Roman" w:hAnsi="Times New Roman" w:cs="Times New Roman"/>
        </w:rPr>
        <w:t xml:space="preserve"> were retained for subsequent feature selection.</w:t>
      </w:r>
      <w:r>
        <w:rPr>
          <w:rFonts w:ascii="Times New Roman" w:hAnsi="Times New Roman" w:cs="Times New Roman"/>
          <w:bCs/>
        </w:rPr>
        <w:t xml:space="preserve"> Least absolute shrinkage and selection operator (LASSO)-penalized logistic regression was subsequently performed exclusively in the training cohort. The elastic-net mixing parameter was fixed at α=1, corresponding to the LASSO penalty. Ten-fold cross-validation was used to determine the optimal regularization parameter, and variables with non-zero coefficients at the selected λ were retained and entered into the final multivariable logistic-regression model.</w:t>
      </w:r>
      <w:r w:rsidR="00464C39">
        <w:rPr>
          <w:rFonts w:ascii="Times New Roman" w:hAnsi="Times New Roman" w:cs="Times New Roman" w:hint="eastAsia"/>
          <w:bCs/>
        </w:rPr>
        <w:t xml:space="preserve"> </w:t>
      </w:r>
      <w:r>
        <w:rPr>
          <w:rFonts w:ascii="Times New Roman" w:hAnsi="Times New Roman" w:cs="Times New Roman"/>
          <w:bCs/>
        </w:rPr>
        <w:t>Ten-fold cross-validation was used to determine the optimal regularization parameter, with the value associated with the minimum mean cross-validated binomial deviance selected (λ</w:t>
      </w:r>
      <w:r>
        <w:rPr>
          <w:rFonts w:ascii="Times New Roman" w:hAnsi="Times New Roman" w:cs="Times New Roman"/>
          <w:bCs/>
          <w:vertAlign w:val="subscript"/>
        </w:rPr>
        <w:t>min</w:t>
      </w:r>
      <w:r>
        <w:rPr>
          <w:rFonts w:ascii="Times New Roman" w:hAnsi="Times New Roman" w:cs="Times New Roman"/>
          <w:bCs/>
        </w:rPr>
        <w:t>=0.0152). At this penalty level, 30 candidate predictors retained non-zero coefficients and were carried forward to the final prediction model.</w:t>
      </w:r>
    </w:p>
    <w:p w14:paraId="2F7BF965" w14:textId="77777777" w:rsidR="00C723C7" w:rsidRDefault="00000000">
      <w:pPr>
        <w:spacing w:line="440" w:lineRule="exact"/>
        <w:ind w:firstLineChars="200" w:firstLine="420"/>
        <w:rPr>
          <w:rFonts w:ascii="Times New Roman" w:hAnsi="Times New Roman" w:cs="Times New Roman"/>
        </w:rPr>
      </w:pPr>
      <w:r>
        <w:rPr>
          <w:rFonts w:ascii="Times New Roman" w:hAnsi="Times New Roman" w:cs="Times New Roman"/>
        </w:rPr>
        <w:t>The predictors selected by LASSO were subsequently entered into a multivariable logistic-regression model fitted in the training cohort. Regression coefficients estimated from this final logistic model were used to construct the clinical prognostic score (Clin-score):</w:t>
      </w:r>
    </w:p>
    <w:p w14:paraId="421B5C2D" w14:textId="3F74748E" w:rsidR="00C723C7" w:rsidRDefault="00000000">
      <w:pPr>
        <w:spacing w:before="120" w:after="360" w:line="440" w:lineRule="exact"/>
        <w:jc w:val="center"/>
        <w:rPr>
          <w:rFonts w:ascii="Times New Roman" w:hAnsi="Times New Roman" w:cs="Times New Roman"/>
        </w:rPr>
      </w:pPr>
      <m:oMathPara>
        <m:oMath>
          <m:r>
            <m:rPr>
              <m:sty m:val="p"/>
            </m:rPr>
            <w:rPr>
              <w:rFonts w:ascii="Cambria Math" w:hAnsi="Cambria Math" w:cs="Times New Roman"/>
            </w:rPr>
            <m:t>Clin</m:t>
          </m:r>
          <m:r>
            <m:rPr>
              <m:sty m:val="p"/>
            </m:rPr>
            <w:rPr>
              <w:rFonts w:ascii="Cambria Math" w:hAnsi="Cambria Math" w:cs="Times New Roman"/>
            </w:rPr>
            <m:t>-</m:t>
          </m:r>
          <m:r>
            <m:rPr>
              <m:sty m:val="p"/>
            </m:rPr>
            <w:rPr>
              <w:rFonts w:ascii="Cambria Math" w:hAnsi="Cambria Math" w:cs="Times New Roman"/>
            </w:rPr>
            <m:t>score</m:t>
          </m:r>
          <m:r>
            <w:rPr>
              <w:rFonts w:ascii="Cambria Math" w:hAnsi="Cambria Math" w:cs="Times New Roman"/>
            </w:rPr>
            <m:t xml:space="preserve"> = </m:t>
          </m:r>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0</m:t>
              </m:r>
            </m:sub>
          </m:sSub>
          <m:r>
            <w:rPr>
              <w:rFonts w:ascii="Cambria Math" w:hAnsi="Cambria Math" w:cs="Times New Roman"/>
            </w:rPr>
            <m:t xml:space="preserve"> + </m:t>
          </m:r>
          <m:nary>
            <m:naryPr>
              <m:chr m:val="∑"/>
              <m:limLoc m:val="undOvr"/>
              <m:ctrlPr>
                <w:rPr>
                  <w:rFonts w:ascii="Cambria Math" w:hAnsi="Cambria Math" w:cs="Times New Roman"/>
                </w:rPr>
              </m:ctrlPr>
            </m:naryPr>
            <m:sub>
              <m:r>
                <w:rPr>
                  <w:rFonts w:ascii="Cambria Math" w:hAnsi="Cambria Math" w:cs="Times New Roman"/>
                </w:rPr>
                <m:t>j=1</m:t>
              </m:r>
            </m:sub>
            <m:sup>
              <m:r>
                <w:rPr>
                  <w:rFonts w:ascii="Cambria Math" w:hAnsi="Cambria Math" w:cs="Times New Roman"/>
                </w:rPr>
                <m:t>p</m:t>
              </m:r>
            </m:sup>
            <m:e>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j</m:t>
                  </m:r>
                </m:sub>
              </m:sSub>
              <m:sSub>
                <m:sSubPr>
                  <m:ctrlPr>
                    <w:rPr>
                      <w:rFonts w:ascii="Cambria Math" w:hAnsi="Cambria Math" w:cs="Times New Roman"/>
                    </w:rPr>
                  </m:ctrlPr>
                </m:sSubPr>
                <m:e>
                  <m:r>
                    <w:rPr>
                      <w:rFonts w:ascii="Cambria Math" w:hAnsi="Cambria Math" w:cs="Times New Roman"/>
                    </w:rPr>
                    <m:t>X</m:t>
                  </m:r>
                </m:e>
                <m:sub>
                  <m:r>
                    <w:rPr>
                      <w:rFonts w:ascii="Cambria Math" w:hAnsi="Cambria Math" w:cs="Times New Roman"/>
                    </w:rPr>
                    <m:t>j</m:t>
                  </m:r>
                </m:sub>
              </m:sSub>
            </m:e>
          </m:nary>
        </m:oMath>
      </m:oMathPara>
    </w:p>
    <w:p w14:paraId="2EAC04F0" w14:textId="77777777" w:rsidR="00C723C7" w:rsidRDefault="00000000">
      <w:pPr>
        <w:spacing w:line="440" w:lineRule="exact"/>
        <w:rPr>
          <w:rFonts w:ascii="Times New Roman" w:hAnsi="Times New Roman" w:cs="Times New Roman"/>
        </w:rPr>
      </w:pPr>
      <w:r>
        <w:rPr>
          <w:rFonts w:ascii="Times New Roman" w:hAnsi="Times New Roman" w:cs="Times New Roman"/>
        </w:rPr>
        <w:t xml:space="preserve">where </w:t>
      </w:r>
      <m:oMath>
        <m:sSub>
          <m:sSubPr>
            <m:ctrlPr>
              <w:rPr>
                <w:rFonts w:ascii="Cambria Math" w:hAnsi="Cambria Math" w:cs="Times New Roman"/>
              </w:rPr>
            </m:ctrlPr>
          </m:sSubPr>
          <m:e>
            <m:r>
              <w:rPr>
                <w:rFonts w:ascii="Cambria Math" w:hAnsi="Cambria Math" w:cs="Times New Roman"/>
              </w:rPr>
              <m:t>X</m:t>
            </m:r>
          </m:e>
          <m:sub>
            <m:r>
              <w:rPr>
                <w:rFonts w:ascii="Cambria Math" w:hAnsi="Cambria Math" w:cs="Times New Roman"/>
              </w:rPr>
              <m:t>j</m:t>
            </m:r>
          </m:sub>
        </m:sSub>
      </m:oMath>
      <w:r>
        <w:rPr>
          <w:rFonts w:ascii="Times New Roman" w:hAnsi="Times New Roman" w:cs="Times New Roman"/>
        </w:rPr>
        <w:t xml:space="preserve"> represents the value of the </w:t>
      </w:r>
      <m:oMath>
        <m:r>
          <w:rPr>
            <w:rFonts w:ascii="Cambria Math" w:hAnsi="Cambria Math" w:cs="Times New Roman"/>
          </w:rPr>
          <m:t>j</m:t>
        </m:r>
      </m:oMath>
      <w:r>
        <w:rPr>
          <w:rFonts w:ascii="Times New Roman" w:hAnsi="Times New Roman" w:cs="Times New Roman"/>
        </w:rPr>
        <w:t xml:space="preserve">th selected predictor, </w:t>
      </w:r>
      <m:oMath>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j</m:t>
            </m:r>
          </m:sub>
        </m:sSub>
      </m:oMath>
      <w:r>
        <w:rPr>
          <w:rFonts w:ascii="Times New Roman" w:hAnsi="Times New Roman" w:cs="Times New Roman"/>
        </w:rPr>
        <w:t xml:space="preserve"> its corresponding coefficient estimated from the final multivariable logistic-regression model, and </w:t>
      </w:r>
      <m:oMath>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0</m:t>
            </m:r>
          </m:sub>
        </m:sSub>
      </m:oMath>
      <w:r>
        <w:rPr>
          <w:rFonts w:ascii="Times New Roman" w:hAnsi="Times New Roman" w:cs="Times New Roman"/>
        </w:rPr>
        <w:t xml:space="preserve"> the model intercept. The probability of 30-day mortality for each patient was calculated using the logistic transformation:</w:t>
      </w:r>
    </w:p>
    <w:p w14:paraId="184635D2" w14:textId="5F8FA69A" w:rsidR="00C723C7" w:rsidRDefault="00000000">
      <w:pPr>
        <w:spacing w:before="120" w:after="360" w:line="440" w:lineRule="exact"/>
        <w:jc w:val="center"/>
        <w:rPr>
          <w:rFonts w:ascii="Times New Roman" w:hAnsi="Times New Roman" w:cs="Times New Roman"/>
        </w:rPr>
      </w:pPr>
      <m:oMathPara>
        <m:oMath>
          <m:r>
            <w:rPr>
              <w:rFonts w:ascii="Cambria Math" w:hAnsi="Cambria Math" w:cs="Times New Roman"/>
            </w:rPr>
            <m:t>P</m:t>
          </m:r>
          <m:r>
            <m:rPr>
              <m:sty m:val="p"/>
            </m:rPr>
            <w:rPr>
              <w:rFonts w:ascii="Cambria Math" w:hAnsi="Cambria Math" w:cs="Times New Roman"/>
            </w:rPr>
            <m:t xml:space="preserve">(30-day mortality) = </m:t>
          </m:r>
          <m:f>
            <m:fPr>
              <m:ctrlPr>
                <w:rPr>
                  <w:rFonts w:ascii="Cambria Math" w:hAnsi="Cambria Math" w:cs="Times New Roman"/>
                </w:rPr>
              </m:ctrlPr>
            </m:fPr>
            <m:num>
              <m:r>
                <m:rPr>
                  <m:sty m:val="p"/>
                </m:rPr>
                <w:rPr>
                  <w:rFonts w:ascii="Cambria Math" w:hAnsi="Cambria Math" w:cs="Times New Roman"/>
                </w:rPr>
                <m:t>exp(Clin</m:t>
              </m:r>
              <m:r>
                <m:rPr>
                  <m:sty m:val="p"/>
                </m:rPr>
                <w:rPr>
                  <w:rFonts w:ascii="Cambria Math" w:hAnsi="Cambria Math" w:cs="Times New Roman"/>
                </w:rPr>
                <m:t>-</m:t>
              </m:r>
              <m:r>
                <m:rPr>
                  <m:sty m:val="p"/>
                </m:rPr>
                <w:rPr>
                  <w:rFonts w:ascii="Cambria Math" w:hAnsi="Cambria Math" w:cs="Times New Roman"/>
                </w:rPr>
                <m:t>score)</m:t>
              </m:r>
            </m:num>
            <m:den>
              <m:r>
                <m:rPr>
                  <m:sty m:val="p"/>
                </m:rPr>
                <w:rPr>
                  <w:rFonts w:ascii="Cambria Math" w:hAnsi="Cambria Math" w:cs="Times New Roman"/>
                </w:rPr>
                <m:t>1 + exp(Clin</m:t>
              </m:r>
              <m:r>
                <m:rPr>
                  <m:sty m:val="p"/>
                </m:rPr>
                <w:rPr>
                  <w:rFonts w:ascii="Cambria Math" w:hAnsi="Cambria Math" w:cs="Times New Roman"/>
                </w:rPr>
                <m:t>-</m:t>
              </m:r>
              <m:r>
                <m:rPr>
                  <m:sty m:val="p"/>
                </m:rPr>
                <w:rPr>
                  <w:rFonts w:ascii="Cambria Math" w:hAnsi="Cambria Math" w:cs="Times New Roman"/>
                </w:rPr>
                <m:t>score)</m:t>
              </m:r>
            </m:den>
          </m:f>
          <m:r>
            <m:rPr>
              <m:sty m:val="p"/>
            </m:rPr>
            <w:rPr>
              <w:rFonts w:ascii="Cambria Math" w:hAnsi="Cambria Math" w:cs="Times New Roman"/>
            </w:rPr>
            <m:t>.</m:t>
          </m:r>
        </m:oMath>
      </m:oMathPara>
    </w:p>
    <w:p w14:paraId="6F03917B" w14:textId="708A21E0" w:rsidR="00C723C7" w:rsidRDefault="00000000" w:rsidP="00BC1A5A">
      <w:pPr>
        <w:spacing w:line="440" w:lineRule="exact"/>
        <w:ind w:firstLineChars="200" w:firstLine="420"/>
        <w:rPr>
          <w:rFonts w:ascii="Times New Roman" w:hAnsi="Times New Roman" w:cs="Times New Roman"/>
          <w:bCs/>
        </w:rPr>
      </w:pPr>
      <w:r>
        <w:rPr>
          <w:rFonts w:ascii="Times New Roman" w:hAnsi="Times New Roman" w:cs="Times New Roman"/>
          <w:bCs/>
        </w:rPr>
        <w:t xml:space="preserve">All steps of predictor selection, hyperparameter tuning, and final model estimation were confined to the training cohort. Neither the internal-test nor the external-validation cohort was used during model development. After fitting the final model, the selected predictor set, regression coefficients, and intercept were fixed and applied unchanged to the internal-test and external-validation cohorts to generate patient-level predicted probabilities. The final predictors and </w:t>
      </w:r>
      <w:r>
        <w:rPr>
          <w:rFonts w:ascii="Times New Roman" w:hAnsi="Times New Roman" w:cs="Times New Roman"/>
          <w:bCs/>
        </w:rPr>
        <w:lastRenderedPageBreak/>
        <w:t>corresponding regression coefficients are reported in</w:t>
      </w:r>
      <w:r>
        <w:rPr>
          <w:rFonts w:ascii="Times New Roman" w:hAnsi="Times New Roman" w:cs="Times New Roman"/>
          <w:b/>
          <w:bCs/>
        </w:rPr>
        <w:t xml:space="preserve"> Table S</w:t>
      </w:r>
      <w:r w:rsidR="002D5D9E">
        <w:rPr>
          <w:rFonts w:ascii="Times New Roman" w:hAnsi="Times New Roman" w:cs="Times New Roman" w:hint="eastAsia"/>
          <w:b/>
          <w:bCs/>
        </w:rPr>
        <w:t>6</w:t>
      </w:r>
      <w:r>
        <w:rPr>
          <w:rFonts w:ascii="Times New Roman" w:hAnsi="Times New Roman" w:cs="Times New Roman"/>
          <w:bCs/>
        </w:rPr>
        <w:t>.</w:t>
      </w:r>
    </w:p>
    <w:p w14:paraId="08BE85F9" w14:textId="77777777" w:rsidR="0048523B" w:rsidRPr="00BC1A5A" w:rsidRDefault="0048523B" w:rsidP="00BC1A5A">
      <w:pPr>
        <w:spacing w:line="440" w:lineRule="exact"/>
        <w:ind w:firstLineChars="200" w:firstLine="420"/>
        <w:rPr>
          <w:rFonts w:ascii="Times New Roman" w:hAnsi="Times New Roman" w:cs="Times New Roman"/>
          <w:bCs/>
        </w:rPr>
      </w:pPr>
    </w:p>
    <w:p w14:paraId="76F10F4C" w14:textId="77777777" w:rsidR="00C723C7" w:rsidRDefault="00000000">
      <w:pPr>
        <w:spacing w:line="440" w:lineRule="exact"/>
        <w:rPr>
          <w:rFonts w:ascii="Times New Roman" w:hAnsi="Times New Roman" w:cs="Times New Roman"/>
          <w:b/>
        </w:rPr>
      </w:pPr>
      <w:r>
        <w:rPr>
          <w:rFonts w:ascii="Times New Roman" w:hAnsi="Times New Roman" w:cs="Times New Roman"/>
          <w:b/>
        </w:rPr>
        <w:t>Radiomics pipeline and radiomic‑model construction</w:t>
      </w:r>
    </w:p>
    <w:p w14:paraId="716DDE7B" w14:textId="2251385D" w:rsidR="00C723C7" w:rsidRDefault="00000000">
      <w:pPr>
        <w:spacing w:line="440" w:lineRule="exact"/>
        <w:ind w:firstLineChars="200" w:firstLine="420"/>
        <w:rPr>
          <w:rFonts w:ascii="Times New Roman" w:hAnsi="Times New Roman" w:cs="Times New Roman"/>
        </w:rPr>
      </w:pPr>
      <w:r>
        <w:rPr>
          <w:rFonts w:ascii="Times New Roman" w:hAnsi="Times New Roman" w:cs="Times New Roman"/>
        </w:rPr>
        <w:t>Lung masks served as the regions of interest for radiomic feature extraction. CT volumes were resampled to isotropic 1 × 1 × 1 mm voxel resolution, and lung-window settings (WW 1500 HU, WL −600 HU) were applied for intensity normalization. Only original (unfiltered) images were used for feature extraction. A total of 104 radiomic features were extracted, including first-order statistics, shape-based features, and texture features derived from the gray-level co-occurrence matrix (GLCM), gray-level dependence matrix (GLDM), gray-level run-length matrix (GLRLM), gray-level size-zone matrix (GLSZM), and neighboring gray-tone difference matrix (NGTDM). Feature reproducibility was assessed using the intraclass correlation coefficient (ICC), and features with an ICC &gt;0.85 were retained. After redundancy reduction, LASSO-penalized logistic regression was performed exclusively in the training cohort to select the final radiomic features. The retained features were subsequently entered into a multivariable logistic regression model to derive the Radscore and corresponding 30-day mortality probability. All feature-selection procedures and model parameters were determined using the training cohort and subsequently applied unchanged to the internal-test and external-validation cohorts.</w:t>
      </w:r>
    </w:p>
    <w:p w14:paraId="6AF9C6BA" w14:textId="214649B1" w:rsidR="00C723C7" w:rsidRDefault="00000000">
      <w:pPr>
        <w:spacing w:line="440" w:lineRule="exact"/>
        <w:ind w:firstLineChars="200" w:firstLine="420"/>
        <w:rPr>
          <w:rFonts w:ascii="Times New Roman" w:hAnsi="Times New Roman" w:cs="Times New Roman"/>
        </w:rPr>
      </w:pPr>
      <w:r>
        <w:rPr>
          <w:rFonts w:ascii="Times New Roman" w:hAnsi="Times New Roman" w:cs="Times New Roman"/>
        </w:rPr>
        <w:t xml:space="preserve">The optimal penalty λ was determined as 0.00298, yielding 25 non‑zero radiomic features. These selected features were combined to construct the radiomic‑based prognostic score (Radscore). The full Radscore formula and corresponding coefficients are provided in Supplementary </w:t>
      </w:r>
      <w:r>
        <w:rPr>
          <w:rFonts w:ascii="Times New Roman" w:hAnsi="Times New Roman" w:cs="Times New Roman"/>
          <w:b/>
          <w:bCs/>
        </w:rPr>
        <w:t>Table S</w:t>
      </w:r>
      <w:r w:rsidR="00B06262">
        <w:rPr>
          <w:rFonts w:ascii="Times New Roman" w:hAnsi="Times New Roman" w:cs="Times New Roman" w:hint="eastAsia"/>
          <w:b/>
          <w:bCs/>
        </w:rPr>
        <w:t>7</w:t>
      </w:r>
      <w:r>
        <w:rPr>
          <w:rFonts w:ascii="Times New Roman" w:hAnsi="Times New Roman" w:cs="Times New Roman"/>
        </w:rPr>
        <w:t>. The Radscore was further used to build the final radiomic logistic‑regression model for 30‑day mortality prediction, outputting patient‑level mortality probability. Radiomic‑model performance was assessed by ROC‑AUC, Hosmer‑Lemeshow test, calibration curves, and decision‑curve analysis.</w:t>
      </w:r>
    </w:p>
    <w:p w14:paraId="65F22C9E" w14:textId="77777777" w:rsidR="00C723C7" w:rsidRDefault="00C723C7">
      <w:pPr>
        <w:rPr>
          <w:rFonts w:ascii="Times New Roman" w:hAnsi="Times New Roman" w:cs="Times New Roman"/>
        </w:rPr>
      </w:pPr>
    </w:p>
    <w:p w14:paraId="16A6936D" w14:textId="77777777" w:rsidR="00C723C7" w:rsidRDefault="00000000">
      <w:pPr>
        <w:spacing w:line="440" w:lineRule="exact"/>
        <w:rPr>
          <w:rFonts w:ascii="Times New Roman" w:hAnsi="Times New Roman" w:cs="Times New Roman"/>
          <w:b/>
          <w:bCs/>
        </w:rPr>
      </w:pPr>
      <w:r>
        <w:rPr>
          <w:rFonts w:ascii="Times New Roman" w:hAnsi="Times New Roman" w:cs="Times New Roman"/>
          <w:b/>
          <w:bCs/>
        </w:rPr>
        <w:t>ARDS‑Net deep‑learning model implementation</w:t>
      </w:r>
    </w:p>
    <w:p w14:paraId="3461F927" w14:textId="7D732D1D" w:rsidR="00C723C7" w:rsidRDefault="00000000">
      <w:pPr>
        <w:spacing w:line="440" w:lineRule="exact"/>
        <w:ind w:firstLineChars="200" w:firstLine="420"/>
        <w:rPr>
          <w:rFonts w:ascii="Times New Roman" w:hAnsi="Times New Roman" w:cs="Times New Roman"/>
          <w:bCs/>
        </w:rPr>
      </w:pPr>
      <w:r>
        <w:rPr>
          <w:rFonts w:ascii="Times New Roman" w:hAnsi="Times New Roman" w:cs="Times New Roman"/>
          <w:bCs/>
        </w:rPr>
        <w:t>ARDS‑Net (ResidualNetUseMask) is a 3D ResNet‑based convolutional network for 30‑day mortality binary classification from chest CT volumes</w:t>
      </w:r>
      <w:r>
        <w:rPr>
          <w:rFonts w:ascii="Times New Roman" w:hAnsi="Times New Roman" w:cs="Times New Roman" w:hint="eastAsia"/>
          <w:bCs/>
        </w:rPr>
        <w:t xml:space="preserve"> </w:t>
      </w:r>
      <w:r>
        <w:rPr>
          <w:rFonts w:ascii="Times New Roman" w:hAnsi="Times New Roman" w:cs="Times New Roman"/>
          <w:bCs/>
        </w:rPr>
        <w:fldChar w:fldCharType="begin">
          <w:fldData xml:space="preserve">PEVuZE5vdGU+PENpdGU+PEF1dGhvcj5aaGFuZzwvQXV0aG9yPjxZZWFyPjIwMjI8L1llYXI+PFJl
Y051bT42Mzc8L1JlY051bT48RGlzcGxheVRleHQ+WzFdPC9EaXNwbGF5VGV4dD48cmVjb3JkPjxy
ZWMtbnVtYmVyPjYzNzwvcmVjLW51bWJlcj48Zm9yZWlnbi1rZXlzPjxrZXkgYXBwPSJFTiIgZGIt
aWQ9InZhMHZ3ZHJycGV3dmU3ZXRhZXJ4cnBmNXZ3MmQweGY1ZDJzZiIgdGltZXN0YW1wPSIxNzg5
NTU4OTA3Ij42Mzc8L2tleT48L2ZvcmVpZ24ta2V5cz48cmVmLXR5cGUgbmFtZT0iSm91cm5hbCBB
cnRpY2xlIj4xNzwvcmVmLXR5cGU+PGNvbnRyaWJ1dG9ycz48YXV0aG9ycz48YXV0aG9yPlpoYW5n
LCBSLjwvYXV0aG9yPjxhdXRob3I+V2VpLCBZLjwvYXV0aG9yPjxhdXRob3I+U2hpLCBGLjwvYXV0
aG9yPjxhdXRob3I+UmVuLCBKLjwvYXV0aG9yPjxhdXRob3I+WmhvdSwgUS48L2F1dGhvcj48YXV0
aG9yPkxpLCBXLjwvYXV0aG9yPjxhdXRob3I+Q2hlbiwgQi48L2F1dGhvcj48L2F1dGhvcnM+PC9j
b250cmlidXRvcnM+PGF1dGgtYWRkcmVzcz5EZXBhcnRtZW50IG9mIFB1bG1vbmFyeSBhbmQgQ3Jp
dGljYWwgQ2FyZSBNZWRpY2luZSwgV2VzdCBDaGluYSBIb3NwaXRhbCwgU2ljaHVhbiBVbml2ZXJz
aXR5LCAzNyBHdW9YdWUgQWxsZXksIFd1aG91IERpc3RyaWN0LCBDaGVuZ2R1LCBTaWNodWFuIFBy
b3ZpbmNlLCA2MTAwNDEsIFBlb3BsZSZhcG9zO3MgUmVwdWJsaWMgb2YgQ2hpbmEuJiN4RDtEZXBh
cnRtZW50IG9mIFJlc2VhcmNoIGFuZCBEZXZlbG9wbWVudCwgU2hhbmdoYWkgVW5pdGVkIEltYWdp
bmcgSW50ZWxsaWdlbmNlIENvLiwgTHRkLiwgU2hhbmdoYWksIENoaW5hLiYjeEQ7RGVwYXJ0bWVu
dCBvZiBQdWxtb25hcnkgYW5kIENyaXRpY2FsIENhcmUgTWVkaWNpbmUsIFdlc3QgQ2hpbmEgSG9z
cGl0YWwsIFNpY2h1YW4gVW5pdmVyc2l0eSwgMzcgR3VvWHVlIEFsbGV5LCBXdWhvdSBEaXN0cmlj
dCwgQ2hlbmdkdSwgU2ljaHVhbiBQcm92aW5jZSwgNjEwMDQxLCBQZW9wbGUmYXBvcztzIFJlcHVi
bGljIG9mIENoaW5hLiB3ZWltaW4wMDNAMTYzLmNvbS4mI3hEO0RlcGFydG1lbnQgb2YgUHVsbW9u
YXJ5IGFuZCBDcml0aWNhbCBDYXJlIE1lZGljaW5lLCBXZXN0IENoaW5hIEhvc3BpdGFsLCBTaWNo
dWFuIFVuaXZlcnNpdHksIDM3IEd1b1h1ZSBBbGxleSwgV3Vob3UgRGlzdHJpY3QsIENoZW5nZHUs
IFNpY2h1YW4gUHJvdmluY2UsIDYxMDA0MSwgUGVvcGxlJmFwb3M7cyBSZXB1YmxpYyBvZiBDaGlu
YS4gY2poY2JqQGdtYWlsLmNvbS48L2F1dGgtYWRkcmVzcz48dGl0bGVzPjx0aXRsZT5UaGUgZGlh
Z25vc3RpYyBhbmQgcHJvZ25vc3RpYyB2YWx1ZSBvZiByYWRpb21pY3MgYW5kIGRlZXAgbGVhcm5p
bmcgdGVjaG5vbG9naWVzIGZvciBwYXRpZW50cyB3aXRoIHNvbGlkIHB1bG1vbmFyeSBub2R1bGVz
IGluIGNoZXN0IENUIGltYWdlczwvdGl0bGU+PHNlY29uZGFyeS10aXRsZT5CTUMgQ2FuY2VyPC9z
ZWNvbmRhcnktdGl0bGU+PC90aXRsZXM+PHBlcmlvZGljYWw+PGZ1bGwtdGl0bGU+Qk1DIENhbmNl
cjwvZnVsbC10aXRsZT48L3BlcmlvZGljYWw+PHBhZ2VzPjExMTg8L3BhZ2VzPjx2b2x1bWU+MjI8
L3ZvbHVtZT48bnVtYmVyPjE8L251bWJlcj48ZWRpdGlvbj4yMDIyMTEwMTwvZWRpdGlvbj48a2V5
d29yZHM+PGtleXdvcmQ+SHVtYW5zPC9rZXl3b3JkPjxrZXl3b3JkPipBZGVub2NhcmNpbm9tYSBv
ZiBMdW5nL3BhdGhvbG9neTwva2V5d29yZD48a2V5d29yZD4qTHVuZyBOZW9wbGFzbXMvcGF0aG9s
b2d5PC9rZXl3b3JkPjxrZXl3b3JkPipEZWVwIExlYXJuaW5nPC9rZXl3b3JkPjxrZXl3b3JkPlBy
b2dub3Npczwva2V5d29yZD48a2V5d29yZD5SZXRyb3NwZWN0aXZlIFN0dWRpZXM8L2tleXdvcmQ+
PGtleXdvcmQ+VG9tb2dyYXBoeSwgWC1SYXkgQ29tcHV0ZWQvbWV0aG9kczwva2V5d29yZD48a2V5
d29yZD4qQWRlbm9jYXJjaW5vbWEvcGF0aG9sb2d5PC9rZXl3b3JkPjxrZXl3b3JkPkFkZW5vY2Fy
Y2lub21hPC9rZXl3b3JkPjxrZXl3b3JkPkRlZXAgbGVhcm5pbmc8L2tleXdvcmQ+PGtleXdvcmQ+
RGlzZWFzZS1mcmVlIHN1cnZpdmFsPC9rZXl3b3JkPjxrZXl3b3JkPlJhZGlvbWljczwva2V5d29y
ZD48a2V5d29yZD5Tb2xpZCBwdWxtb25hcnkgbm9kdWxlczwva2V5d29yZD48L2tleXdvcmRzPjxk
YXRlcz48eWVhcj4yMDIyPC95ZWFyPjxwdWItZGF0ZXM+PGRhdGU+Tm92IDE8L2RhdGU+PC9wdWIt
ZGF0ZXM+PC9kYXRlcz48aXNibj4xNDcxLTI0MDcgKEVsZWN0cm9uaWMpJiN4RDsxNDcxLTI0MDcg
KExpbmtpbmcpPC9pc2JuPjxhY2Nlc3Npb24tbnVtPjM2MzE5OTY4PC9hY2Nlc3Npb24tbnVtPjx1
cmxzPjxyZWxhdGVkLXVybHM+PHVybD5odHRwczovL3d3dy5uY2JpLm5sbS5uaWguZ292L3B1Ym1l
ZC8zNjMxOTk2ODwvdXJsPjwvcmVsYXRlZC11cmxzPjwvdXJscz48Y3VzdG9tMT5UaGUgYXV0aG9y
cyByZXBvcnQgbm8gY29uZmxpY3RzIG9mIGludGVyZXN0IGluIHRoaXMgd29yay48L2N1c3RvbTE+
PGN1c3RvbTI+UE1DOTYyODE3MzwvY3VzdG9tMj48ZWxlY3Ryb25pYy1yZXNvdXJjZS1udW0+MTAu
MTE4Ni9zMTI4ODUtMDIyLTEwMjI0LXo8L2VsZWN0cm9uaWMtcmVzb3VyY2UtbnVtPjxyZW1vdGUt
ZGF0YWJhc2UtbmFtZT5NZWRsaW5lPC9yZW1vdGUtZGF0YWJhc2UtbmFtZT48cmVtb3RlLWRhdGFi
YXNlLXByb3ZpZGVyPk5MTTwvcmVtb3RlLWRhdGFiYXNlLXByb3ZpZGVyPjwvcmVjb3JkPjwvQ2l0
ZT48L0VuZE5vdGU+
</w:fldData>
        </w:fldChar>
      </w:r>
      <w:r w:rsidR="00A804EA">
        <w:rPr>
          <w:rFonts w:ascii="Times New Roman" w:hAnsi="Times New Roman" w:cs="Times New Roman"/>
          <w:bCs/>
        </w:rPr>
        <w:instrText xml:space="preserve"> ADDIN EN.CITE </w:instrText>
      </w:r>
      <w:r w:rsidR="00A804EA">
        <w:rPr>
          <w:rFonts w:ascii="Times New Roman" w:hAnsi="Times New Roman" w:cs="Times New Roman"/>
          <w:bCs/>
        </w:rPr>
        <w:fldChar w:fldCharType="begin">
          <w:fldData xml:space="preserve">PEVuZE5vdGU+PENpdGU+PEF1dGhvcj5aaGFuZzwvQXV0aG9yPjxZZWFyPjIwMjI8L1llYXI+PFJl
Y051bT42Mzc8L1JlY051bT48RGlzcGxheVRleHQ+WzFdPC9EaXNwbGF5VGV4dD48cmVjb3JkPjxy
ZWMtbnVtYmVyPjYzNzwvcmVjLW51bWJlcj48Zm9yZWlnbi1rZXlzPjxrZXkgYXBwPSJFTiIgZGIt
aWQ9InZhMHZ3ZHJycGV3dmU3ZXRhZXJ4cnBmNXZ3MmQweGY1ZDJzZiIgdGltZXN0YW1wPSIxNzg5
NTU4OTA3Ij42Mzc8L2tleT48L2ZvcmVpZ24ta2V5cz48cmVmLXR5cGUgbmFtZT0iSm91cm5hbCBB
cnRpY2xlIj4xNzwvcmVmLXR5cGU+PGNvbnRyaWJ1dG9ycz48YXV0aG9ycz48YXV0aG9yPlpoYW5n
LCBSLjwvYXV0aG9yPjxhdXRob3I+V2VpLCBZLjwvYXV0aG9yPjxhdXRob3I+U2hpLCBGLjwvYXV0
aG9yPjxhdXRob3I+UmVuLCBKLjwvYXV0aG9yPjxhdXRob3I+WmhvdSwgUS48L2F1dGhvcj48YXV0
aG9yPkxpLCBXLjwvYXV0aG9yPjxhdXRob3I+Q2hlbiwgQi48L2F1dGhvcj48L2F1dGhvcnM+PC9j
b250cmlidXRvcnM+PGF1dGgtYWRkcmVzcz5EZXBhcnRtZW50IG9mIFB1bG1vbmFyeSBhbmQgQ3Jp
dGljYWwgQ2FyZSBNZWRpY2luZSwgV2VzdCBDaGluYSBIb3NwaXRhbCwgU2ljaHVhbiBVbml2ZXJz
aXR5LCAzNyBHdW9YdWUgQWxsZXksIFd1aG91IERpc3RyaWN0LCBDaGVuZ2R1LCBTaWNodWFuIFBy
b3ZpbmNlLCA2MTAwNDEsIFBlb3BsZSZhcG9zO3MgUmVwdWJsaWMgb2YgQ2hpbmEuJiN4RDtEZXBh
cnRtZW50IG9mIFJlc2VhcmNoIGFuZCBEZXZlbG9wbWVudCwgU2hhbmdoYWkgVW5pdGVkIEltYWdp
bmcgSW50ZWxsaWdlbmNlIENvLiwgTHRkLiwgU2hhbmdoYWksIENoaW5hLiYjeEQ7RGVwYXJ0bWVu
dCBvZiBQdWxtb25hcnkgYW5kIENyaXRpY2FsIENhcmUgTWVkaWNpbmUsIFdlc3QgQ2hpbmEgSG9z
cGl0YWwsIFNpY2h1YW4gVW5pdmVyc2l0eSwgMzcgR3VvWHVlIEFsbGV5LCBXdWhvdSBEaXN0cmlj
dCwgQ2hlbmdkdSwgU2ljaHVhbiBQcm92aW5jZSwgNjEwMDQxLCBQZW9wbGUmYXBvcztzIFJlcHVi
bGljIG9mIENoaW5hLiB3ZWltaW4wMDNAMTYzLmNvbS4mI3hEO0RlcGFydG1lbnQgb2YgUHVsbW9u
YXJ5IGFuZCBDcml0aWNhbCBDYXJlIE1lZGljaW5lLCBXZXN0IENoaW5hIEhvc3BpdGFsLCBTaWNo
dWFuIFVuaXZlcnNpdHksIDM3IEd1b1h1ZSBBbGxleSwgV3Vob3UgRGlzdHJpY3QsIENoZW5nZHUs
IFNpY2h1YW4gUHJvdmluY2UsIDYxMDA0MSwgUGVvcGxlJmFwb3M7cyBSZXB1YmxpYyBvZiBDaGlu
YS4gY2poY2JqQGdtYWlsLmNvbS48L2F1dGgtYWRkcmVzcz48dGl0bGVzPjx0aXRsZT5UaGUgZGlh
Z25vc3RpYyBhbmQgcHJvZ25vc3RpYyB2YWx1ZSBvZiByYWRpb21pY3MgYW5kIGRlZXAgbGVhcm5p
bmcgdGVjaG5vbG9naWVzIGZvciBwYXRpZW50cyB3aXRoIHNvbGlkIHB1bG1vbmFyeSBub2R1bGVz
IGluIGNoZXN0IENUIGltYWdlczwvdGl0bGU+PHNlY29uZGFyeS10aXRsZT5CTUMgQ2FuY2VyPC9z
ZWNvbmRhcnktdGl0bGU+PC90aXRsZXM+PHBlcmlvZGljYWw+PGZ1bGwtdGl0bGU+Qk1DIENhbmNl
cjwvZnVsbC10aXRsZT48L3BlcmlvZGljYWw+PHBhZ2VzPjExMTg8L3BhZ2VzPjx2b2x1bWU+MjI8
L3ZvbHVtZT48bnVtYmVyPjE8L251bWJlcj48ZWRpdGlvbj4yMDIyMTEwMTwvZWRpdGlvbj48a2V5
d29yZHM+PGtleXdvcmQ+SHVtYW5zPC9rZXl3b3JkPjxrZXl3b3JkPipBZGVub2NhcmNpbm9tYSBv
ZiBMdW5nL3BhdGhvbG9neTwva2V5d29yZD48a2V5d29yZD4qTHVuZyBOZW9wbGFzbXMvcGF0aG9s
b2d5PC9rZXl3b3JkPjxrZXl3b3JkPipEZWVwIExlYXJuaW5nPC9rZXl3b3JkPjxrZXl3b3JkPlBy
b2dub3Npczwva2V5d29yZD48a2V5d29yZD5SZXRyb3NwZWN0aXZlIFN0dWRpZXM8L2tleXdvcmQ+
PGtleXdvcmQ+VG9tb2dyYXBoeSwgWC1SYXkgQ29tcHV0ZWQvbWV0aG9kczwva2V5d29yZD48a2V5
d29yZD4qQWRlbm9jYXJjaW5vbWEvcGF0aG9sb2d5PC9rZXl3b3JkPjxrZXl3b3JkPkFkZW5vY2Fy
Y2lub21hPC9rZXl3b3JkPjxrZXl3b3JkPkRlZXAgbGVhcm5pbmc8L2tleXdvcmQ+PGtleXdvcmQ+
RGlzZWFzZS1mcmVlIHN1cnZpdmFsPC9rZXl3b3JkPjxrZXl3b3JkPlJhZGlvbWljczwva2V5d29y
ZD48a2V5d29yZD5Tb2xpZCBwdWxtb25hcnkgbm9kdWxlczwva2V5d29yZD48L2tleXdvcmRzPjxk
YXRlcz48eWVhcj4yMDIyPC95ZWFyPjxwdWItZGF0ZXM+PGRhdGU+Tm92IDE8L2RhdGU+PC9wdWIt
ZGF0ZXM+PC9kYXRlcz48aXNibj4xNDcxLTI0MDcgKEVsZWN0cm9uaWMpJiN4RDsxNDcxLTI0MDcg
KExpbmtpbmcpPC9pc2JuPjxhY2Nlc3Npb24tbnVtPjM2MzE5OTY4PC9hY2Nlc3Npb24tbnVtPjx1
cmxzPjxyZWxhdGVkLXVybHM+PHVybD5odHRwczovL3d3dy5uY2JpLm5sbS5uaWguZ292L3B1Ym1l
ZC8zNjMxOTk2ODwvdXJsPjwvcmVsYXRlZC11cmxzPjwvdXJscz48Y3VzdG9tMT5UaGUgYXV0aG9y
cyByZXBvcnQgbm8gY29uZmxpY3RzIG9mIGludGVyZXN0IGluIHRoaXMgd29yay48L2N1c3RvbTE+
PGN1c3RvbTI+UE1DOTYyODE3MzwvY3VzdG9tMj48ZWxlY3Ryb25pYy1yZXNvdXJjZS1udW0+MTAu
MTE4Ni9zMTI4ODUtMDIyLTEwMjI0LXo8L2VsZWN0cm9uaWMtcmVzb3VyY2UtbnVtPjxyZW1vdGUt
ZGF0YWJhc2UtbmFtZT5NZWRsaW5lPC9yZW1vdGUtZGF0YWJhc2UtbmFtZT48cmVtb3RlLWRhdGFi
YXNlLXByb3ZpZGVyPk5MTTwvcmVtb3RlLWRhdGFiYXNlLXByb3ZpZGVyPjwvcmVjb3JkPjwvQ2l0
ZT48L0VuZE5vdGU+
</w:fldData>
        </w:fldChar>
      </w:r>
      <w:r w:rsidR="00A804EA">
        <w:rPr>
          <w:rFonts w:ascii="Times New Roman" w:hAnsi="Times New Roman" w:cs="Times New Roman"/>
          <w:bCs/>
        </w:rPr>
        <w:instrText xml:space="preserve"> ADDIN EN.CITE.DATA </w:instrText>
      </w:r>
      <w:r w:rsidR="00A804EA">
        <w:rPr>
          <w:rFonts w:ascii="Times New Roman" w:hAnsi="Times New Roman" w:cs="Times New Roman"/>
          <w:bCs/>
        </w:rPr>
      </w:r>
      <w:r w:rsidR="00A804EA">
        <w:rPr>
          <w:rFonts w:ascii="Times New Roman" w:hAnsi="Times New Roman" w:cs="Times New Roman"/>
          <w:bCs/>
        </w:rPr>
        <w:fldChar w:fldCharType="end"/>
      </w:r>
      <w:r>
        <w:rPr>
          <w:rFonts w:ascii="Times New Roman" w:hAnsi="Times New Roman" w:cs="Times New Roman"/>
          <w:bCs/>
        </w:rPr>
      </w:r>
      <w:r>
        <w:rPr>
          <w:rFonts w:ascii="Times New Roman" w:hAnsi="Times New Roman" w:cs="Times New Roman"/>
          <w:bCs/>
        </w:rPr>
        <w:fldChar w:fldCharType="separate"/>
      </w:r>
      <w:r w:rsidR="00A804EA">
        <w:rPr>
          <w:rFonts w:ascii="Times New Roman" w:hAnsi="Times New Roman" w:cs="Times New Roman"/>
          <w:bCs/>
          <w:noProof/>
        </w:rPr>
        <w:t>[1]</w:t>
      </w:r>
      <w:r>
        <w:rPr>
          <w:rFonts w:ascii="Times New Roman" w:hAnsi="Times New Roman" w:cs="Times New Roman"/>
          <w:bCs/>
        </w:rPr>
        <w:fldChar w:fldCharType="end"/>
      </w:r>
      <w:r>
        <w:rPr>
          <w:rFonts w:ascii="Times New Roman" w:hAnsi="Times New Roman" w:cs="Times New Roman"/>
          <w:bCs/>
        </w:rPr>
        <w:t xml:space="preserve">. Input CT volumes were cropped to annotated lung masks, with input crop size set to 256 × 256 × 128 voxels and resampled to native spacing [1, 1, 3] mm. Intensity normalization was performed using FixedNormalizer with mean = −600, stddev = 750 with intensity clipping, matching lung‑window CT settings. The model </w:t>
      </w:r>
      <w:r>
        <w:rPr>
          <w:rFonts w:ascii="Times New Roman" w:hAnsi="Times New Roman" w:cs="Times New Roman"/>
          <w:bCs/>
        </w:rPr>
        <w:lastRenderedPageBreak/>
        <w:t>accepted single‑channel volumetric input and output the probability of 30‑day mortality.</w:t>
      </w:r>
    </w:p>
    <w:p w14:paraId="50D86B8A" w14:textId="2AB6373D" w:rsidR="00C723C7" w:rsidRDefault="00000000">
      <w:pPr>
        <w:spacing w:line="440" w:lineRule="exact"/>
        <w:ind w:firstLineChars="200" w:firstLine="420"/>
        <w:rPr>
          <w:rFonts w:ascii="Times New Roman" w:hAnsi="Times New Roman" w:cs="Times New Roman"/>
          <w:bCs/>
        </w:rPr>
      </w:pPr>
      <w:r>
        <w:rPr>
          <w:rFonts w:ascii="Times New Roman" w:hAnsi="Times New Roman" w:cs="Times New Roman"/>
          <w:bCs/>
        </w:rPr>
        <w:t xml:space="preserve">Multiple volumetric data‑augmentation strategies were applied during training: random z‑axis flip (probability = 0.5), random 3D rotation (probability = 0.5, </w:t>
      </w:r>
      <w:r>
        <w:rPr>
          <w:rFonts w:ascii="等线" w:eastAsia="等线" w:hAnsi="等线" w:cs="Times New Roman" w:hint="eastAsia"/>
          <w:bCs/>
        </w:rPr>
        <w:t>±</w:t>
      </w:r>
      <w:r>
        <w:rPr>
          <w:rFonts w:ascii="Times New Roman" w:hAnsi="Times New Roman" w:cs="Times New Roman" w:hint="eastAsia"/>
          <w:bCs/>
        </w:rPr>
        <w:t>15</w:t>
      </w:r>
      <w:r>
        <w:rPr>
          <w:rFonts w:ascii="Times New Roman" w:hAnsi="Times New Roman" w:cs="Times New Roman"/>
          <w:bCs/>
        </w:rPr>
        <w:t>° around the z‑axis), isotropic random scaling (probability = 0.5, scale ratio ranging 0.75‑1.25), and mix‑up augmentation (probability = 0.5, alpha = 0.1). Random positional jitter of the crop center was enabled with box‑center random offset of [24, 24, 24] mm. Equal‑class sampling was adopted to balance positive and negative samples within each training batch.</w:t>
      </w:r>
      <w:r>
        <w:rPr>
          <w:rFonts w:ascii="Times New Roman" w:hAnsi="Times New Roman" w:cs="Times New Roman" w:hint="eastAsia"/>
          <w:bCs/>
        </w:rPr>
        <w:t xml:space="preserve"> </w:t>
      </w:r>
      <w:r>
        <w:rPr>
          <w:rFonts w:ascii="Times New Roman" w:hAnsi="Times New Roman" w:cs="Times New Roman"/>
          <w:bCs/>
        </w:rPr>
        <w:t>Focal loss was used as the primary classification loss (gamma = 0). Additional CAM‑related auxiliary loss was included with a CAM‑loss weight of 0.3 and Dice‑based CAM loss. The Adam optimizer was used with betas = (0.9, 0.999), ε = 1e</w:t>
      </w:r>
      <w:r>
        <w:rPr>
          <w:rFonts w:ascii="Times New Roman" w:hAnsi="Times New Roman" w:cs="Times New Roman"/>
          <w:bCs/>
          <w:vertAlign w:val="superscript"/>
        </w:rPr>
        <w:t>‑8</w:t>
      </w:r>
      <w:r>
        <w:rPr>
          <w:rFonts w:ascii="Times New Roman" w:hAnsi="Times New Roman" w:cs="Times New Roman"/>
          <w:bCs/>
        </w:rPr>
        <w:t xml:space="preserve"> and no weight decay. Initial learning rate was set to 1e</w:t>
      </w:r>
      <w:r>
        <w:rPr>
          <w:rFonts w:ascii="Times New Roman" w:hAnsi="Times New Roman" w:cs="Times New Roman"/>
          <w:bCs/>
          <w:vertAlign w:val="superscript"/>
        </w:rPr>
        <w:t>‑4</w:t>
      </w:r>
      <w:r>
        <w:rPr>
          <w:rFonts w:ascii="Times New Roman" w:hAnsi="Times New Roman" w:cs="Times New Roman"/>
          <w:bCs/>
        </w:rPr>
        <w:t>. Step‑based learning‑rate decay (step_size = 100 epochs, gamma = 0.8) was applied, together with gradual warm‑up over the first 100 training epochs. The total training epoch was 2001, batch size = 8, with sixty‑four CPU threads for data loading. Models were saved every 5 epochs. Training was performed on a single GPU</w:t>
      </w:r>
      <w:r>
        <w:rPr>
          <w:rFonts w:ascii="Times New Roman" w:hAnsi="Times New Roman" w:cs="Times New Roman" w:hint="eastAsia"/>
          <w:bCs/>
        </w:rPr>
        <w:t xml:space="preserve"> NVIDIA A40 48GB</w:t>
      </w:r>
      <w:r>
        <w:rPr>
          <w:rFonts w:ascii="Times New Roman" w:hAnsi="Times New Roman" w:cs="Times New Roman"/>
          <w:bCs/>
        </w:rPr>
        <w:t>, starting from random initialization (no external transfer‑learning weights). All deep‑learning experiments were implemented in PyTorch. The full configuration file is available upon reasonable request.</w:t>
      </w:r>
      <w:r>
        <w:rPr>
          <w:rFonts w:ascii="Times New Roman" w:hAnsi="Times New Roman" w:cs="Times New Roman" w:hint="eastAsia"/>
          <w:bCs/>
        </w:rPr>
        <w:t xml:space="preserve"> </w:t>
      </w:r>
      <w:r>
        <w:rPr>
          <w:rFonts w:ascii="Times New Roman" w:hAnsi="Times New Roman" w:cs="Times New Roman"/>
          <w:bCs/>
        </w:rPr>
        <w:t xml:space="preserve">Key hyper‑parameters are summarized in Supplementary </w:t>
      </w:r>
      <w:r>
        <w:rPr>
          <w:rFonts w:ascii="Times New Roman" w:hAnsi="Times New Roman" w:cs="Times New Roman"/>
          <w:b/>
        </w:rPr>
        <w:t>Table S</w:t>
      </w:r>
      <w:r w:rsidR="00B06262">
        <w:rPr>
          <w:rFonts w:ascii="Times New Roman" w:hAnsi="Times New Roman" w:cs="Times New Roman" w:hint="eastAsia"/>
          <w:b/>
        </w:rPr>
        <w:t>8</w:t>
      </w:r>
      <w:r>
        <w:rPr>
          <w:rFonts w:ascii="Times New Roman" w:hAnsi="Times New Roman" w:cs="Times New Roman"/>
          <w:bCs/>
        </w:rPr>
        <w:t>.</w:t>
      </w:r>
    </w:p>
    <w:p w14:paraId="31DD39F5" w14:textId="77777777" w:rsidR="00C723C7" w:rsidRDefault="00C723C7">
      <w:pPr>
        <w:rPr>
          <w:rFonts w:ascii="Times New Roman" w:hAnsi="Times New Roman" w:cs="Times New Roman"/>
        </w:rPr>
      </w:pPr>
    </w:p>
    <w:p w14:paraId="55C934AE" w14:textId="77777777" w:rsidR="00C723C7" w:rsidRDefault="00000000">
      <w:pPr>
        <w:spacing w:line="440" w:lineRule="exact"/>
        <w:rPr>
          <w:rFonts w:ascii="Times New Roman" w:hAnsi="Times New Roman" w:cs="Times New Roman"/>
          <w:b/>
        </w:rPr>
      </w:pPr>
      <w:r>
        <w:rPr>
          <w:rFonts w:ascii="Times New Roman" w:hAnsi="Times New Roman" w:cs="Times New Roman" w:hint="eastAsia"/>
          <w:b/>
        </w:rPr>
        <w:t xml:space="preserve">Proteomic </w:t>
      </w:r>
      <w:r>
        <w:rPr>
          <w:rFonts w:ascii="Times New Roman" w:hAnsi="Times New Roman" w:cs="Times New Roman"/>
          <w:b/>
        </w:rPr>
        <w:t>model construction</w:t>
      </w:r>
    </w:p>
    <w:p w14:paraId="22F6D972" w14:textId="158DBB76" w:rsidR="00C723C7" w:rsidRDefault="00000000">
      <w:pPr>
        <w:spacing w:line="440" w:lineRule="exact"/>
        <w:ind w:firstLineChars="200" w:firstLine="420"/>
        <w:rPr>
          <w:rFonts w:ascii="Times New Roman" w:hAnsi="Times New Roman" w:cs="Times New Roman"/>
        </w:rPr>
      </w:pPr>
      <w:r>
        <w:rPr>
          <w:rFonts w:ascii="Times New Roman" w:hAnsi="Times New Roman" w:cs="Times New Roman" w:hint="eastAsia"/>
        </w:rPr>
        <w:t>Serum</w:t>
      </w:r>
      <w:r>
        <w:rPr>
          <w:rFonts w:ascii="Times New Roman" w:hAnsi="Times New Roman" w:cs="Times New Roman"/>
        </w:rPr>
        <w:t xml:space="preserve"> samples were prospectively collected at the time‑point of index‑CT acquisition. Sample quality control, protein quantification, normalization, and batch‑effect correction were performed following the manufacturer’s workflow. Samples with low‑quality metrics were excluded, yielding an initial 711‑dimensional protein abundance matrix. Minimum Redundancy‑Maximum Relevance (MRMR) algorithm was first applied for preliminary dimensionality reduction, reducing the feature set from 711 to 500 protein features. Subsequently, LASSO‑penalized logistic regression with ten‑fold cross‑validation was implemented on the training cohort. The optimal penalty λ was determined as 0.0242, resulting in 22 non‑zero protein features retained for modelling. These selected protein signatures were used to build the </w:t>
      </w:r>
      <w:r>
        <w:rPr>
          <w:rFonts w:ascii="Times New Roman" w:hAnsi="Times New Roman" w:cs="Times New Roman" w:hint="eastAsia"/>
        </w:rPr>
        <w:t>proteomic</w:t>
      </w:r>
      <w:r>
        <w:rPr>
          <w:rFonts w:ascii="Times New Roman" w:hAnsi="Times New Roman" w:cs="Times New Roman"/>
        </w:rPr>
        <w:t xml:space="preserve"> prognostic model, outputting patient‑level 30‑day mortality probability. The full list of </w:t>
      </w:r>
      <w:r>
        <w:rPr>
          <w:rFonts w:ascii="Times New Roman" w:hAnsi="Times New Roman" w:cs="Times New Roman" w:hint="eastAsia"/>
        </w:rPr>
        <w:t>22</w:t>
      </w:r>
      <w:r>
        <w:rPr>
          <w:rFonts w:ascii="Times New Roman" w:hAnsi="Times New Roman" w:cs="Times New Roman"/>
        </w:rPr>
        <w:t xml:space="preserve"> selected protein features is shown in Supplementary </w:t>
      </w:r>
      <w:r>
        <w:rPr>
          <w:rFonts w:ascii="Times New Roman" w:hAnsi="Times New Roman" w:cs="Times New Roman"/>
          <w:b/>
          <w:bCs/>
        </w:rPr>
        <w:t>Table S</w:t>
      </w:r>
      <w:r w:rsidR="00056D07">
        <w:rPr>
          <w:rFonts w:ascii="Times New Roman" w:hAnsi="Times New Roman" w:cs="Times New Roman" w:hint="eastAsia"/>
          <w:b/>
          <w:bCs/>
        </w:rPr>
        <w:t>9</w:t>
      </w:r>
      <w:r>
        <w:rPr>
          <w:rFonts w:ascii="Times New Roman" w:hAnsi="Times New Roman" w:cs="Times New Roman"/>
        </w:rPr>
        <w:t>.</w:t>
      </w:r>
    </w:p>
    <w:p w14:paraId="03496EA9" w14:textId="77777777" w:rsidR="00C723C7" w:rsidRDefault="00C723C7">
      <w:pPr>
        <w:spacing w:line="440" w:lineRule="exact"/>
        <w:rPr>
          <w:rFonts w:hint="eastAsia"/>
        </w:rPr>
      </w:pPr>
    </w:p>
    <w:p w14:paraId="4068295D" w14:textId="77777777" w:rsidR="00C723C7" w:rsidRDefault="00000000">
      <w:pPr>
        <w:spacing w:line="440" w:lineRule="exact"/>
        <w:rPr>
          <w:rFonts w:ascii="Times New Roman" w:hAnsi="Times New Roman" w:cs="Times New Roman"/>
        </w:rPr>
      </w:pPr>
      <w:r>
        <w:rPr>
          <w:rFonts w:ascii="Times New Roman" w:hAnsi="Times New Roman" w:cs="Times New Roman"/>
          <w:b/>
          <w:bCs/>
        </w:rPr>
        <w:t>Model-level fusion</w:t>
      </w:r>
    </w:p>
    <w:p w14:paraId="7707A0AF" w14:textId="67561456" w:rsidR="00C723C7" w:rsidRDefault="00000000">
      <w:pPr>
        <w:spacing w:line="440" w:lineRule="exact"/>
        <w:ind w:firstLineChars="200" w:firstLine="420"/>
        <w:rPr>
          <w:rFonts w:ascii="Times New Roman" w:hAnsi="Times New Roman" w:cs="Times New Roman"/>
        </w:rPr>
      </w:pPr>
      <w:r>
        <w:rPr>
          <w:rFonts w:ascii="Times New Roman" w:hAnsi="Times New Roman" w:cs="Times New Roman"/>
        </w:rPr>
        <w:lastRenderedPageBreak/>
        <w:t>Two fusion models were developed. The clinical-imaging model integrated predicted probabilities from the clinical, radiomics, and deep-learning models, whereas the multimodal model additionally incorporated the proteomic model. Component-model probabilities were standardized using parameters estimated exclusively from the corresponding training data. Five candidate meta-classifiers, including decision tree, random forest, stochastic gradient descent (SGD), support vector machine (SVM), and logistic regression, were evaluated during model development. Based on discrimination, stability, and model parsimony within the training data, L2-penalized logistic regression was selected as the final fusion strategy (</w:t>
      </w:r>
      <w:r>
        <w:rPr>
          <w:rFonts w:ascii="Times New Roman" w:hAnsi="Times New Roman" w:cs="Times New Roman"/>
          <w:b/>
          <w:bCs/>
        </w:rPr>
        <w:t>Figure S1</w:t>
      </w:r>
      <w:r w:rsidR="0079518F">
        <w:rPr>
          <w:rFonts w:ascii="Times New Roman" w:hAnsi="Times New Roman" w:cs="Times New Roman" w:hint="eastAsia"/>
          <w:b/>
          <w:bCs/>
        </w:rPr>
        <w:t>0</w:t>
      </w:r>
      <w:r>
        <w:rPr>
          <w:rFonts w:ascii="Times New Roman" w:hAnsi="Times New Roman" w:cs="Times New Roman"/>
        </w:rPr>
        <w:t>).</w:t>
      </w:r>
    </w:p>
    <w:p w14:paraId="56C15515" w14:textId="77777777" w:rsidR="00C723C7" w:rsidRDefault="00C723C7">
      <w:pPr>
        <w:spacing w:line="440" w:lineRule="exact"/>
        <w:rPr>
          <w:rFonts w:ascii="Times New Roman" w:hAnsi="Times New Roman" w:cs="Times New Roman"/>
        </w:rPr>
      </w:pPr>
    </w:p>
    <w:p w14:paraId="5616EFA2" w14:textId="77777777" w:rsidR="00C723C7" w:rsidRDefault="00000000">
      <w:pPr>
        <w:spacing w:line="440" w:lineRule="exact"/>
        <w:rPr>
          <w:rFonts w:ascii="Times New Roman" w:hAnsi="Times New Roman" w:cs="Times New Roman"/>
        </w:rPr>
      </w:pPr>
      <w:r>
        <w:rPr>
          <w:rFonts w:ascii="Times New Roman" w:hAnsi="Times New Roman" w:cs="Times New Roman"/>
          <w:b/>
          <w:bCs/>
        </w:rPr>
        <w:t>Clinical-imaging fusion model</w:t>
      </w:r>
    </w:p>
    <w:p w14:paraId="48F3F45D" w14:textId="77777777" w:rsidR="00C723C7" w:rsidRDefault="00000000">
      <w:pPr>
        <w:spacing w:line="440" w:lineRule="exact"/>
        <w:ind w:firstLineChars="200" w:firstLine="420"/>
        <w:rPr>
          <w:rFonts w:ascii="Times New Roman" w:hAnsi="Times New Roman" w:cs="Times New Roman"/>
        </w:rPr>
      </w:pPr>
      <w:r>
        <w:rPr>
          <w:rFonts w:ascii="Times New Roman" w:hAnsi="Times New Roman" w:cs="Times New Roman"/>
        </w:rPr>
        <w:t>The clinical-imaging fusion model was developed in the full training cohort (n=1,715) using predicted probabilities from the clinical, radiomics, and deep-learning component models. Component-model probabilities were standardized by z-score transformation using the mean and standard deviation estimated exclusively from the training cohort. After model finalization, the component models, standardization parameters, and meta-classifier coefficients were fixed and applied unchanged to the internal-test and external-validation cohorts.</w:t>
      </w:r>
    </w:p>
    <w:p w14:paraId="6FBDE38F" w14:textId="77777777" w:rsidR="00C723C7" w:rsidRDefault="00C723C7">
      <w:pPr>
        <w:spacing w:line="440" w:lineRule="exact"/>
        <w:rPr>
          <w:rFonts w:ascii="Times New Roman" w:hAnsi="Times New Roman" w:cs="Times New Roman"/>
        </w:rPr>
      </w:pPr>
    </w:p>
    <w:p w14:paraId="76654D3A" w14:textId="77777777" w:rsidR="00C723C7" w:rsidRDefault="00000000">
      <w:pPr>
        <w:spacing w:line="440" w:lineRule="exact"/>
        <w:rPr>
          <w:rFonts w:ascii="Times New Roman" w:hAnsi="Times New Roman" w:cs="Times New Roman"/>
        </w:rPr>
      </w:pPr>
      <w:r>
        <w:rPr>
          <w:rFonts w:ascii="Times New Roman" w:hAnsi="Times New Roman" w:cs="Times New Roman"/>
          <w:b/>
          <w:bCs/>
        </w:rPr>
        <w:t>Multimodal fusion model</w:t>
      </w:r>
    </w:p>
    <w:p w14:paraId="2750A302" w14:textId="77777777" w:rsidR="00C723C7" w:rsidRDefault="00000000">
      <w:pPr>
        <w:spacing w:line="440" w:lineRule="exact"/>
        <w:ind w:firstLineChars="200" w:firstLine="420"/>
        <w:rPr>
          <w:rFonts w:ascii="Times New Roman" w:hAnsi="Times New Roman" w:cs="Times New Roman"/>
        </w:rPr>
      </w:pPr>
      <w:r>
        <w:rPr>
          <w:rFonts w:ascii="Times New Roman" w:hAnsi="Times New Roman" w:cs="Times New Roman"/>
        </w:rPr>
        <w:t>The multimodal fusion model was developed separately in the proteomics-matched training subset (n=554) using predicted probabilities from the clinical, radiomics, deep-learning, and proteomic component models. Component-model probabilities were standardized using parameters estimated exclusively from the corresponding training subset. The final L2-penalized logistic-regression meta-classifier used an inverse regularization strength of C=0.05 and a convergence tolerance of 1×10⁻⁵, with no class weighting.</w:t>
      </w:r>
    </w:p>
    <w:p w14:paraId="5B8A3DCB" w14:textId="77777777" w:rsidR="00C723C7" w:rsidRDefault="00000000">
      <w:pPr>
        <w:spacing w:line="440" w:lineRule="exact"/>
        <w:ind w:firstLineChars="200" w:firstLine="420"/>
        <w:rPr>
          <w:rFonts w:ascii="Times New Roman" w:hAnsi="Times New Roman" w:cs="Times New Roman"/>
        </w:rPr>
      </w:pPr>
      <w:r>
        <w:rPr>
          <w:rFonts w:ascii="Times New Roman" w:hAnsi="Times New Roman" w:cs="Times New Roman"/>
        </w:rPr>
        <w:t>After the meta-classifier was finalized, component models were refitted using their corresponding training data. Predictions for the internal-test and external-validation cohorts were then generated using the fixed preprocessing, standardization, and meta-classifier parameters. No information from either evaluation cohort was used for preprocessing decisions, feature selection, hyperparameter tuning, component-model fitting, or meta-classifier training.</w:t>
      </w:r>
    </w:p>
    <w:p w14:paraId="1627DCF7" w14:textId="77777777" w:rsidR="00C723C7" w:rsidRDefault="00C723C7">
      <w:pPr>
        <w:spacing w:line="440" w:lineRule="exact"/>
        <w:rPr>
          <w:rFonts w:hint="eastAsia"/>
        </w:rPr>
      </w:pPr>
    </w:p>
    <w:p w14:paraId="0710FC20" w14:textId="77777777" w:rsidR="00C723C7" w:rsidRDefault="00000000">
      <w:pPr>
        <w:spacing w:line="440" w:lineRule="exact"/>
        <w:ind w:left="420" w:hangingChars="200" w:hanging="420"/>
        <w:rPr>
          <w:rFonts w:ascii="Times New Roman" w:hAnsi="Times New Roman" w:cs="Times New Roman"/>
        </w:rPr>
      </w:pPr>
      <w:r>
        <w:rPr>
          <w:rFonts w:ascii="Times New Roman" w:hAnsi="Times New Roman" w:cs="Times New Roman"/>
          <w:b/>
          <w:bCs/>
        </w:rPr>
        <w:t>Standardized ChatGPT prompt</w:t>
      </w:r>
    </w:p>
    <w:p w14:paraId="258ED312" w14:textId="77777777" w:rsidR="00C723C7" w:rsidRDefault="00000000">
      <w:pPr>
        <w:spacing w:line="440" w:lineRule="exact"/>
        <w:ind w:firstLineChars="200" w:firstLine="420"/>
        <w:rPr>
          <w:rFonts w:ascii="Times New Roman" w:hAnsi="Times New Roman" w:cs="Times New Roman"/>
        </w:rPr>
      </w:pPr>
      <w:r>
        <w:rPr>
          <w:rFonts w:ascii="Times New Roman" w:hAnsi="Times New Roman" w:cs="Times New Roman"/>
        </w:rPr>
        <w:lastRenderedPageBreak/>
        <w:t>“You are evaluating a patient with acute respiratory distress syndrome (ARDS). Based only on the clinical information and chest CT findings provided below, estimate the probability that this patient will die within 30 days. Do not assume any information that is not explicitly provided. Do not use knowledge of outcomes, treatment decisions, or predictions from other models. Assess the case independently. Please provide a single estimated mortality probability between 0% and 100%. Do not provide treatment recommendations.</w:t>
      </w:r>
    </w:p>
    <w:p w14:paraId="73442D15" w14:textId="77777777" w:rsidR="00C723C7" w:rsidRDefault="00000000">
      <w:pPr>
        <w:spacing w:line="440" w:lineRule="exact"/>
        <w:rPr>
          <w:rFonts w:ascii="Times New Roman" w:hAnsi="Times New Roman" w:cs="Times New Roman"/>
        </w:rPr>
      </w:pPr>
      <w:r>
        <w:rPr>
          <w:rFonts w:ascii="Times New Roman" w:hAnsi="Times New Roman" w:cs="Times New Roman"/>
        </w:rPr>
        <w:t>Clinical information:</w:t>
      </w:r>
      <w:r>
        <w:rPr>
          <w:rFonts w:ascii="Times New Roman" w:hAnsi="Times New Roman" w:cs="Times New Roman" w:hint="eastAsia"/>
        </w:rPr>
        <w:t xml:space="preserve"> </w:t>
      </w:r>
      <w:r>
        <w:rPr>
          <w:rFonts w:ascii="Times New Roman" w:hAnsi="Times New Roman" w:cs="Times New Roman"/>
        </w:rPr>
        <w:t>[clinical variables]</w:t>
      </w:r>
    </w:p>
    <w:p w14:paraId="19826CC7" w14:textId="77777777" w:rsidR="00C723C7" w:rsidRDefault="00000000">
      <w:pPr>
        <w:spacing w:line="440" w:lineRule="exact"/>
        <w:rPr>
          <w:rFonts w:ascii="Times New Roman" w:hAnsi="Times New Roman" w:cs="Times New Roman"/>
        </w:rPr>
      </w:pPr>
      <w:r>
        <w:rPr>
          <w:rFonts w:ascii="Times New Roman" w:hAnsi="Times New Roman" w:cs="Times New Roman"/>
        </w:rPr>
        <w:t>Chest CT information:</w:t>
      </w:r>
      <w:r>
        <w:rPr>
          <w:rFonts w:ascii="Times New Roman" w:hAnsi="Times New Roman" w:cs="Times New Roman" w:hint="eastAsia"/>
        </w:rPr>
        <w:t xml:space="preserve"> </w:t>
      </w:r>
      <w:r>
        <w:rPr>
          <w:rFonts w:ascii="Times New Roman" w:hAnsi="Times New Roman" w:cs="Times New Roman"/>
        </w:rPr>
        <w:t>[CT images]</w:t>
      </w:r>
    </w:p>
    <w:p w14:paraId="3B93C25E" w14:textId="77777777" w:rsidR="00C723C7" w:rsidRDefault="00000000">
      <w:pPr>
        <w:spacing w:line="440" w:lineRule="exact"/>
        <w:rPr>
          <w:rFonts w:ascii="Times New Roman" w:hAnsi="Times New Roman" w:cs="Times New Roman"/>
        </w:rPr>
      </w:pPr>
      <w:r>
        <w:rPr>
          <w:rFonts w:ascii="Times New Roman" w:hAnsi="Times New Roman" w:cs="Times New Roman"/>
        </w:rPr>
        <w:t>Output format:</w:t>
      </w:r>
      <w:r>
        <w:rPr>
          <w:rFonts w:ascii="Times New Roman" w:hAnsi="Times New Roman" w:cs="Times New Roman" w:hint="eastAsia"/>
        </w:rPr>
        <w:t xml:space="preserve"> </w:t>
      </w:r>
      <w:r>
        <w:rPr>
          <w:rFonts w:ascii="Times New Roman" w:hAnsi="Times New Roman" w:cs="Times New Roman"/>
        </w:rPr>
        <w:t>Mortality probability: XX%”</w:t>
      </w:r>
    </w:p>
    <w:p w14:paraId="086B69B7" w14:textId="77777777" w:rsidR="00C723C7" w:rsidRDefault="00C723C7">
      <w:pPr>
        <w:spacing w:line="440" w:lineRule="exact"/>
        <w:rPr>
          <w:rFonts w:ascii="Times New Roman" w:hAnsi="Times New Roman" w:cs="Times New Roman"/>
        </w:rPr>
      </w:pPr>
    </w:p>
    <w:p w14:paraId="7B442A74" w14:textId="77777777" w:rsidR="00C723C7" w:rsidRDefault="00000000">
      <w:pPr>
        <w:spacing w:line="440" w:lineRule="exact"/>
        <w:ind w:left="420" w:hangingChars="200" w:hanging="420"/>
        <w:rPr>
          <w:rFonts w:ascii="Times New Roman" w:hAnsi="Times New Roman" w:cs="Times New Roman"/>
          <w:b/>
          <w:bCs/>
        </w:rPr>
      </w:pPr>
      <w:r>
        <w:rPr>
          <w:rFonts w:ascii="Times New Roman" w:hAnsi="Times New Roman" w:cs="Times New Roman"/>
          <w:b/>
          <w:bCs/>
        </w:rPr>
        <w:t>ChatGPT evaluatio</w:t>
      </w:r>
      <w:r>
        <w:rPr>
          <w:rFonts w:ascii="Times New Roman" w:hAnsi="Times New Roman" w:cs="Times New Roman" w:hint="eastAsia"/>
          <w:b/>
          <w:bCs/>
        </w:rPr>
        <w:t>n</w:t>
      </w:r>
    </w:p>
    <w:p w14:paraId="7F7F3184" w14:textId="77777777" w:rsidR="00C723C7" w:rsidRDefault="00000000">
      <w:pPr>
        <w:spacing w:line="440" w:lineRule="exact"/>
        <w:ind w:firstLineChars="200" w:firstLine="420"/>
        <w:rPr>
          <w:rFonts w:ascii="Times New Roman" w:hAnsi="Times New Roman" w:cs="Times New Roman"/>
          <w:b/>
          <w:bCs/>
        </w:rPr>
      </w:pPr>
      <w:r>
        <w:rPr>
          <w:rFonts w:ascii="Times New Roman" w:hAnsi="Times New Roman" w:cs="Times New Roman"/>
        </w:rPr>
        <w:t>ChatGPT</w:t>
      </w:r>
      <w:r>
        <w:rPr>
          <w:rFonts w:ascii="Times New Roman" w:hAnsi="Times New Roman" w:cs="Times New Roman" w:hint="eastAsia"/>
        </w:rPr>
        <w:t>5.4</w:t>
      </w:r>
      <w:r>
        <w:rPr>
          <w:rFonts w:ascii="Times New Roman" w:hAnsi="Times New Roman" w:cs="Times New Roman"/>
        </w:rPr>
        <w:t xml:space="preserve"> </w:t>
      </w:r>
      <w:r>
        <w:rPr>
          <w:rFonts w:ascii="Times New Roman" w:hAnsi="Times New Roman" w:cs="Times New Roman" w:hint="eastAsia"/>
        </w:rPr>
        <w:t>(</w:t>
      </w:r>
      <w:r>
        <w:rPr>
          <w:rFonts w:ascii="Times New Roman" w:hAnsi="Times New Roman" w:cs="Times New Roman"/>
        </w:rPr>
        <w:t>OpenAI, San Francisco, CA, US</w:t>
      </w:r>
      <w:r>
        <w:rPr>
          <w:rFonts w:ascii="Times New Roman" w:hAnsi="Times New Roman" w:cs="Times New Roman" w:hint="eastAsia"/>
        </w:rPr>
        <w:t>A</w:t>
      </w:r>
      <w:r>
        <w:rPr>
          <w:rFonts w:ascii="Times New Roman" w:hAnsi="Times New Roman" w:cs="Times New Roman"/>
        </w:rPr>
        <w:t>) was independently evaluated in the same 326 patients included in the internal test cohort using the ChatGPT web interface. Each patient was assessed in a separate new conversation to minimize carry-over of information between cases. No information from previous cases, patient outcomes, physician assessments, or predictions from the clinical-imaging model was provided to ChatGPT.</w:t>
      </w:r>
    </w:p>
    <w:p w14:paraId="47B84FF1" w14:textId="1DC4BEC3" w:rsidR="00C723C7" w:rsidRDefault="00000000">
      <w:pPr>
        <w:spacing w:line="440" w:lineRule="exact"/>
        <w:ind w:firstLineChars="200" w:firstLine="420"/>
        <w:rPr>
          <w:rFonts w:ascii="Times New Roman" w:hAnsi="Times New Roman" w:cs="Times New Roman"/>
        </w:rPr>
      </w:pPr>
      <w:r>
        <w:rPr>
          <w:rFonts w:ascii="Times New Roman" w:hAnsi="Times New Roman" w:cs="Times New Roman"/>
        </w:rPr>
        <w:t>Clinical information was presented using a standardized case template containing</w:t>
      </w:r>
      <w:r>
        <w:rPr>
          <w:rFonts w:ascii="Times New Roman" w:hAnsi="Times New Roman" w:cs="Times New Roman" w:hint="eastAsia"/>
        </w:rPr>
        <w:t xml:space="preserve"> (</w:t>
      </w:r>
      <w:r>
        <w:rPr>
          <w:rFonts w:ascii="Times New Roman" w:hAnsi="Times New Roman" w:cs="Times New Roman"/>
        </w:rPr>
        <w:t xml:space="preserve">refer to a supplementary </w:t>
      </w:r>
      <w:r w:rsidR="001D6E0D">
        <w:rPr>
          <w:rFonts w:ascii="Times New Roman" w:hAnsi="Times New Roman" w:cs="Times New Roman" w:hint="eastAsia"/>
          <w:b/>
          <w:bCs/>
        </w:rPr>
        <w:t>T</w:t>
      </w:r>
      <w:r w:rsidR="001D6E0D" w:rsidRPr="001D6E0D">
        <w:rPr>
          <w:rFonts w:ascii="Times New Roman" w:hAnsi="Times New Roman" w:cs="Times New Roman"/>
          <w:b/>
          <w:bCs/>
        </w:rPr>
        <w:t xml:space="preserve">able </w:t>
      </w:r>
      <w:r w:rsidRPr="001D6E0D">
        <w:rPr>
          <w:rFonts w:ascii="Times New Roman" w:hAnsi="Times New Roman" w:cs="Times New Roman"/>
          <w:b/>
          <w:bCs/>
        </w:rPr>
        <w:t>S</w:t>
      </w:r>
      <w:r w:rsidR="0079518F">
        <w:rPr>
          <w:rFonts w:ascii="Times New Roman" w:hAnsi="Times New Roman" w:cs="Times New Roman" w:hint="eastAsia"/>
          <w:b/>
          <w:bCs/>
        </w:rPr>
        <w:t>5</w:t>
      </w:r>
      <w:r>
        <w:rPr>
          <w:rFonts w:ascii="Times New Roman" w:hAnsi="Times New Roman" w:cs="Times New Roman" w:hint="eastAsia"/>
        </w:rPr>
        <w:t>)</w:t>
      </w:r>
      <w:r>
        <w:rPr>
          <w:rFonts w:ascii="Times New Roman" w:hAnsi="Times New Roman" w:cs="Times New Roman"/>
        </w:rPr>
        <w:t>.</w:t>
      </w:r>
      <w:r>
        <w:t xml:space="preserve"> </w:t>
      </w:r>
      <w:r>
        <w:rPr>
          <w:rFonts w:ascii="Times New Roman" w:hAnsi="Times New Roman" w:cs="Times New Roman"/>
        </w:rPr>
        <w:t>Chest CT information was provided as representative axial images showing the most extensive pulmonary involvement. For each patient, the image(s) demonstrating the greatest overall extent of parenchymal abnormalities, including ground-glass opacity and consolidation, were selected by</w:t>
      </w:r>
      <w:r>
        <w:rPr>
          <w:rFonts w:ascii="Times New Roman" w:hAnsi="Times New Roman" w:cs="Times New Roman" w:hint="eastAsia"/>
        </w:rPr>
        <w:t xml:space="preserve"> the </w:t>
      </w:r>
      <w:r>
        <w:rPr>
          <w:rFonts w:ascii="Times New Roman" w:hAnsi="Times New Roman" w:cs="Times New Roman"/>
        </w:rPr>
        <w:t>investigator who was blinded to patient outcomes and model predictions. Images were displayed using a standardized lung-window setting (window width, 1,500 HU; window level, −600 HU) and presented to ChatGPT in a consistent format across patients.</w:t>
      </w:r>
    </w:p>
    <w:p w14:paraId="703D9B91" w14:textId="77777777" w:rsidR="00C723C7" w:rsidRDefault="00000000">
      <w:pPr>
        <w:spacing w:line="440" w:lineRule="exact"/>
        <w:ind w:firstLineChars="200" w:firstLine="420"/>
        <w:rPr>
          <w:rFonts w:ascii="Times New Roman" w:hAnsi="Times New Roman" w:cs="Times New Roman"/>
        </w:rPr>
      </w:pPr>
      <w:r>
        <w:rPr>
          <w:rFonts w:ascii="Times New Roman" w:hAnsi="Times New Roman" w:cs="Times New Roman"/>
        </w:rPr>
        <w:t>ChatGPT was instructed to estimate the probability of 30-day mortality and to provide a single numerical probability ranging from 0% to 100%. Each case was evaluated once, and the first valid numerical probability returned by the model was recorded for analysis without post hoc modification. All cases yielded a valid numerical probabilit</w:t>
      </w:r>
      <w:r>
        <w:rPr>
          <w:rFonts w:ascii="Times New Roman" w:hAnsi="Times New Roman" w:cs="Times New Roman" w:hint="eastAsia"/>
        </w:rPr>
        <w:t>y.</w:t>
      </w:r>
      <w:r>
        <w:rPr>
          <w:rFonts w:ascii="Times New Roman" w:hAnsi="Times New Roman" w:cs="Times New Roman"/>
        </w:rPr>
        <w:t xml:space="preserve"> Investigators recording the model outputs were blinded to 30-day outcomes at the time of evaluation.</w:t>
      </w:r>
    </w:p>
    <w:p w14:paraId="278C824B" w14:textId="77777777" w:rsidR="00C723C7" w:rsidRDefault="00C723C7">
      <w:pPr>
        <w:spacing w:line="440" w:lineRule="exact"/>
        <w:rPr>
          <w:rFonts w:ascii="Times New Roman" w:hAnsi="Times New Roman" w:cs="Times New Roman"/>
          <w:b/>
          <w:bCs/>
        </w:rPr>
      </w:pPr>
    </w:p>
    <w:p w14:paraId="0768C88F" w14:textId="77777777" w:rsidR="00C723C7" w:rsidRDefault="00000000">
      <w:pPr>
        <w:spacing w:line="440" w:lineRule="exact"/>
        <w:rPr>
          <w:rFonts w:ascii="Times New Roman" w:hAnsi="Times New Roman" w:cs="Times New Roman"/>
          <w:b/>
          <w:bCs/>
        </w:rPr>
      </w:pPr>
      <w:r>
        <w:rPr>
          <w:rFonts w:ascii="Times New Roman" w:hAnsi="Times New Roman" w:cs="Times New Roman"/>
          <w:b/>
          <w:bCs/>
        </w:rPr>
        <w:t>Reader study and comparative performance analysis</w:t>
      </w:r>
    </w:p>
    <w:p w14:paraId="0FBE5AC7" w14:textId="39A9AD73" w:rsidR="00C723C7" w:rsidRDefault="00000000">
      <w:pPr>
        <w:spacing w:line="440" w:lineRule="exact"/>
        <w:ind w:firstLineChars="200" w:firstLine="420"/>
        <w:rPr>
          <w:rFonts w:ascii="Times New Roman" w:hAnsi="Times New Roman" w:cs="Times New Roman"/>
        </w:rPr>
      </w:pPr>
      <w:r>
        <w:rPr>
          <w:rFonts w:ascii="Times New Roman" w:hAnsi="Times New Roman" w:cs="Times New Roman"/>
        </w:rPr>
        <w:t xml:space="preserve">We compared the prognostic performance of the clinical-imaging model with that of clinicians </w:t>
      </w:r>
      <w:r>
        <w:rPr>
          <w:rFonts w:ascii="Times New Roman" w:hAnsi="Times New Roman" w:cs="Times New Roman"/>
        </w:rPr>
        <w:lastRenderedPageBreak/>
        <w:t xml:space="preserve">and ChatGPT in a multi-reader, multi-case </w:t>
      </w:r>
      <w:r>
        <w:rPr>
          <w:rFonts w:ascii="Times New Roman" w:hAnsi="Times New Roman" w:cs="Times New Roman" w:hint="eastAsia"/>
        </w:rPr>
        <w:t xml:space="preserve">(MRMC) </w:t>
      </w:r>
      <w:r>
        <w:rPr>
          <w:rFonts w:ascii="Times New Roman" w:hAnsi="Times New Roman" w:cs="Times New Roman"/>
        </w:rPr>
        <w:t>observer study conducted between December 2025 and March 2026. All 326 cases from the internal test cohort were reviewed in a predefined sequence. In the first session, readers evaluated chest CT images alone. CT examinations were presented as complete</w:t>
      </w:r>
      <w:r>
        <w:rPr>
          <w:rFonts w:ascii="Times New Roman" w:hAnsi="Times New Roman" w:cs="Times New Roman" w:hint="eastAsia"/>
        </w:rPr>
        <w:t xml:space="preserve"> </w:t>
      </w:r>
      <w:r>
        <w:rPr>
          <w:rFonts w:ascii="Times New Roman" w:hAnsi="Times New Roman" w:cs="Times New Roman"/>
        </w:rPr>
        <w:t>DICOM volum</w:t>
      </w:r>
      <w:r>
        <w:rPr>
          <w:rFonts w:ascii="Times New Roman" w:hAnsi="Times New Roman" w:cs="Times New Roman" w:hint="eastAsia"/>
        </w:rPr>
        <w:t>e</w:t>
      </w:r>
      <w:r>
        <w:rPr>
          <w:rFonts w:ascii="Times New Roman" w:hAnsi="Times New Roman" w:cs="Times New Roman"/>
        </w:rPr>
        <w:t>. Readers were</w:t>
      </w:r>
      <w:r>
        <w:rPr>
          <w:rFonts w:ascii="Times New Roman" w:hAnsi="Times New Roman" w:cs="Times New Roman" w:hint="eastAsia"/>
        </w:rPr>
        <w:t xml:space="preserve"> </w:t>
      </w:r>
      <w:r>
        <w:rPr>
          <w:rFonts w:ascii="Times New Roman" w:hAnsi="Times New Roman" w:cs="Times New Roman"/>
        </w:rPr>
        <w:t>allowe</w:t>
      </w:r>
      <w:r>
        <w:rPr>
          <w:rFonts w:ascii="Times New Roman" w:hAnsi="Times New Roman" w:cs="Times New Roman" w:hint="eastAsia"/>
        </w:rPr>
        <w:t>d</w:t>
      </w:r>
      <w:r>
        <w:rPr>
          <w:rFonts w:ascii="Times New Roman" w:hAnsi="Times New Roman" w:cs="Times New Roman"/>
        </w:rPr>
        <w:t xml:space="preserve"> to scroll through the complete image series and allowed to adjust window settings. Radiology reports and outcome information were not provided. In the second session, readers were provided with clinical information available at the index CT time point </w:t>
      </w:r>
      <w:bookmarkStart w:id="1" w:name="OLE_LINK7"/>
      <w:r>
        <w:rPr>
          <w:rFonts w:ascii="Times New Roman" w:hAnsi="Times New Roman" w:cs="Times New Roman" w:hint="eastAsia"/>
        </w:rPr>
        <w:t>(</w:t>
      </w:r>
      <w:r>
        <w:rPr>
          <w:rFonts w:ascii="Times New Roman" w:hAnsi="Times New Roman" w:cs="Times New Roman"/>
          <w:b/>
          <w:bCs/>
        </w:rPr>
        <w:t>Supplementary Table</w:t>
      </w:r>
      <w:r>
        <w:rPr>
          <w:rFonts w:ascii="Times New Roman" w:hAnsi="Times New Roman" w:cs="Times New Roman" w:hint="eastAsia"/>
          <w:b/>
          <w:bCs/>
        </w:rPr>
        <w:t xml:space="preserve"> S</w:t>
      </w:r>
      <w:r w:rsidR="00560E97">
        <w:rPr>
          <w:rFonts w:ascii="Times New Roman" w:hAnsi="Times New Roman" w:cs="Times New Roman" w:hint="eastAsia"/>
          <w:b/>
          <w:bCs/>
        </w:rPr>
        <w:t>5</w:t>
      </w:r>
      <w:r>
        <w:rPr>
          <w:rFonts w:ascii="Times New Roman" w:hAnsi="Times New Roman" w:cs="Times New Roman" w:hint="eastAsia"/>
        </w:rPr>
        <w:t>)</w:t>
      </w:r>
      <w:bookmarkEnd w:id="1"/>
      <w:r>
        <w:rPr>
          <w:rFonts w:ascii="Times New Roman" w:hAnsi="Times New Roman" w:cs="Times New Roman"/>
        </w:rPr>
        <w:t>. No post-index treatment or outcome information was provided. Readers then generated a second 30-day mortality estimate integrating clinical and CT information. For both sessions, readers reported a continuous mortality probability from 0% to 100% and a 5-point Likert risk score.</w:t>
      </w:r>
      <w:r>
        <w:t xml:space="preserve"> </w:t>
      </w:r>
      <w:r>
        <w:rPr>
          <w:rFonts w:ascii="Times New Roman" w:hAnsi="Times New Roman" w:cs="Times New Roman"/>
        </w:rPr>
        <w:t>For the primary statistical comparison with the clinical-imaging model, only the continuous 0-100 mortality probability scores were used</w:t>
      </w:r>
      <w:r>
        <w:rPr>
          <w:rFonts w:ascii="Times New Roman" w:hAnsi="Times New Roman" w:cs="Times New Roman" w:hint="eastAsia"/>
        </w:rPr>
        <w:t>.</w:t>
      </w:r>
    </w:p>
    <w:p w14:paraId="14AD3AFE" w14:textId="1D40A030" w:rsidR="00C723C7" w:rsidRDefault="00000000">
      <w:pPr>
        <w:spacing w:line="440" w:lineRule="exact"/>
        <w:ind w:firstLineChars="200" w:firstLine="420"/>
        <w:rPr>
          <w:rFonts w:ascii="Times New Roman" w:hAnsi="Times New Roman" w:cs="Times New Roman"/>
        </w:rPr>
      </w:pPr>
      <w:r>
        <w:rPr>
          <w:rFonts w:ascii="Times New Roman" w:hAnsi="Times New Roman" w:cs="Times New Roman"/>
        </w:rPr>
        <w:t>ChatGPT</w:t>
      </w:r>
      <w:r>
        <w:rPr>
          <w:rFonts w:ascii="Times New Roman" w:hAnsi="Times New Roman" w:cs="Times New Roman" w:hint="eastAsia"/>
        </w:rPr>
        <w:t>5.4</w:t>
      </w:r>
      <w:r>
        <w:rPr>
          <w:rFonts w:ascii="Times New Roman" w:hAnsi="Times New Roman" w:cs="Times New Roman"/>
        </w:rPr>
        <w:t xml:space="preserve"> (OpenAI, San Francisco, CA, USA) independently evaluated the same 326 cases using a standardized prompt</w:t>
      </w:r>
      <w:r>
        <w:rPr>
          <w:rFonts w:ascii="Times New Roman" w:hAnsi="Times New Roman" w:cs="Times New Roman" w:hint="eastAsia"/>
        </w:rPr>
        <w:t xml:space="preserve"> </w:t>
      </w:r>
      <w:r>
        <w:rPr>
          <w:rFonts w:ascii="Times New Roman" w:hAnsi="Times New Roman" w:cs="Times New Roman"/>
        </w:rPr>
        <w:t>used in the clinician assessment. Each case was assessed independently, without access to patient outcomes, predictions from the clinical-imaging model, or clinician ratings. ChatGPT was instructed to estimate mortality probability on a continuous scale from 0% to 100%, and the generated probability was recorded without post hoc modification.</w:t>
      </w:r>
    </w:p>
    <w:p w14:paraId="764E1B78" w14:textId="77777777" w:rsidR="00C723C7" w:rsidRDefault="00000000">
      <w:pPr>
        <w:spacing w:line="440" w:lineRule="exact"/>
        <w:ind w:firstLineChars="200" w:firstLine="420"/>
        <w:rPr>
          <w:rFonts w:ascii="Times New Roman" w:hAnsi="Times New Roman" w:cs="Times New Roman"/>
        </w:rPr>
      </w:pPr>
      <w:r>
        <w:rPr>
          <w:rFonts w:ascii="Times New Roman" w:hAnsi="Times New Roman" w:cs="Times New Roman"/>
        </w:rPr>
        <w:t>Comparisons between the clinical-imaging model and physician readers were performed using a multi-reader multi-case (MRMC) analysis to account for variability and correlation across both readers and cases. Physician performance was summarized by the mean AUROC across readers, and the difference in AUROC between the clinical-imaging model and physician readers was evaluated using the Obuchowski</w:t>
      </w:r>
      <w:r>
        <w:rPr>
          <w:rFonts w:ascii="Times New Roman" w:hAnsi="Times New Roman" w:cs="Times New Roman" w:hint="eastAsia"/>
        </w:rPr>
        <w:t>-</w:t>
      </w:r>
      <w:r>
        <w:rPr>
          <w:rFonts w:ascii="Times New Roman" w:hAnsi="Times New Roman" w:cs="Times New Roman"/>
        </w:rPr>
        <w:t xml:space="preserve">Rockette MRMC framework with reader and case effects incorporated into the variance estimation. Individual reader AUROCs with 95% confidence intervals were additionally reported descriptively. The comparison between the clinical-imaging model and ChatGPT, which involved a single set of predictions for the same cases, was assessed separately using paired patient-level bootstrap resampling with </w:t>
      </w:r>
      <w:r>
        <w:rPr>
          <w:rFonts w:ascii="Times New Roman" w:hAnsi="Times New Roman" w:cs="Times New Roman" w:hint="eastAsia"/>
        </w:rPr>
        <w:t>2</w:t>
      </w:r>
      <w:r>
        <w:rPr>
          <w:rFonts w:ascii="Times New Roman" w:hAnsi="Times New Roman" w:cs="Times New Roman"/>
        </w:rPr>
        <w:t>,000 replicates.</w:t>
      </w:r>
    </w:p>
    <w:p w14:paraId="4260DD48" w14:textId="77777777" w:rsidR="00C723C7" w:rsidRDefault="00C723C7">
      <w:pPr>
        <w:spacing w:line="440" w:lineRule="exact"/>
        <w:rPr>
          <w:rFonts w:ascii="Times New Roman" w:hAnsi="Times New Roman" w:cs="Times New Roman"/>
        </w:rPr>
      </w:pPr>
    </w:p>
    <w:p w14:paraId="39132341" w14:textId="77777777" w:rsidR="00C723C7" w:rsidRDefault="00000000">
      <w:pPr>
        <w:spacing w:line="440" w:lineRule="exact"/>
        <w:rPr>
          <w:rFonts w:ascii="Times New Roman" w:hAnsi="Times New Roman" w:cs="Times New Roman"/>
          <w:b/>
          <w:bCs/>
        </w:rPr>
      </w:pPr>
      <w:r>
        <w:rPr>
          <w:rFonts w:ascii="Times New Roman" w:hAnsi="Times New Roman" w:cs="Times New Roman"/>
          <w:b/>
          <w:bCs/>
        </w:rPr>
        <w:t>Single-cell transcriptomic data analysis</w:t>
      </w:r>
    </w:p>
    <w:p w14:paraId="03127E9B" w14:textId="69DB5C4E" w:rsidR="00C723C7" w:rsidRDefault="00000000">
      <w:pPr>
        <w:spacing w:line="440" w:lineRule="exact"/>
        <w:ind w:firstLineChars="200" w:firstLine="420"/>
        <w:rPr>
          <w:rFonts w:ascii="Times New Roman" w:hAnsi="Times New Roman" w:cs="Times New Roman"/>
        </w:rPr>
      </w:pPr>
      <w:r>
        <w:rPr>
          <w:rFonts w:ascii="Times New Roman" w:hAnsi="Times New Roman" w:cs="Times New Roman"/>
        </w:rPr>
        <w:t>BALF single-cell RNA sequencing data from patients with ARDS were analysed using the Seurat framework</w:t>
      </w:r>
      <w:r>
        <w:rPr>
          <w:rFonts w:ascii="Times New Roman" w:hAnsi="Times New Roman" w:cs="Times New Roman" w:hint="eastAsia"/>
        </w:rPr>
        <w:t xml:space="preserve"> </w:t>
      </w:r>
      <w:r>
        <w:rPr>
          <w:rFonts w:ascii="Times New Roman" w:hAnsi="Times New Roman" w:cs="Times New Roman"/>
        </w:rPr>
        <w:fldChar w:fldCharType="begin">
          <w:fldData xml:space="preserve">PEVuZE5vdGU+PENpdGU+PEF1dGhvcj5IYW88L0F1dGhvcj48WWVhcj4yMDIxPC9ZZWFyPjxSZWNO
dW0+NjEwPC9SZWNOdW0+PERpc3BsYXlUZXh0PlsyXTwvRGlzcGxheVRleHQ+PHJlY29yZD48cmVj
LW51bWJlcj42MTA8L3JlYy1udW1iZXI+PGZvcmVpZ24ta2V5cz48a2V5IGFwcD0iRU4iIGRiLWlk
PSJ2YTB2d2RycnBld3ZlN2V0YWVyeHJwZjV2dzJkMHhmNWQyc2YiIHRpbWVzdGFtcD0iMTc4ODUz
Nzg5NiI+NjEwPC9rZXk+PC9mb3JlaWduLWtleXM+PHJlZi10eXBlIG5hbWU9IkpvdXJuYWwgQXJ0
aWNsZSI+MTc8L3JlZi10eXBlPjxjb250cmlidXRvcnM+PGF1dGhvcnM+PGF1dGhvcj5IYW8sIFku
PC9hdXRob3I+PGF1dGhvcj5IYW8sIFMuPC9hdXRob3I+PGF1dGhvcj5BbmRlcnNlbi1OaXNzZW4s
IEUuPC9hdXRob3I+PGF1dGhvcj5NYXVjaywgVy4gTS4sIDNyZDwvYXV0aG9yPjxhdXRob3I+Wmhl
bmcsIFMuPC9hdXRob3I+PGF1dGhvcj5CdXRsZXIsIEEuPC9hdXRob3I+PGF1dGhvcj5MZWUsIE0u
IEouPC9hdXRob3I+PGF1dGhvcj5XaWxrLCBBLiBKLjwvYXV0aG9yPjxhdXRob3I+RGFyYnksIEMu
PC9hdXRob3I+PGF1dGhvcj5aYWdlciwgTS48L2F1dGhvcj48YXV0aG9yPkhvZmZtYW4sIFAuPC9h
dXRob3I+PGF1dGhvcj5TdG9lY2tpdXMsIE0uPC9hdXRob3I+PGF1dGhvcj5QYXBhbGV4aSwgRS48
L2F1dGhvcj48YXV0aG9yPk1pbWl0b3UsIEUuIFAuPC9hdXRob3I+PGF1dGhvcj5KYWluLCBKLjwv
YXV0aG9yPjxhdXRob3I+U3JpdmFzdGF2YSwgQS48L2F1dGhvcj48YXV0aG9yPlN0dWFydCwgVC48
L2F1dGhvcj48YXV0aG9yPkZsZW1pbmcsIEwuIE0uPC9hdXRob3I+PGF1dGhvcj5ZZXVuZywgQi48
L2F1dGhvcj48YXV0aG9yPlJvZ2VycywgQS4gSi48L2F1dGhvcj48YXV0aG9yPk1jRWxyYXRoLCBK
LiBNLjwvYXV0aG9yPjxhdXRob3I+Qmxpc2gsIEMuIEEuPC9hdXRob3I+PGF1dGhvcj5Hb3R0YXJk
bywgUi48L2F1dGhvcj48YXV0aG9yPlNtaWJlcnQsIFAuPC9hdXRob3I+PGF1dGhvcj5TYXRpamEs
IFIuPC9hdXRob3I+PC9hdXRob3JzPjwvY29udHJpYnV0b3JzPjxhdXRoLWFkZHJlc3M+Q2VudGVy
IGZvciBHZW5vbWljcyBhbmQgU3lzdGVtcyBCaW9sb2d5LCBOZXcgWW9yayBVbml2ZXJzaXR5LCBO
ZXcgWW9yaywgTlkgMTAwMDMsIFVTQTsgTmV3IFlvcmsgR2Vub21lIENlbnRlciwgTmV3IFlvcmss
IE5ZIDEwMDEzLCBVU0EuJiN4RDtUZWNobm9sb2d5IElubm92YXRpb24gTGFiLCBOZXcgWW9yayBH
ZW5vbWUgQ2VudGVyLCBOZXcgWW9yaywgTlkgMTAwMTMsIFVTQS4mI3hEO1ZhY2NpbmUgYW5kIElu
ZmVjdGlvdXMgRGlzZWFzZSBEaXZpc2lvbiwgRnJlZCBIdXRjaGluc29uIENhbmNlciBSZXNlYXJj
aCBDZW50ZXIsIFNlYXR0bGUsIFdBIDk4MTA5LCBVU0E7IENhcGUgVG93biBIVlROIEltbXVub2xv
Z3kgTGFiLCBIdXRjaGluc29uIENhbmNlciBSZXNlYXJjaCBJbnN0aXR1dGUgb2YgU291dGggQWZy
aWNhLCBDYXBlIFRvd24gODAwMSwgU291dGggQWZyaWNhLiYjeEQ7Q2VudGVyIGZvciBHZW5vbWlj
cyBhbmQgU3lzdGVtcyBCaW9sb2d5LCBOZXcgWW9yayBVbml2ZXJzaXR5LCBOZXcgWW9yaywgTlkg
MTAwMDMsIFVTQS4mI3hEO0RlcGFydG1lbnQgb2YgTWVkaWNpbmUsIFN0YW5mb3JkIFVuaXZlcnNp
dHkgU2Nob29sIG9mIE1lZGljaW5lLCBTdGFuZm9yZCwgQ0EgOTQzMDUsIFVTQS4mI3hEO0NlbnRl
ciBmb3IgRGF0YSBWaXN1YWxpemF0aW9uLCBGcmVkIEh1dGNoaW5zb24gQ2FuY2VyIFJlc2VhcmNo
IENlbnRlciwgU2VhdHRsZSwgV0EgOTgxMDksIFVTQS4mI3hEO1ZhY2NpbmUgYW5kIEluZmVjdGlv
dXMgRGlzZWFzZSBEaXZpc2lvbiwgRnJlZCBIdXRjaGluc29uIENhbmNlciBSZXNlYXJjaCBDZW50
ZXIsIFNlYXR0bGUsIFdBIDk4MTA5LCBVU0EuJiN4RDtCaW9MZWdlbmQgSW5jLiwgU2FuIERpZWdv
LCBDQSA5MjEyMSwgVVNBLiYjeEQ7RGVwYXJ0bWVudCBvZiBNZWRpY2luZSwgU3RhbmZvcmQgVW5p
dmVyc2l0eSBTY2hvb2wgb2YgTWVkaWNpbmUsIFN0YW5mb3JkLCBDQSA5NDMwNSwgVVNBOyBDaGFu
IFp1Y2tlcmJlcmcgQmlvaHViLCBTYW4gRnJhbmNpc2NvLCBDQSA5NDA2MywgVVNBLiYjeEQ7VGVj
aG5vbG9neSBJbm5vdmF0aW9uIExhYiwgTmV3IFlvcmsgR2Vub21lIENlbnRlciwgTmV3IFlvcmss
IE5ZIDEwMDEzLCBVU0EuIEVsZWN0cm9uaWMgYWRkcmVzczogc21pYmVydHBAZ21haWwuY29tLiYj
eEQ7Q2VudGVyIGZvciBHZW5vbWljcyBhbmQgU3lzdGVtcyBCaW9sb2d5LCBOZXcgWW9yayBVbml2
ZXJzaXR5LCBOZXcgWW9yaywgTlkgMTAwMDMsIFVTQTsgTmV3IFlvcmsgR2Vub21lIENlbnRlciwg
TmV3IFlvcmssIE5ZIDEwMDEzLCBVU0EuIEVsZWN0cm9uaWMgYWRkcmVzczogcnNhdGlqYUBueWdl
bm9tZS5vcmcuPC9hdXRoLWFkZHJlc3M+PHRpdGxlcz48dGl0bGU+SW50ZWdyYXRlZCBhbmFseXNp
cyBvZiBtdWx0aW1vZGFsIHNpbmdsZS1jZWxsIGRhdGE8L3RpdGxlPjxzZWNvbmRhcnktdGl0bGU+
Q2VsbDwvc2Vjb25kYXJ5LXRpdGxlPjwvdGl0bGVzPjxwZXJpb2RpY2FsPjxmdWxsLXRpdGxlPkNl
bGw8L2Z1bGwtdGl0bGU+PC9wZXJpb2RpY2FsPjxwYWdlcz4zNTczLTM1ODcgZTI5PC9wYWdlcz48
dm9sdW1lPjE4NDwvdm9sdW1lPjxudW1iZXI+MTM8L251bWJlcj48ZWRpdGlvbj4yMDIxMDUzMTwv
ZWRpdGlvbj48a2V5d29yZHM+PGtleXdvcmQ+M1QzIENlbGxzPC9rZXl3b3JkPjxrZXl3b3JkPkFu
aW1hbHM8L2tleXdvcmQ+PGtleXdvcmQ+Q09WSUQtMTkvaW1tdW5vbG9neTwva2V5d29yZD48a2V5
d29yZD5DZWxsIExpbmU8L2tleXdvcmQ+PGtleXdvcmQ+R2VuZSBFeHByZXNzaW9uIFByb2ZpbGlu
Zy9tZXRob2RzPC9rZXl3b3JkPjxrZXl3b3JkPkh1bWFuczwva2V5d29yZD48a2V5d29yZD5JbW11
bml0eS9pbW11bm9sb2d5PC9rZXl3b3JkPjxrZXl3b3JkPkxldWtvY3l0ZXMsIE1vbm9udWNsZWFy
L2ltbXVub2xvZ3k8L2tleXdvcmQ+PGtleXdvcmQ+THltcGhvY3l0ZXMvaW1tdW5vbG9neTwva2V5
d29yZD48a2V5d29yZD5NaWNlPC9rZXl3b3JkPjxrZXl3b3JkPlNBUlMtQ29WLTIvKmltbXVub2xv
Z3k8L2tleXdvcmQ+PGtleXdvcmQ+U2VxdWVuY2UgQW5hbHlzaXMsIFJOQS9tZXRob2RzPC9rZXl3
b3JkPjxrZXl3b3JkPlNpbmdsZS1DZWxsIEFuYWx5c2lzLyptZXRob2RzPC9rZXl3b3JkPjxrZXl3
b3JkPlRyYW5zY3JpcHRvbWUvaW1tdW5vbG9neTwva2V5d29yZD48a2V5d29yZD5WYWNjaW5hdGlv
bjwva2V5d29yZD48a2V5d29yZD5DSVRFLXNlcTwva2V5d29yZD48a2V5d29yZD5Db3ZpZC0xOTwv
a2V5d29yZD48a2V5d29yZD5UIGNlbGw8L2tleXdvcmQ+PGtleXdvcmQ+aW1tdW5lIHN5c3RlbTwv
a2V5d29yZD48a2V5d29yZD5tdWx0aW1vZGFsIGFuYWx5c2lzPC9rZXl3b3JkPjxrZXl3b3JkPnJl
ZmVyZW5jZSBtYXBwaW5nPC9rZXl3b3JkPjxrZXl3b3JkPnNpbmdsZSBjZWxsIGdlbm9taWNzPC9r
ZXl3b3JkPjwva2V5d29yZHM+PGRhdGVzPjx5ZWFyPjIwMjE8L3llYXI+PHB1Yi1kYXRlcz48ZGF0
ZT5KdW4gMjQ8L2RhdGU+PC9wdWItZGF0ZXM+PC9kYXRlcz48aXNibj4xMDk3LTQxNzIgKEVsZWN0
cm9uaWMpJiN4RDswMDkyLTg2NzQgKFByaW50KSYjeEQ7MDA5Mi04Njc0IChMaW5raW5nKTwvaXNi
bj48YWNjZXNzaW9uLW51bT4zNDA2MjExOTwvYWNjZXNzaW9uLW51bT48dXJscz48cmVsYXRlZC11
cmxzPjx1cmw+aHR0cHM6Ly93d3cubmNiaS5ubG0ubmloLmdvdi9wdWJtZWQvMzQwNjIxMTk8L3Vy
bD48L3JlbGF0ZWQtdXJscz48L3VybHM+PGN1c3RvbTE+RGVjbGFyYXRpb24gb2YgaW50ZXJlc3Rz
IEluIHRoZSBwYXN0IHRocmVlIHllYXJzLCBSLlMuIGhhcyB3b3JrZWQgYXMgYSBjb25zdWx0YW50
IGZvciBCcmlzdG9sLU15ZXJzIFNxdWliYiwgUmVnZW5lcm9uLCBhbmQgS2FsbHlvcGUgYW5kIHNl
cnZlZCBhcyBhbiBTQUIgbWVtYmVyIGZvciBJbW11bkFJLCBBcG9sbG8gTGlmZSBTY2llbmNlcyBH
bWJILCBOYW5vc3RyaW5nLCBhbmQgdGhlIE5ZQyBQYW5kZW1pYyBSZXNwb25zZSBMYWIuIFIuRy4g
aGFzIHJlY2VpdmVkIGNvbnN1bHRpbmcgaW5jb21lIGZyb20gSnVubyBUaGVyYXBldXRpY3MsIFRh
a2VkYSwgSW5mb3RlY2ggU29mdCwgQ2VsZ2VuZSwgYW5kIE1lcmNrLCBoZSBoYXMgcmVjZWl2ZWQg
cmVzZWFyY2ggc3VwcG9ydCBmcm9tIEphbnNzZW4gUGhhcm1hY2V1dGljYWxzIGFuZCBKdW5vIFRo
ZXJhcGV1dGljcywgYW5kIGhlIGRlY2xhcmVzIG93bmVyc2hpcCBpbiBDZWxsU3BhY2UgQmlvc2Np
ZW5jZXMuIFAuUy4gaXMgYSBjby1pbnZlbnRvciBvZiBhIHBhdGVudCByZWxhdGVkIHRvIHRoaXMg
d29yay4gQi5aLlkuIGlzIGFuIGVtcGxveWVlIGF0IEJpb0xlZ2VuZCBJbmMuLCB3aGljaCBpcyB0
aGUgZXhjbHVzaXZlIGxpY2Vuc2VlIG9mIHRoZSBOZXcgWW9yayBHZW5vbWUgQ2VudGVyIHBhdGVu
dCBhcHBsaWNhdGlvbiByZWxhdGVkIHRvIHRoaXMgd29yay48L2N1c3RvbTE+PGN1c3RvbTI+UE1D
ODIzODQ5OTwvY3VzdG9tMj48ZWxlY3Ryb25pYy1yZXNvdXJjZS1udW0+MTAuMTAxNi9qLmNlbGwu
MjAyMS4wNC4wNDg8L2VsZWN0cm9uaWMtcmVzb3VyY2UtbnVtPjxyZW1vdGUtZGF0YWJhc2UtbmFt
ZT5NZWRsaW5lPC9yZW1vdGUtZGF0YWJhc2UtbmFtZT48cmVtb3RlLWRhdGFiYXNlLXByb3ZpZGVy
Pk5MTTwvcmVtb3RlLWRhdGFiYXNlLXByb3ZpZGVyPjwvcmVjb3JkPjwvQ2l0ZT48L0VuZE5vdGU+
AG==
</w:fldData>
        </w:fldChar>
      </w:r>
      <w:r w:rsidR="00A804EA">
        <w:rPr>
          <w:rFonts w:ascii="Times New Roman" w:hAnsi="Times New Roman" w:cs="Times New Roman"/>
        </w:rPr>
        <w:instrText xml:space="preserve"> ADDIN EN.CITE </w:instrText>
      </w:r>
      <w:r w:rsidR="00A804EA">
        <w:rPr>
          <w:rFonts w:ascii="Times New Roman" w:hAnsi="Times New Roman" w:cs="Times New Roman"/>
        </w:rPr>
        <w:fldChar w:fldCharType="begin">
          <w:fldData xml:space="preserve">PEVuZE5vdGU+PENpdGU+PEF1dGhvcj5IYW88L0F1dGhvcj48WWVhcj4yMDIxPC9ZZWFyPjxSZWNO
dW0+NjEwPC9SZWNOdW0+PERpc3BsYXlUZXh0PlsyXTwvRGlzcGxheVRleHQ+PHJlY29yZD48cmVj
LW51bWJlcj42MTA8L3JlYy1udW1iZXI+PGZvcmVpZ24ta2V5cz48a2V5IGFwcD0iRU4iIGRiLWlk
PSJ2YTB2d2RycnBld3ZlN2V0YWVyeHJwZjV2dzJkMHhmNWQyc2YiIHRpbWVzdGFtcD0iMTc4ODUz
Nzg5NiI+NjEwPC9rZXk+PC9mb3JlaWduLWtleXM+PHJlZi10eXBlIG5hbWU9IkpvdXJuYWwgQXJ0
aWNsZSI+MTc8L3JlZi10eXBlPjxjb250cmlidXRvcnM+PGF1dGhvcnM+PGF1dGhvcj5IYW8sIFku
PC9hdXRob3I+PGF1dGhvcj5IYW8sIFMuPC9hdXRob3I+PGF1dGhvcj5BbmRlcnNlbi1OaXNzZW4s
IEUuPC9hdXRob3I+PGF1dGhvcj5NYXVjaywgVy4gTS4sIDNyZDwvYXV0aG9yPjxhdXRob3I+Wmhl
bmcsIFMuPC9hdXRob3I+PGF1dGhvcj5CdXRsZXIsIEEuPC9hdXRob3I+PGF1dGhvcj5MZWUsIE0u
IEouPC9hdXRob3I+PGF1dGhvcj5XaWxrLCBBLiBKLjwvYXV0aG9yPjxhdXRob3I+RGFyYnksIEMu
PC9hdXRob3I+PGF1dGhvcj5aYWdlciwgTS48L2F1dGhvcj48YXV0aG9yPkhvZmZtYW4sIFAuPC9h
dXRob3I+PGF1dGhvcj5TdG9lY2tpdXMsIE0uPC9hdXRob3I+PGF1dGhvcj5QYXBhbGV4aSwgRS48
L2F1dGhvcj48YXV0aG9yPk1pbWl0b3UsIEUuIFAuPC9hdXRob3I+PGF1dGhvcj5KYWluLCBKLjwv
YXV0aG9yPjxhdXRob3I+U3JpdmFzdGF2YSwgQS48L2F1dGhvcj48YXV0aG9yPlN0dWFydCwgVC48
L2F1dGhvcj48YXV0aG9yPkZsZW1pbmcsIEwuIE0uPC9hdXRob3I+PGF1dGhvcj5ZZXVuZywgQi48
L2F1dGhvcj48YXV0aG9yPlJvZ2VycywgQS4gSi48L2F1dGhvcj48YXV0aG9yPk1jRWxyYXRoLCBK
LiBNLjwvYXV0aG9yPjxhdXRob3I+Qmxpc2gsIEMuIEEuPC9hdXRob3I+PGF1dGhvcj5Hb3R0YXJk
bywgUi48L2F1dGhvcj48YXV0aG9yPlNtaWJlcnQsIFAuPC9hdXRob3I+PGF1dGhvcj5TYXRpamEs
IFIuPC9hdXRob3I+PC9hdXRob3JzPjwvY29udHJpYnV0b3JzPjxhdXRoLWFkZHJlc3M+Q2VudGVy
IGZvciBHZW5vbWljcyBhbmQgU3lzdGVtcyBCaW9sb2d5LCBOZXcgWW9yayBVbml2ZXJzaXR5LCBO
ZXcgWW9yaywgTlkgMTAwMDMsIFVTQTsgTmV3IFlvcmsgR2Vub21lIENlbnRlciwgTmV3IFlvcmss
IE5ZIDEwMDEzLCBVU0EuJiN4RDtUZWNobm9sb2d5IElubm92YXRpb24gTGFiLCBOZXcgWW9yayBH
ZW5vbWUgQ2VudGVyLCBOZXcgWW9yaywgTlkgMTAwMTMsIFVTQS4mI3hEO1ZhY2NpbmUgYW5kIElu
ZmVjdGlvdXMgRGlzZWFzZSBEaXZpc2lvbiwgRnJlZCBIdXRjaGluc29uIENhbmNlciBSZXNlYXJj
aCBDZW50ZXIsIFNlYXR0bGUsIFdBIDk4MTA5LCBVU0E7IENhcGUgVG93biBIVlROIEltbXVub2xv
Z3kgTGFiLCBIdXRjaGluc29uIENhbmNlciBSZXNlYXJjaCBJbnN0aXR1dGUgb2YgU291dGggQWZy
aWNhLCBDYXBlIFRvd24gODAwMSwgU291dGggQWZyaWNhLiYjeEQ7Q2VudGVyIGZvciBHZW5vbWlj
cyBhbmQgU3lzdGVtcyBCaW9sb2d5LCBOZXcgWW9yayBVbml2ZXJzaXR5LCBOZXcgWW9yaywgTlkg
MTAwMDMsIFVTQS4mI3hEO0RlcGFydG1lbnQgb2YgTWVkaWNpbmUsIFN0YW5mb3JkIFVuaXZlcnNp
dHkgU2Nob29sIG9mIE1lZGljaW5lLCBTdGFuZm9yZCwgQ0EgOTQzMDUsIFVTQS4mI3hEO0NlbnRl
ciBmb3IgRGF0YSBWaXN1YWxpemF0aW9uLCBGcmVkIEh1dGNoaW5zb24gQ2FuY2VyIFJlc2VhcmNo
IENlbnRlciwgU2VhdHRsZSwgV0EgOTgxMDksIFVTQS4mI3hEO1ZhY2NpbmUgYW5kIEluZmVjdGlv
dXMgRGlzZWFzZSBEaXZpc2lvbiwgRnJlZCBIdXRjaGluc29uIENhbmNlciBSZXNlYXJjaCBDZW50
ZXIsIFNlYXR0bGUsIFdBIDk4MTA5LCBVU0EuJiN4RDtCaW9MZWdlbmQgSW5jLiwgU2FuIERpZWdv
LCBDQSA5MjEyMSwgVVNBLiYjeEQ7RGVwYXJ0bWVudCBvZiBNZWRpY2luZSwgU3RhbmZvcmQgVW5p
dmVyc2l0eSBTY2hvb2wgb2YgTWVkaWNpbmUsIFN0YW5mb3JkLCBDQSA5NDMwNSwgVVNBOyBDaGFu
IFp1Y2tlcmJlcmcgQmlvaHViLCBTYW4gRnJhbmNpc2NvLCBDQSA5NDA2MywgVVNBLiYjeEQ7VGVj
aG5vbG9neSBJbm5vdmF0aW9uIExhYiwgTmV3IFlvcmsgR2Vub21lIENlbnRlciwgTmV3IFlvcmss
IE5ZIDEwMDEzLCBVU0EuIEVsZWN0cm9uaWMgYWRkcmVzczogc21pYmVydHBAZ21haWwuY29tLiYj
eEQ7Q2VudGVyIGZvciBHZW5vbWljcyBhbmQgU3lzdGVtcyBCaW9sb2d5LCBOZXcgWW9yayBVbml2
ZXJzaXR5LCBOZXcgWW9yaywgTlkgMTAwMDMsIFVTQTsgTmV3IFlvcmsgR2Vub21lIENlbnRlciwg
TmV3IFlvcmssIE5ZIDEwMDEzLCBVU0EuIEVsZWN0cm9uaWMgYWRkcmVzczogcnNhdGlqYUBueWdl
bm9tZS5vcmcuPC9hdXRoLWFkZHJlc3M+PHRpdGxlcz48dGl0bGU+SW50ZWdyYXRlZCBhbmFseXNp
cyBvZiBtdWx0aW1vZGFsIHNpbmdsZS1jZWxsIGRhdGE8L3RpdGxlPjxzZWNvbmRhcnktdGl0bGU+
Q2VsbDwvc2Vjb25kYXJ5LXRpdGxlPjwvdGl0bGVzPjxwZXJpb2RpY2FsPjxmdWxsLXRpdGxlPkNl
bGw8L2Z1bGwtdGl0bGU+PC9wZXJpb2RpY2FsPjxwYWdlcz4zNTczLTM1ODcgZTI5PC9wYWdlcz48
dm9sdW1lPjE4NDwvdm9sdW1lPjxudW1iZXI+MTM8L251bWJlcj48ZWRpdGlvbj4yMDIxMDUzMTwv
ZWRpdGlvbj48a2V5d29yZHM+PGtleXdvcmQ+M1QzIENlbGxzPC9rZXl3b3JkPjxrZXl3b3JkPkFu
aW1hbHM8L2tleXdvcmQ+PGtleXdvcmQ+Q09WSUQtMTkvaW1tdW5vbG9neTwva2V5d29yZD48a2V5
d29yZD5DZWxsIExpbmU8L2tleXdvcmQ+PGtleXdvcmQ+R2VuZSBFeHByZXNzaW9uIFByb2ZpbGlu
Zy9tZXRob2RzPC9rZXl3b3JkPjxrZXl3b3JkPkh1bWFuczwva2V5d29yZD48a2V5d29yZD5JbW11
bml0eS9pbW11bm9sb2d5PC9rZXl3b3JkPjxrZXl3b3JkPkxldWtvY3l0ZXMsIE1vbm9udWNsZWFy
L2ltbXVub2xvZ3k8L2tleXdvcmQ+PGtleXdvcmQ+THltcGhvY3l0ZXMvaW1tdW5vbG9neTwva2V5
d29yZD48a2V5d29yZD5NaWNlPC9rZXl3b3JkPjxrZXl3b3JkPlNBUlMtQ29WLTIvKmltbXVub2xv
Z3k8L2tleXdvcmQ+PGtleXdvcmQ+U2VxdWVuY2UgQW5hbHlzaXMsIFJOQS9tZXRob2RzPC9rZXl3
b3JkPjxrZXl3b3JkPlNpbmdsZS1DZWxsIEFuYWx5c2lzLyptZXRob2RzPC9rZXl3b3JkPjxrZXl3
b3JkPlRyYW5zY3JpcHRvbWUvaW1tdW5vbG9neTwva2V5d29yZD48a2V5d29yZD5WYWNjaW5hdGlv
bjwva2V5d29yZD48a2V5d29yZD5DSVRFLXNlcTwva2V5d29yZD48a2V5d29yZD5Db3ZpZC0xOTwv
a2V5d29yZD48a2V5d29yZD5UIGNlbGw8L2tleXdvcmQ+PGtleXdvcmQ+aW1tdW5lIHN5c3RlbTwv
a2V5d29yZD48a2V5d29yZD5tdWx0aW1vZGFsIGFuYWx5c2lzPC9rZXl3b3JkPjxrZXl3b3JkPnJl
ZmVyZW5jZSBtYXBwaW5nPC9rZXl3b3JkPjxrZXl3b3JkPnNpbmdsZSBjZWxsIGdlbm9taWNzPC9r
ZXl3b3JkPjwva2V5d29yZHM+PGRhdGVzPjx5ZWFyPjIwMjE8L3llYXI+PHB1Yi1kYXRlcz48ZGF0
ZT5KdW4gMjQ8L2RhdGU+PC9wdWItZGF0ZXM+PC9kYXRlcz48aXNibj4xMDk3LTQxNzIgKEVsZWN0
cm9uaWMpJiN4RDswMDkyLTg2NzQgKFByaW50KSYjeEQ7MDA5Mi04Njc0IChMaW5raW5nKTwvaXNi
bj48YWNjZXNzaW9uLW51bT4zNDA2MjExOTwvYWNjZXNzaW9uLW51bT48dXJscz48cmVsYXRlZC11
cmxzPjx1cmw+aHR0cHM6Ly93d3cubmNiaS5ubG0ubmloLmdvdi9wdWJtZWQvMzQwNjIxMTk8L3Vy
bD48L3JlbGF0ZWQtdXJscz48L3VybHM+PGN1c3RvbTE+RGVjbGFyYXRpb24gb2YgaW50ZXJlc3Rz
IEluIHRoZSBwYXN0IHRocmVlIHllYXJzLCBSLlMuIGhhcyB3b3JrZWQgYXMgYSBjb25zdWx0YW50
IGZvciBCcmlzdG9sLU15ZXJzIFNxdWliYiwgUmVnZW5lcm9uLCBhbmQgS2FsbHlvcGUgYW5kIHNl
cnZlZCBhcyBhbiBTQUIgbWVtYmVyIGZvciBJbW11bkFJLCBBcG9sbG8gTGlmZSBTY2llbmNlcyBH
bWJILCBOYW5vc3RyaW5nLCBhbmQgdGhlIE5ZQyBQYW5kZW1pYyBSZXNwb25zZSBMYWIuIFIuRy4g
aGFzIHJlY2VpdmVkIGNvbnN1bHRpbmcgaW5jb21lIGZyb20gSnVubyBUaGVyYXBldXRpY3MsIFRh
a2VkYSwgSW5mb3RlY2ggU29mdCwgQ2VsZ2VuZSwgYW5kIE1lcmNrLCBoZSBoYXMgcmVjZWl2ZWQg
cmVzZWFyY2ggc3VwcG9ydCBmcm9tIEphbnNzZW4gUGhhcm1hY2V1dGljYWxzIGFuZCBKdW5vIFRo
ZXJhcGV1dGljcywgYW5kIGhlIGRlY2xhcmVzIG93bmVyc2hpcCBpbiBDZWxsU3BhY2UgQmlvc2Np
ZW5jZXMuIFAuUy4gaXMgYSBjby1pbnZlbnRvciBvZiBhIHBhdGVudCByZWxhdGVkIHRvIHRoaXMg
d29yay4gQi5aLlkuIGlzIGFuIGVtcGxveWVlIGF0IEJpb0xlZ2VuZCBJbmMuLCB3aGljaCBpcyB0
aGUgZXhjbHVzaXZlIGxpY2Vuc2VlIG9mIHRoZSBOZXcgWW9yayBHZW5vbWUgQ2VudGVyIHBhdGVu
dCBhcHBsaWNhdGlvbiByZWxhdGVkIHRvIHRoaXMgd29yay48L2N1c3RvbTE+PGN1c3RvbTI+UE1D
ODIzODQ5OTwvY3VzdG9tMj48ZWxlY3Ryb25pYy1yZXNvdXJjZS1udW0+MTAuMTAxNi9qLmNlbGwu
MjAyMS4wNC4wNDg8L2VsZWN0cm9uaWMtcmVzb3VyY2UtbnVtPjxyZW1vdGUtZGF0YWJhc2UtbmFt
ZT5NZWRsaW5lPC9yZW1vdGUtZGF0YWJhc2UtbmFtZT48cmVtb3RlLWRhdGFiYXNlLXByb3ZpZGVy
Pk5MTTwvcmVtb3RlLWRhdGFiYXNlLXByb3ZpZGVyPjwvcmVjb3JkPjwvQ2l0ZT48L0VuZE5vdGU+
AG==
</w:fldData>
        </w:fldChar>
      </w:r>
      <w:r w:rsidR="00A804EA">
        <w:rPr>
          <w:rFonts w:ascii="Times New Roman" w:hAnsi="Times New Roman" w:cs="Times New Roman"/>
        </w:rPr>
        <w:instrText xml:space="preserve"> ADDIN EN.CITE.DATA </w:instrText>
      </w:r>
      <w:r w:rsidR="00A804EA">
        <w:rPr>
          <w:rFonts w:ascii="Times New Roman" w:hAnsi="Times New Roman" w:cs="Times New Roman"/>
        </w:rPr>
      </w:r>
      <w:r w:rsidR="00A804EA">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A804EA">
        <w:rPr>
          <w:rFonts w:ascii="Times New Roman" w:hAnsi="Times New Roman" w:cs="Times New Roman"/>
          <w:noProof/>
        </w:rPr>
        <w:t>[2]</w:t>
      </w:r>
      <w:r>
        <w:rPr>
          <w:rFonts w:ascii="Times New Roman" w:hAnsi="Times New Roman" w:cs="Times New Roman"/>
        </w:rPr>
        <w:fldChar w:fldCharType="end"/>
      </w:r>
      <w:r>
        <w:rPr>
          <w:rFonts w:ascii="Times New Roman" w:hAnsi="Times New Roman" w:cs="Times New Roman"/>
        </w:rPr>
        <w:t xml:space="preserve">. Low-quality cells were excluded based on quality-control metrics including detected gene numbers, transcript counts, mitochondrial RNA proportion, and erythrocyte-associated transcript expression. Putative doublets were identified and removed using </w:t>
      </w:r>
      <w:r>
        <w:rPr>
          <w:rFonts w:ascii="Times New Roman" w:hAnsi="Times New Roman" w:cs="Times New Roman"/>
        </w:rPr>
        <w:lastRenderedPageBreak/>
        <w:t xml:space="preserve">DoubletFinder </w:t>
      </w:r>
      <w:r>
        <w:rPr>
          <w:rFonts w:ascii="Times New Roman" w:hAnsi="Times New Roman" w:cs="Times New Roman"/>
        </w:rPr>
        <w:fldChar w:fldCharType="begin">
          <w:fldData xml:space="preserve">PEVuZE5vdGU+PENpdGU+PEF1dGhvcj5NY0dpbm5pczwvQXV0aG9yPjxZZWFyPjIwMTk8L1llYXI+
PFJlY051bT42MTE8L1JlY051bT48RGlzcGxheVRleHQ+WzNdPC9EaXNwbGF5VGV4dD48cmVjb3Jk
PjxyZWMtbnVtYmVyPjYxMTwvcmVjLW51bWJlcj48Zm9yZWlnbi1rZXlzPjxrZXkgYXBwPSJFTiIg
ZGItaWQ9InZhMHZ3ZHJycGV3dmU3ZXRhZXJ4cnBmNXZ3MmQweGY1ZDJzZiIgdGltZXN0YW1wPSIx
Nzg4NTM3OTI5Ij42MTE8L2tleT48L2ZvcmVpZ24ta2V5cz48cmVmLXR5cGUgbmFtZT0iSm91cm5h
bCBBcnRpY2xlIj4xNzwvcmVmLXR5cGU+PGNvbnRyaWJ1dG9ycz48YXV0aG9ycz48YXV0aG9yPk1j
R2lubmlzLCBDLiBTLjwvYXV0aG9yPjxhdXRob3I+TXVycm93LCBMLiBNLjwvYXV0aG9yPjxhdXRo
b3I+R2FydG5lciwgWi4gSi48L2F1dGhvcj48L2F1dGhvcnM+PC9jb250cmlidXRvcnM+PGF1dGgt
YWRkcmVzcz5EZXBhcnRtZW50IG9mIFBoYXJtYWNldXRpY2FsIENoZW1pc3RyeSwgVW5pdmVyc2l0
eSBvZiBDYWxpZm9ybmlhLCBTYW4gRnJhbmNpc2NvLCBTYW4gRnJhbmNpc2NvLCBDQSwgVVNBLiYj
eEQ7RGVwYXJ0bWVudCBvZiBQaGFybWFjZXV0aWNhbCBDaGVtaXN0cnksIFVuaXZlcnNpdHkgb2Yg
Q2FsaWZvcm5pYSwgU2FuIEZyYW5jaXNjbywgU2FuIEZyYW5jaXNjbywgQ0EsIFVTQTsgQ2hhbiBa
dWNrZXJiZWcgQmlvaHViLCBVbml2ZXJzaXR5IG9mIENhbGlmb3JuaWEsIFNhbiBGcmFuY2lzY28s
IFNhbiBGcmFuY2lzY28sIENBLCBVU0E7IENlbnRlciBmb3IgQ2VsbHVsYXIgQ29uc3RydWN0aW9u
LCBVbml2ZXJzaXR5IG9mIENhbGlmb3JuaWEsIFNhbiBGcmFuY2lzY28sIFNhbiBGcmFuY2lzY28s
IENBLCBVU0EuIEVsZWN0cm9uaWMgYWRkcmVzczogemV2LmdhcnRuZXJAdWNzZi5lZHUuPC9hdXRo
LWFkZHJlc3M+PHRpdGxlcz48dGl0bGU+RG91YmxldEZpbmRlcjogRG91YmxldCBEZXRlY3Rpb24g
aW4gU2luZ2xlLUNlbGwgUk5BIFNlcXVlbmNpbmcgRGF0YSBVc2luZyBBcnRpZmljaWFsIE5lYXJl
c3QgTmVpZ2hib3JzPC90aXRsZT48c2Vjb25kYXJ5LXRpdGxlPkNlbGwgU3lzdDwvc2Vjb25kYXJ5
LXRpdGxlPjwvdGl0bGVzPjxwZXJpb2RpY2FsPjxmdWxsLXRpdGxlPkNlbGwgU3lzdDwvZnVsbC10
aXRsZT48L3BlcmlvZGljYWw+PHBhZ2VzPjMyOS0zMzcgZTQ8L3BhZ2VzPjx2b2x1bWU+ODwvdm9s
dW1lPjxudW1iZXI+NDwvbnVtYmVyPjxlZGl0aW9uPjIwMTkwNDAzPC9lZGl0aW9uPjxrZXl3b3Jk
cz48a2V5d29yZD5IdW1hbnM8L2tleXdvcmQ+PGtleXdvcmQ+Uk5BLVNlcS8qbWV0aG9kcy9zdGFu
ZGFyZHM8L2tleXdvcmQ+PGtleXdvcmQ+U2luZ2xlLUNlbGwgQW5hbHlzaXMvKm1ldGhvZHMvc3Rh
bmRhcmRzPC9rZXl3b3JkPjxrZXl3b3JkPipTb2Z0d2FyZTwva2V5d29yZD48a2V5d29yZD5kb3Vi
bGV0IGRldGVjdGlvbjwva2V5d29yZD48a2V5d29yZD5tYWNoaW5lIGxlYXJuaW5nPC9rZXl3b3Jk
PjxrZXl3b3JkPnF1YWxpdHktY29udHJvbDwva2V5d29yZD48a2V5d29yZD5zaW5nbGUtY2VsbCBS
TkEgc2VxdWVuY2luZzwva2V5d29yZD48L2tleXdvcmRzPjxkYXRlcz48eWVhcj4yMDE5PC95ZWFy
PjxwdWItZGF0ZXM+PGRhdGU+QXByIDI0PC9kYXRlPjwvcHViLWRhdGVzPjwvZGF0ZXM+PGlzYm4+
MjQwNS00NzIwIChFbGVjdHJvbmljKSYjeEQ7MjQwNS00NzEyIChQcmludCkmI3hEOzI0MDUtNDcx
MiAoTGlua2luZyk8L2lzYm4+PGFjY2Vzc2lvbi1udW0+MzA5NTQ0NzU8L2FjY2Vzc2lvbi1udW0+
PHVybHM+PHJlbGF0ZWQtdXJscz48dXJsPmh0dHBzOi8vd3d3Lm5jYmkubmxtLm5paC5nb3YvcHVi
bWVkLzMwOTU0NDc1PC91cmw+PC9yZWxhdGVkLXVybHM+PC91cmxzPjxjdXN0b20xPkRFQ0xBUkFU
SU9OIE9GIElOVEVSRVNUUyBUaGUgYXV0aG9ycyBkZWNsYXJlIG5vIGNvbXBldGluZyBpbnRlcmVz
dHMuPC9jdXN0b20xPjxjdXN0b20yPlBNQzY4NTM2MTI8L2N1c3RvbTI+PGVsZWN0cm9uaWMtcmVz
b3VyY2UtbnVtPjEwLjEwMTYvai5jZWxzLjIwMTkuMDMuMDAzPC9lbGVjdHJvbmljLXJlc291cmNl
LW51bT48cmVtb3RlLWRhdGFiYXNlLW5hbWU+TWVkbGluZTwvcmVtb3RlLWRhdGFiYXNlLW5hbWU+
PHJlbW90ZS1kYXRhYmFzZS1wcm92aWRlcj5OTE08L3JlbW90ZS1kYXRhYmFzZS1wcm92aWRlcj48
L3JlY29yZD48L0NpdGU+PC9FbmROb3RlPgB=
</w:fldData>
        </w:fldChar>
      </w:r>
      <w:r w:rsidR="00A804EA">
        <w:rPr>
          <w:rFonts w:ascii="Times New Roman" w:hAnsi="Times New Roman" w:cs="Times New Roman"/>
        </w:rPr>
        <w:instrText xml:space="preserve"> ADDIN EN.CITE </w:instrText>
      </w:r>
      <w:r w:rsidR="00A804EA">
        <w:rPr>
          <w:rFonts w:ascii="Times New Roman" w:hAnsi="Times New Roman" w:cs="Times New Roman"/>
        </w:rPr>
        <w:fldChar w:fldCharType="begin">
          <w:fldData xml:space="preserve">PEVuZE5vdGU+PENpdGU+PEF1dGhvcj5NY0dpbm5pczwvQXV0aG9yPjxZZWFyPjIwMTk8L1llYXI+
PFJlY051bT42MTE8L1JlY051bT48RGlzcGxheVRleHQ+WzNdPC9EaXNwbGF5VGV4dD48cmVjb3Jk
PjxyZWMtbnVtYmVyPjYxMTwvcmVjLW51bWJlcj48Zm9yZWlnbi1rZXlzPjxrZXkgYXBwPSJFTiIg
ZGItaWQ9InZhMHZ3ZHJycGV3dmU3ZXRhZXJ4cnBmNXZ3MmQweGY1ZDJzZiIgdGltZXN0YW1wPSIx
Nzg4NTM3OTI5Ij42MTE8L2tleT48L2ZvcmVpZ24ta2V5cz48cmVmLXR5cGUgbmFtZT0iSm91cm5h
bCBBcnRpY2xlIj4xNzwvcmVmLXR5cGU+PGNvbnRyaWJ1dG9ycz48YXV0aG9ycz48YXV0aG9yPk1j
R2lubmlzLCBDLiBTLjwvYXV0aG9yPjxhdXRob3I+TXVycm93LCBMLiBNLjwvYXV0aG9yPjxhdXRo
b3I+R2FydG5lciwgWi4gSi48L2F1dGhvcj48L2F1dGhvcnM+PC9jb250cmlidXRvcnM+PGF1dGgt
YWRkcmVzcz5EZXBhcnRtZW50IG9mIFBoYXJtYWNldXRpY2FsIENoZW1pc3RyeSwgVW5pdmVyc2l0
eSBvZiBDYWxpZm9ybmlhLCBTYW4gRnJhbmNpc2NvLCBTYW4gRnJhbmNpc2NvLCBDQSwgVVNBLiYj
eEQ7RGVwYXJ0bWVudCBvZiBQaGFybWFjZXV0aWNhbCBDaGVtaXN0cnksIFVuaXZlcnNpdHkgb2Yg
Q2FsaWZvcm5pYSwgU2FuIEZyYW5jaXNjbywgU2FuIEZyYW5jaXNjbywgQ0EsIFVTQTsgQ2hhbiBa
dWNrZXJiZWcgQmlvaHViLCBVbml2ZXJzaXR5IG9mIENhbGlmb3JuaWEsIFNhbiBGcmFuY2lzY28s
IFNhbiBGcmFuY2lzY28sIENBLCBVU0E7IENlbnRlciBmb3IgQ2VsbHVsYXIgQ29uc3RydWN0aW9u
LCBVbml2ZXJzaXR5IG9mIENhbGlmb3JuaWEsIFNhbiBGcmFuY2lzY28sIFNhbiBGcmFuY2lzY28s
IENBLCBVU0EuIEVsZWN0cm9uaWMgYWRkcmVzczogemV2LmdhcnRuZXJAdWNzZi5lZHUuPC9hdXRo
LWFkZHJlc3M+PHRpdGxlcz48dGl0bGU+RG91YmxldEZpbmRlcjogRG91YmxldCBEZXRlY3Rpb24g
aW4gU2luZ2xlLUNlbGwgUk5BIFNlcXVlbmNpbmcgRGF0YSBVc2luZyBBcnRpZmljaWFsIE5lYXJl
c3QgTmVpZ2hib3JzPC90aXRsZT48c2Vjb25kYXJ5LXRpdGxlPkNlbGwgU3lzdDwvc2Vjb25kYXJ5
LXRpdGxlPjwvdGl0bGVzPjxwZXJpb2RpY2FsPjxmdWxsLXRpdGxlPkNlbGwgU3lzdDwvZnVsbC10
aXRsZT48L3BlcmlvZGljYWw+PHBhZ2VzPjMyOS0zMzcgZTQ8L3BhZ2VzPjx2b2x1bWU+ODwvdm9s
dW1lPjxudW1iZXI+NDwvbnVtYmVyPjxlZGl0aW9uPjIwMTkwNDAzPC9lZGl0aW9uPjxrZXl3b3Jk
cz48a2V5d29yZD5IdW1hbnM8L2tleXdvcmQ+PGtleXdvcmQ+Uk5BLVNlcS8qbWV0aG9kcy9zdGFu
ZGFyZHM8L2tleXdvcmQ+PGtleXdvcmQ+U2luZ2xlLUNlbGwgQW5hbHlzaXMvKm1ldGhvZHMvc3Rh
bmRhcmRzPC9rZXl3b3JkPjxrZXl3b3JkPipTb2Z0d2FyZTwva2V5d29yZD48a2V5d29yZD5kb3Vi
bGV0IGRldGVjdGlvbjwva2V5d29yZD48a2V5d29yZD5tYWNoaW5lIGxlYXJuaW5nPC9rZXl3b3Jk
PjxrZXl3b3JkPnF1YWxpdHktY29udHJvbDwva2V5d29yZD48a2V5d29yZD5zaW5nbGUtY2VsbCBS
TkEgc2VxdWVuY2luZzwva2V5d29yZD48L2tleXdvcmRzPjxkYXRlcz48eWVhcj4yMDE5PC95ZWFy
PjxwdWItZGF0ZXM+PGRhdGU+QXByIDI0PC9kYXRlPjwvcHViLWRhdGVzPjwvZGF0ZXM+PGlzYm4+
MjQwNS00NzIwIChFbGVjdHJvbmljKSYjeEQ7MjQwNS00NzEyIChQcmludCkmI3hEOzI0MDUtNDcx
MiAoTGlua2luZyk8L2lzYm4+PGFjY2Vzc2lvbi1udW0+MzA5NTQ0NzU8L2FjY2Vzc2lvbi1udW0+
PHVybHM+PHJlbGF0ZWQtdXJscz48dXJsPmh0dHBzOi8vd3d3Lm5jYmkubmxtLm5paC5nb3YvcHVi
bWVkLzMwOTU0NDc1PC91cmw+PC9yZWxhdGVkLXVybHM+PC91cmxzPjxjdXN0b20xPkRFQ0xBUkFU
SU9OIE9GIElOVEVSRVNUUyBUaGUgYXV0aG9ycyBkZWNsYXJlIG5vIGNvbXBldGluZyBpbnRlcmVz
dHMuPC9jdXN0b20xPjxjdXN0b20yPlBNQzY4NTM2MTI8L2N1c3RvbTI+PGVsZWN0cm9uaWMtcmVz
b3VyY2UtbnVtPjEwLjEwMTYvai5jZWxzLjIwMTkuMDMuMDAzPC9lbGVjdHJvbmljLXJlc291cmNl
LW51bT48cmVtb3RlLWRhdGFiYXNlLW5hbWU+TWVkbGluZTwvcmVtb3RlLWRhdGFiYXNlLW5hbWU+
PHJlbW90ZS1kYXRhYmFzZS1wcm92aWRlcj5OTE08L3JlbW90ZS1kYXRhYmFzZS1wcm92aWRlcj48
L3JlY29yZD48L0NpdGU+PC9FbmROb3RlPgB=
</w:fldData>
        </w:fldChar>
      </w:r>
      <w:r w:rsidR="00A804EA">
        <w:rPr>
          <w:rFonts w:ascii="Times New Roman" w:hAnsi="Times New Roman" w:cs="Times New Roman"/>
        </w:rPr>
        <w:instrText xml:space="preserve"> ADDIN EN.CITE.DATA </w:instrText>
      </w:r>
      <w:r w:rsidR="00A804EA">
        <w:rPr>
          <w:rFonts w:ascii="Times New Roman" w:hAnsi="Times New Roman" w:cs="Times New Roman"/>
        </w:rPr>
      </w:r>
      <w:r w:rsidR="00A804EA">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A804EA">
        <w:rPr>
          <w:rFonts w:ascii="Times New Roman" w:hAnsi="Times New Roman" w:cs="Times New Roman"/>
          <w:noProof/>
        </w:rPr>
        <w:t>[3]</w:t>
      </w:r>
      <w:r>
        <w:rPr>
          <w:rFonts w:ascii="Times New Roman" w:hAnsi="Times New Roman" w:cs="Times New Roman"/>
        </w:rPr>
        <w:fldChar w:fldCharType="end"/>
      </w:r>
      <w:r>
        <w:rPr>
          <w:rFonts w:ascii="Times New Roman" w:hAnsi="Times New Roman" w:cs="Times New Roman"/>
        </w:rPr>
        <w:t>, and ambient RNA contamination was assessed using decontX</w:t>
      </w:r>
      <w:r>
        <w:rPr>
          <w:rFonts w:ascii="Times New Roman" w:hAnsi="Times New Roman" w:cs="Times New Roman" w:hint="eastAsia"/>
        </w:rPr>
        <w:t xml:space="preserve"> </w:t>
      </w:r>
      <w:r>
        <w:rPr>
          <w:rFonts w:ascii="Times New Roman" w:hAnsi="Times New Roman" w:cs="Times New Roman"/>
        </w:rPr>
        <w:fldChar w:fldCharType="begin">
          <w:fldData xml:space="preserve">PEVuZE5vdGU+PENpdGU+PEF1dGhvcj5ZYW5nPC9BdXRob3I+PFllYXI+MjAyMDwvWWVhcj48UmVj
TnVtPjYxMjwvUmVjTnVtPjxEaXNwbGF5VGV4dD5bNF08L0Rpc3BsYXlUZXh0PjxyZWNvcmQ+PHJl
Yy1udW1iZXI+NjEyPC9yZWMtbnVtYmVyPjxmb3JlaWduLWtleXM+PGtleSBhcHA9IkVOIiBkYi1p
ZD0idmEwdndkcnJwZXd2ZTdldGFlcnhycGY1dncyZDB4ZjVkMnNmIiB0aW1lc3RhbXA9IjE3ODg1
Mzc5NjciPjYxMjwva2V5PjwvZm9yZWlnbi1rZXlzPjxyZWYtdHlwZSBuYW1lPSJKb3VybmFsIEFy
dGljbGUiPjE3PC9yZWYtdHlwZT48Y29udHJpYnV0b3JzPjxhdXRob3JzPjxhdXRob3I+WWFuZywg
Uy48L2F1dGhvcj48YXV0aG9yPkNvcmJldHQsIFMuIEUuPC9hdXRob3I+PGF1dGhvcj5Lb2dhLCBZ
LjwvYXV0aG9yPjxhdXRob3I+V2FuZywgWi48L2F1dGhvcj48YXV0aG9yPkpvaG5zb24sIFcuIEUu
PC9hdXRob3I+PGF1dGhvcj5ZYWppbWEsIE0uPC9hdXRob3I+PGF1dGhvcj5DYW1wYmVsbCwgSi4g
RC48L2F1dGhvcj48L2F1dGhvcnM+PC9jb250cmlidXRvcnM+PGF1dGgtYWRkcmVzcz5EaXZpc2lv
biBvZiBDb21wdXRhdGlvbmFsIEJpb21lZGljaW5lLCBEZXBhcnRtZW50IG9mIE1lZGljaW5lLCBC
b3N0b24gVW5pdmVyc2l0eSBTY2hvb2wgb2YgTWVkaWNpbmUsIEJvc3RvbiwgTUEsIFVTQS4mI3hE
O0RlcGFydG1lbnQgb2YgTWF0aGVtYXRpY3MgJmFtcDsgU3RhdGlzdGljcywgQm9zdG9uIFVuaXZl
cnNpdHksIEJvc3RvbiwgTUEsIFVTQS4mI3hEO0RpdmlzaW9uIG9mIENvbXB1dGF0aW9uYWwgQmlv
bWVkaWNpbmUsIERlcGFydG1lbnQgb2YgTWVkaWNpbmUsIEJvc3RvbiBVbml2ZXJzaXR5IFNjaG9v
bCBvZiBNZWRpY2luZSwgQm9zdG9uLCBNQSwgVVNBLiBjYW1wQGJ1LmVkdS48L2F1dGgtYWRkcmVz
cz48dGl0bGVzPjx0aXRsZT5EZWNvbnRhbWluYXRpb24gb2YgYW1iaWVudCBSTkEgaW4gc2luZ2xl
LWNlbGwgUk5BLXNlcSB3aXRoIERlY29udFg8L3RpdGxlPjxzZWNvbmRhcnktdGl0bGU+R2Vub21l
IEJpb2w8L3NlY29uZGFyeS10aXRsZT48L3RpdGxlcz48cGVyaW9kaWNhbD48ZnVsbC10aXRsZT5H
ZW5vbWUgQmlvbDwvZnVsbC10aXRsZT48L3BlcmlvZGljYWw+PHBhZ2VzPjU3PC9wYWdlcz48dm9s
dW1lPjIxPC92b2x1bWU+PG51bWJlcj4xPC9udW1iZXI+PGVkaXRpb24+MjAyMDAzMDU8L2VkaXRp
b24+PGtleXdvcmRzPjxrZXl3b3JkPkFuaW1hbHM8L2tleXdvcmQ+PGtleXdvcmQ+QmF5ZXMgVGhl
b3JlbTwva2V5d29yZD48a2V5d29yZD5DZWxsIExpbmU8L2tleXdvcmQ+PGtleXdvcmQ+SHVtYW5z
PC9rZXl3b3JkPjxrZXl3b3JkPkxhYi1Pbi1BLUNoaXAgRGV2aWNlczwva2V5d29yZD48a2V5d29y
ZD5NaWNlPC9rZXl3b3JkPjxrZXl3b3JkPlJOQS9hbmFseXNpczwva2V5d29yZD48a2V5d29yZD5S
TkEtU2VxL2luc3RydW1lbnRhdGlvbi8qbWV0aG9kczwva2V5d29yZD48a2V5d29yZD5TaW5nbGUt
Q2VsbCBBbmFseXNpcy9pbnN0cnVtZW50YXRpb24vKm1ldGhvZHM8L2tleXdvcmQ+PGtleXdvcmQ+
QmF5ZXNpYW4gbWl4dHVyZSBtb2RlbDwva2V5d29yZD48a2V5d29yZD5EZWNvbnRhbWluYXRpb248
L2tleXdvcmQ+PGtleXdvcmQ+U2luZ2xlIGNlbGw8L2tleXdvcmQ+PGtleXdvcmQ+c2NSTkEtc2Vx
PC9rZXl3b3JkPjwva2V5d29yZHM+PGRhdGVzPjx5ZWFyPjIwMjA8L3llYXI+PHB1Yi1kYXRlcz48
ZGF0ZT5NYXIgNTwvZGF0ZT48L3B1Yi1kYXRlcz48L2RhdGVzPjxpc2JuPjE0NzQtNzYwWCAoRWxl
Y3Ryb25pYykmI3hEOzE0NzQtNzU5NiAoUHJpbnQpJiN4RDsxNDc0LTc1OTYgKExpbmtpbmcpPC9p
c2JuPjxhY2Nlc3Npb24tbnVtPjMyMTM4NzcwPC9hY2Nlc3Npb24tbnVtPjx1cmxzPjxyZWxhdGVk
LXVybHM+PHVybD5odHRwczovL3d3dy5uY2JpLm5sbS5uaWguZ292L3B1Ym1lZC8zMjEzODc3MDwv
dXJsPjwvcmVsYXRlZC11cmxzPjwvdXJscz48Y3VzdG9tMT5UaGUgYXV0aG9ycyBkZWNsYXJlIHRo
YXQgdGhleSBoYXZlIG5vIGNvbXBldGluZyBpbnRlcmVzdHMuPC9jdXN0b20xPjxjdXN0b20yPlBN
QzcwNTkzOTU8L2N1c3RvbTI+PGVsZWN0cm9uaWMtcmVzb3VyY2UtbnVtPjEwLjExODYvczEzMDU5
LTAyMC0xOTUwLTY8L2VsZWN0cm9uaWMtcmVzb3VyY2UtbnVtPjxyZW1vdGUtZGF0YWJhc2UtbmFt
ZT5NZWRsaW5lPC9yZW1vdGUtZGF0YWJhc2UtbmFtZT48cmVtb3RlLWRhdGFiYXNlLXByb3ZpZGVy
Pk5MTTwvcmVtb3RlLWRhdGFiYXNlLXByb3ZpZGVyPjwvcmVjb3JkPjwvQ2l0ZT48L0VuZE5vdGU+
</w:fldData>
        </w:fldChar>
      </w:r>
      <w:r w:rsidR="00A804EA">
        <w:rPr>
          <w:rFonts w:ascii="Times New Roman" w:hAnsi="Times New Roman" w:cs="Times New Roman"/>
        </w:rPr>
        <w:instrText xml:space="preserve"> ADDIN EN.CITE </w:instrText>
      </w:r>
      <w:r w:rsidR="00A804EA">
        <w:rPr>
          <w:rFonts w:ascii="Times New Roman" w:hAnsi="Times New Roman" w:cs="Times New Roman"/>
        </w:rPr>
        <w:fldChar w:fldCharType="begin">
          <w:fldData xml:space="preserve">PEVuZE5vdGU+PENpdGU+PEF1dGhvcj5ZYW5nPC9BdXRob3I+PFllYXI+MjAyMDwvWWVhcj48UmVj
TnVtPjYxMjwvUmVjTnVtPjxEaXNwbGF5VGV4dD5bNF08L0Rpc3BsYXlUZXh0PjxyZWNvcmQ+PHJl
Yy1udW1iZXI+NjEyPC9yZWMtbnVtYmVyPjxmb3JlaWduLWtleXM+PGtleSBhcHA9IkVOIiBkYi1p
ZD0idmEwdndkcnJwZXd2ZTdldGFlcnhycGY1dncyZDB4ZjVkMnNmIiB0aW1lc3RhbXA9IjE3ODg1
Mzc5NjciPjYxMjwva2V5PjwvZm9yZWlnbi1rZXlzPjxyZWYtdHlwZSBuYW1lPSJKb3VybmFsIEFy
dGljbGUiPjE3PC9yZWYtdHlwZT48Y29udHJpYnV0b3JzPjxhdXRob3JzPjxhdXRob3I+WWFuZywg
Uy48L2F1dGhvcj48YXV0aG9yPkNvcmJldHQsIFMuIEUuPC9hdXRob3I+PGF1dGhvcj5Lb2dhLCBZ
LjwvYXV0aG9yPjxhdXRob3I+V2FuZywgWi48L2F1dGhvcj48YXV0aG9yPkpvaG5zb24sIFcuIEUu
PC9hdXRob3I+PGF1dGhvcj5ZYWppbWEsIE0uPC9hdXRob3I+PGF1dGhvcj5DYW1wYmVsbCwgSi4g
RC48L2F1dGhvcj48L2F1dGhvcnM+PC9jb250cmlidXRvcnM+PGF1dGgtYWRkcmVzcz5EaXZpc2lv
biBvZiBDb21wdXRhdGlvbmFsIEJpb21lZGljaW5lLCBEZXBhcnRtZW50IG9mIE1lZGljaW5lLCBC
b3N0b24gVW5pdmVyc2l0eSBTY2hvb2wgb2YgTWVkaWNpbmUsIEJvc3RvbiwgTUEsIFVTQS4mI3hE
O0RlcGFydG1lbnQgb2YgTWF0aGVtYXRpY3MgJmFtcDsgU3RhdGlzdGljcywgQm9zdG9uIFVuaXZl
cnNpdHksIEJvc3RvbiwgTUEsIFVTQS4mI3hEO0RpdmlzaW9uIG9mIENvbXB1dGF0aW9uYWwgQmlv
bWVkaWNpbmUsIERlcGFydG1lbnQgb2YgTWVkaWNpbmUsIEJvc3RvbiBVbml2ZXJzaXR5IFNjaG9v
bCBvZiBNZWRpY2luZSwgQm9zdG9uLCBNQSwgVVNBLiBjYW1wQGJ1LmVkdS48L2F1dGgtYWRkcmVz
cz48dGl0bGVzPjx0aXRsZT5EZWNvbnRhbWluYXRpb24gb2YgYW1iaWVudCBSTkEgaW4gc2luZ2xl
LWNlbGwgUk5BLXNlcSB3aXRoIERlY29udFg8L3RpdGxlPjxzZWNvbmRhcnktdGl0bGU+R2Vub21l
IEJpb2w8L3NlY29uZGFyeS10aXRsZT48L3RpdGxlcz48cGVyaW9kaWNhbD48ZnVsbC10aXRsZT5H
ZW5vbWUgQmlvbDwvZnVsbC10aXRsZT48L3BlcmlvZGljYWw+PHBhZ2VzPjU3PC9wYWdlcz48dm9s
dW1lPjIxPC92b2x1bWU+PG51bWJlcj4xPC9udW1iZXI+PGVkaXRpb24+MjAyMDAzMDU8L2VkaXRp
b24+PGtleXdvcmRzPjxrZXl3b3JkPkFuaW1hbHM8L2tleXdvcmQ+PGtleXdvcmQ+QmF5ZXMgVGhl
b3JlbTwva2V5d29yZD48a2V5d29yZD5DZWxsIExpbmU8L2tleXdvcmQ+PGtleXdvcmQ+SHVtYW5z
PC9rZXl3b3JkPjxrZXl3b3JkPkxhYi1Pbi1BLUNoaXAgRGV2aWNlczwva2V5d29yZD48a2V5d29y
ZD5NaWNlPC9rZXl3b3JkPjxrZXl3b3JkPlJOQS9hbmFseXNpczwva2V5d29yZD48a2V5d29yZD5S
TkEtU2VxL2luc3RydW1lbnRhdGlvbi8qbWV0aG9kczwva2V5d29yZD48a2V5d29yZD5TaW5nbGUt
Q2VsbCBBbmFseXNpcy9pbnN0cnVtZW50YXRpb24vKm1ldGhvZHM8L2tleXdvcmQ+PGtleXdvcmQ+
QmF5ZXNpYW4gbWl4dHVyZSBtb2RlbDwva2V5d29yZD48a2V5d29yZD5EZWNvbnRhbWluYXRpb248
L2tleXdvcmQ+PGtleXdvcmQ+U2luZ2xlIGNlbGw8L2tleXdvcmQ+PGtleXdvcmQ+c2NSTkEtc2Vx
PC9rZXl3b3JkPjwva2V5d29yZHM+PGRhdGVzPjx5ZWFyPjIwMjA8L3llYXI+PHB1Yi1kYXRlcz48
ZGF0ZT5NYXIgNTwvZGF0ZT48L3B1Yi1kYXRlcz48L2RhdGVzPjxpc2JuPjE0NzQtNzYwWCAoRWxl
Y3Ryb25pYykmI3hEOzE0NzQtNzU5NiAoUHJpbnQpJiN4RDsxNDc0LTc1OTYgKExpbmtpbmcpPC9p
c2JuPjxhY2Nlc3Npb24tbnVtPjMyMTM4NzcwPC9hY2Nlc3Npb24tbnVtPjx1cmxzPjxyZWxhdGVk
LXVybHM+PHVybD5odHRwczovL3d3dy5uY2JpLm5sbS5uaWguZ292L3B1Ym1lZC8zMjEzODc3MDwv
dXJsPjwvcmVsYXRlZC11cmxzPjwvdXJscz48Y3VzdG9tMT5UaGUgYXV0aG9ycyBkZWNsYXJlIHRo
YXQgdGhleSBoYXZlIG5vIGNvbXBldGluZyBpbnRlcmVzdHMuPC9jdXN0b20xPjxjdXN0b20yPlBN
QzcwNTkzOTU8L2N1c3RvbTI+PGVsZWN0cm9uaWMtcmVzb3VyY2UtbnVtPjEwLjExODYvczEzMDU5
LTAyMC0xOTUwLTY8L2VsZWN0cm9uaWMtcmVzb3VyY2UtbnVtPjxyZW1vdGUtZGF0YWJhc2UtbmFt
ZT5NZWRsaW5lPC9yZW1vdGUtZGF0YWJhc2UtbmFtZT48cmVtb3RlLWRhdGFiYXNlLXByb3ZpZGVy
Pk5MTTwvcmVtb3RlLWRhdGFiYXNlLXByb3ZpZGVyPjwvcmVjb3JkPjwvQ2l0ZT48L0VuZE5vdGU+
</w:fldData>
        </w:fldChar>
      </w:r>
      <w:r w:rsidR="00A804EA">
        <w:rPr>
          <w:rFonts w:ascii="Times New Roman" w:hAnsi="Times New Roman" w:cs="Times New Roman"/>
        </w:rPr>
        <w:instrText xml:space="preserve"> ADDIN EN.CITE.DATA </w:instrText>
      </w:r>
      <w:r w:rsidR="00A804EA">
        <w:rPr>
          <w:rFonts w:ascii="Times New Roman" w:hAnsi="Times New Roman" w:cs="Times New Roman"/>
        </w:rPr>
      </w:r>
      <w:r w:rsidR="00A804EA">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A804EA">
        <w:rPr>
          <w:rFonts w:ascii="Times New Roman" w:hAnsi="Times New Roman" w:cs="Times New Roman"/>
          <w:noProof/>
        </w:rPr>
        <w:t>[4]</w:t>
      </w:r>
      <w:r>
        <w:rPr>
          <w:rFonts w:ascii="Times New Roman" w:hAnsi="Times New Roman" w:cs="Times New Roman"/>
        </w:rPr>
        <w:fldChar w:fldCharType="end"/>
      </w:r>
      <w:r>
        <w:rPr>
          <w:rFonts w:ascii="Times New Roman" w:hAnsi="Times New Roman" w:cs="Times New Roman"/>
        </w:rPr>
        <w:t xml:space="preserve">. Following quality control, individual samples were normalized using log-normalization, and highly variable genes were identified for downstream dimensionality reduction. Principal component analysis was performed, followed by Harmony integration using sample identity as the batch variable to mitigate inter-sample variation </w:t>
      </w:r>
      <w:r>
        <w:rPr>
          <w:rFonts w:ascii="Times New Roman" w:hAnsi="Times New Roman" w:cs="Times New Roman"/>
        </w:rPr>
        <w:fldChar w:fldCharType="begin">
          <w:fldData xml:space="preserve">PEVuZE5vdGU+PENpdGU+PEF1dGhvcj5Lb3JzdW5za3k8L0F1dGhvcj48WWVhcj4yMDE5PC9ZZWFy
PjxSZWNOdW0+NjEzPC9SZWNOdW0+PERpc3BsYXlUZXh0Pls1XTwvRGlzcGxheVRleHQ+PHJlY29y
ZD48cmVjLW51bWJlcj42MTM8L3JlYy1udW1iZXI+PGZvcmVpZ24ta2V5cz48a2V5IGFwcD0iRU4i
IGRiLWlkPSJ2YTB2d2RycnBld3ZlN2V0YWVyeHJwZjV2dzJkMHhmNWQyc2YiIHRpbWVzdGFtcD0i
MTc4ODUzODAwMiI+NjEzPC9rZXk+PC9mb3JlaWduLWtleXM+PHJlZi10eXBlIG5hbWU9IkpvdXJu
YWwgQXJ0aWNsZSI+MTc8L3JlZi10eXBlPjxjb250cmlidXRvcnM+PGF1dGhvcnM+PGF1dGhvcj5L
b3JzdW5za3ksIEkuPC9hdXRob3I+PGF1dGhvcj5NaWxsYXJkLCBOLjwvYXV0aG9yPjxhdXRob3I+
RmFuLCBKLjwvYXV0aG9yPjxhdXRob3I+U2xvd2lrb3dza2ksIEsuPC9hdXRob3I+PGF1dGhvcj5a
aGFuZywgRi48L2F1dGhvcj48YXV0aG9yPldlaSwgSy48L2F1dGhvcj48YXV0aG9yPkJhZ2xhZW5r
bywgWS48L2F1dGhvcj48YXV0aG9yPkJyZW5uZXIsIE0uPC9hdXRob3I+PGF1dGhvcj5Mb2gsIFAu
IFIuPC9hdXRob3I+PGF1dGhvcj5SYXljaGF1ZGh1cmksIFMuPC9hdXRob3I+PC9hdXRob3JzPjwv
Y29udHJpYnV0b3JzPjxhdXRoLWFkZHJlc3M+Q2VudGVyIGZvciBEYXRhIFNjaWVuY2VzLCBCcmln
aGFtIGFuZCBXb21lbiZhcG9zO3MgSG9zcGl0YWwsIEJvc3RvbiwgTUEsIFVTQS4mI3hEO0Rpdmlz
aW9ucyBvZiBHZW5ldGljcyBhbmQgUmhldW1hdG9sb2d5LCBEZXBhcnRtZW50IG9mIE1lZGljaW5l
LCBCcmlnaGFtIGFuZCBXb21lbiZhcG9zO3MgSG9zcGl0YWwgYW5kIEhhcnZhcmQgTWVkaWNhbCBT
Y2hvb2wsIEJvc3RvbiwgTUEsIFVTQS4mI3hEO0RlcGFydG1lbnQgb2YgQmlvbWVkaWNhbCBJbmZv
cm1hdGljcywgSGFydmFyZCBNZWRpY2FsIFNjaG9vbCwgQm9zdG9uLCBNQSwgVVNBLiYjeEQ7UHJv
Z3JhbSBpbiBNZWRpY2FsIGFuZCBQb3B1bGF0aW9uIEdlbmV0aWNzLCBCcm9hZCBJbnN0aXR1dGUg
b2YgTUlUIGFuZCBIYXJ2YXJkLCBDYW1icmlkZ2UsIE1BLCBVU0EuJiN4RDtEZXBhcnRtZW50IG9m
IENoZW1pc3RyeSBhbmQgQ2hlbWljYWwgQmlvbG9neSwgSGFydmFyZCBVbml2ZXJzaXR5LCBDYW1i
cmlkZ2UsIE1BLCBVU0EuJiN4RDtDZW50ZXIgZm9yIERhdGEgU2NpZW5jZXMsIEJyaWdoYW0gYW5k
IFdvbWVuJmFwb3M7cyBIb3NwaXRhbCwgQm9zdG9uLCBNQSwgVVNBLiBzb3VteWFAYnJvYWRpbnN0
aXR1dGUub3JnLiYjeEQ7RGl2aXNpb25zIG9mIEdlbmV0aWNzIGFuZCBSaGV1bWF0b2xvZ3ksIERl
cGFydG1lbnQgb2YgTWVkaWNpbmUsIEJyaWdoYW0gYW5kIFdvbWVuJmFwb3M7cyBIb3NwaXRhbCBh
bmQgSGFydmFyZCBNZWRpY2FsIFNjaG9vbCwgQm9zdG9uLCBNQSwgVVNBLiBzb3VteWFAYnJvYWRp
bnN0aXR1dGUub3JnLiYjeEQ7RGVwYXJ0bWVudCBvZiBCaW9tZWRpY2FsIEluZm9ybWF0aWNzLCBI
YXJ2YXJkIE1lZGljYWwgU2Nob29sLCBCb3N0b24sIE1BLCBVU0EuIHNvdW15YUBicm9hZGluc3Rp
dHV0ZS5vcmcuJiN4RDtQcm9ncmFtIGluIE1lZGljYWwgYW5kIFBvcHVsYXRpb24gR2VuZXRpY3Ms
IEJyb2FkIEluc3RpdHV0ZSBvZiBNSVQgYW5kIEhhcnZhcmQsIENhbWJyaWRnZSwgTUEsIFVTQS4g
c291bXlhQGJyb2FkaW5zdGl0dXRlLm9yZy4mI3hEO1ZlcnN1cyBBcnRocml0aXMgQ2VudHJlIGZv
ciBHZW5ldGljcyBhbmQgR2Vub21pY3MsIENlbnRyZSBmb3IgTXVzY3Vsb3NrZWxldGFsIFJlc2Vh
cmNoLCBNYW5jaGVzdGVyIEFjYWRlbWljIEhlYWx0aCBTY2llbmNlIENlbnRyZSwgVGhlIFVuaXZl
cnNpdHkgb2YgTWFuY2hlc3RlciwgTWFuY2hlc3RlciwgVUsuIHNvdW15YUBicm9hZGluc3RpdHV0
ZS5vcmcuPC9hdXRoLWFkZHJlc3M+PHRpdGxlcz48dGl0bGU+RmFzdCwgc2Vuc2l0aXZlIGFuZCBh
Y2N1cmF0ZSBpbnRlZ3JhdGlvbiBvZiBzaW5nbGUtY2VsbCBkYXRhIHdpdGggSGFybW9ueTwvdGl0
bGU+PHNlY29uZGFyeS10aXRsZT5OYXQgTWV0aG9kczwvc2Vjb25kYXJ5LXRpdGxlPjwvdGl0bGVz
PjxwZXJpb2RpY2FsPjxmdWxsLXRpdGxlPk5hdCBNZXRob2RzPC9mdWxsLXRpdGxlPjwvcGVyaW9k
aWNhbD48cGFnZXM+MTI4OS0xMjk2PC9wYWdlcz48dm9sdW1lPjE2PC92b2x1bWU+PG51bWJlcj4x
MjwvbnVtYmVyPjxlZGl0aW9uPjIwMTkxMTE4PC9lZGl0aW9uPjxrZXl3b3Jkcz48a2V5d29yZD5B
bGdvcml0aG1zPC9rZXl3b3JkPjxrZXl3b3JkPkFuaW1hbHM8L2tleXdvcmQ+PGtleXdvcmQ+QmFz
ZSBTZXF1ZW5jZTwva2V5d29yZD48a2V5d29yZD5EYXRhc2V0cyBhcyBUb3BpYzwva2V5d29yZD48
a2V5d29yZD5IRUsyOTMgQ2VsbHM8L2tleXdvcmQ+PGtleXdvcmQ+SHVtYW5zPC9rZXl3b3JkPjxr
ZXl3b3JkPkp1cmthdCBDZWxsczwva2V5d29yZD48a2V5d29yZD5NaWNlPC9rZXl3b3JkPjxrZXl3
b3JkPlNpbmdsZS1DZWxsIEFuYWx5c2lzLyptZXRob2RzPC9rZXl3b3JkPjwva2V5d29yZHM+PGRh
dGVzPjx5ZWFyPjIwMTk8L3llYXI+PHB1Yi1kYXRlcz48ZGF0ZT5EZWM8L2RhdGU+PC9wdWItZGF0
ZXM+PC9kYXRlcz48aXNibj4xNTQ4LTcxMDUgKEVsZWN0cm9uaWMpJiN4RDsxNTQ4LTcwOTEgKFBy
aW50KSYjeEQ7MTU0OC03MDkxIChMaW5raW5nKTwvaXNibj48YWNjZXNzaW9uLW51bT4zMTc0MDgx
OTwvYWNjZXNzaW9uLW51bT48dXJscz48cmVsYXRlZC11cmxzPjx1cmw+aHR0cHM6Ly93d3cubmNi
aS5ubG0ubmloLmdvdi9wdWJtZWQvMzE3NDA4MTk8L3VybD48L3JlbGF0ZWQtdXJscz48L3VybHM+
PGN1c3RvbTI+UE1DNjg4NDY5MzwvY3VzdG9tMj48ZWxlY3Ryb25pYy1yZXNvdXJjZS1udW0+MTAu
MTAzOC9zNDE1OTItMDE5LTA2MTktMDwvZWxlY3Ryb25pYy1yZXNvdXJjZS1udW0+PHJlbW90ZS1k
YXRhYmFzZS1uYW1lPk1lZGxpbmU8L3JlbW90ZS1kYXRhYmFzZS1uYW1lPjxyZW1vdGUtZGF0YWJh
c2UtcHJvdmlkZXI+TkxNPC9yZW1vdGUtZGF0YWJhc2UtcHJvdmlkZXI+PC9yZWNvcmQ+PC9DaXRl
PjwvRW5kTm90ZT5=
</w:fldData>
        </w:fldChar>
      </w:r>
      <w:r w:rsidR="00A804EA">
        <w:rPr>
          <w:rFonts w:ascii="Times New Roman" w:hAnsi="Times New Roman" w:cs="Times New Roman"/>
        </w:rPr>
        <w:instrText xml:space="preserve"> ADDIN EN.CITE </w:instrText>
      </w:r>
      <w:r w:rsidR="00A804EA">
        <w:rPr>
          <w:rFonts w:ascii="Times New Roman" w:hAnsi="Times New Roman" w:cs="Times New Roman"/>
        </w:rPr>
        <w:fldChar w:fldCharType="begin">
          <w:fldData xml:space="preserve">PEVuZE5vdGU+PENpdGU+PEF1dGhvcj5Lb3JzdW5za3k8L0F1dGhvcj48WWVhcj4yMDE5PC9ZZWFy
PjxSZWNOdW0+NjEzPC9SZWNOdW0+PERpc3BsYXlUZXh0Pls1XTwvRGlzcGxheVRleHQ+PHJlY29y
ZD48cmVjLW51bWJlcj42MTM8L3JlYy1udW1iZXI+PGZvcmVpZ24ta2V5cz48a2V5IGFwcD0iRU4i
IGRiLWlkPSJ2YTB2d2RycnBld3ZlN2V0YWVyeHJwZjV2dzJkMHhmNWQyc2YiIHRpbWVzdGFtcD0i
MTc4ODUzODAwMiI+NjEzPC9rZXk+PC9mb3JlaWduLWtleXM+PHJlZi10eXBlIG5hbWU9IkpvdXJu
YWwgQXJ0aWNsZSI+MTc8L3JlZi10eXBlPjxjb250cmlidXRvcnM+PGF1dGhvcnM+PGF1dGhvcj5L
b3JzdW5za3ksIEkuPC9hdXRob3I+PGF1dGhvcj5NaWxsYXJkLCBOLjwvYXV0aG9yPjxhdXRob3I+
RmFuLCBKLjwvYXV0aG9yPjxhdXRob3I+U2xvd2lrb3dza2ksIEsuPC9hdXRob3I+PGF1dGhvcj5a
aGFuZywgRi48L2F1dGhvcj48YXV0aG9yPldlaSwgSy48L2F1dGhvcj48YXV0aG9yPkJhZ2xhZW5r
bywgWS48L2F1dGhvcj48YXV0aG9yPkJyZW5uZXIsIE0uPC9hdXRob3I+PGF1dGhvcj5Mb2gsIFAu
IFIuPC9hdXRob3I+PGF1dGhvcj5SYXljaGF1ZGh1cmksIFMuPC9hdXRob3I+PC9hdXRob3JzPjwv
Y29udHJpYnV0b3JzPjxhdXRoLWFkZHJlc3M+Q2VudGVyIGZvciBEYXRhIFNjaWVuY2VzLCBCcmln
aGFtIGFuZCBXb21lbiZhcG9zO3MgSG9zcGl0YWwsIEJvc3RvbiwgTUEsIFVTQS4mI3hEO0Rpdmlz
aW9ucyBvZiBHZW5ldGljcyBhbmQgUmhldW1hdG9sb2d5LCBEZXBhcnRtZW50IG9mIE1lZGljaW5l
LCBCcmlnaGFtIGFuZCBXb21lbiZhcG9zO3MgSG9zcGl0YWwgYW5kIEhhcnZhcmQgTWVkaWNhbCBT
Y2hvb2wsIEJvc3RvbiwgTUEsIFVTQS4mI3hEO0RlcGFydG1lbnQgb2YgQmlvbWVkaWNhbCBJbmZv
cm1hdGljcywgSGFydmFyZCBNZWRpY2FsIFNjaG9vbCwgQm9zdG9uLCBNQSwgVVNBLiYjeEQ7UHJv
Z3JhbSBpbiBNZWRpY2FsIGFuZCBQb3B1bGF0aW9uIEdlbmV0aWNzLCBCcm9hZCBJbnN0aXR1dGUg
b2YgTUlUIGFuZCBIYXJ2YXJkLCBDYW1icmlkZ2UsIE1BLCBVU0EuJiN4RDtEZXBhcnRtZW50IG9m
IENoZW1pc3RyeSBhbmQgQ2hlbWljYWwgQmlvbG9neSwgSGFydmFyZCBVbml2ZXJzaXR5LCBDYW1i
cmlkZ2UsIE1BLCBVU0EuJiN4RDtDZW50ZXIgZm9yIERhdGEgU2NpZW5jZXMsIEJyaWdoYW0gYW5k
IFdvbWVuJmFwb3M7cyBIb3NwaXRhbCwgQm9zdG9uLCBNQSwgVVNBLiBzb3VteWFAYnJvYWRpbnN0
aXR1dGUub3JnLiYjeEQ7RGl2aXNpb25zIG9mIEdlbmV0aWNzIGFuZCBSaGV1bWF0b2xvZ3ksIERl
cGFydG1lbnQgb2YgTWVkaWNpbmUsIEJyaWdoYW0gYW5kIFdvbWVuJmFwb3M7cyBIb3NwaXRhbCBh
bmQgSGFydmFyZCBNZWRpY2FsIFNjaG9vbCwgQm9zdG9uLCBNQSwgVVNBLiBzb3VteWFAYnJvYWRp
bnN0aXR1dGUub3JnLiYjeEQ7RGVwYXJ0bWVudCBvZiBCaW9tZWRpY2FsIEluZm9ybWF0aWNzLCBI
YXJ2YXJkIE1lZGljYWwgU2Nob29sLCBCb3N0b24sIE1BLCBVU0EuIHNvdW15YUBicm9hZGluc3Rp
dHV0ZS5vcmcuJiN4RDtQcm9ncmFtIGluIE1lZGljYWwgYW5kIFBvcHVsYXRpb24gR2VuZXRpY3Ms
IEJyb2FkIEluc3RpdHV0ZSBvZiBNSVQgYW5kIEhhcnZhcmQsIENhbWJyaWRnZSwgTUEsIFVTQS4g
c291bXlhQGJyb2FkaW5zdGl0dXRlLm9yZy4mI3hEO1ZlcnN1cyBBcnRocml0aXMgQ2VudHJlIGZv
ciBHZW5ldGljcyBhbmQgR2Vub21pY3MsIENlbnRyZSBmb3IgTXVzY3Vsb3NrZWxldGFsIFJlc2Vh
cmNoLCBNYW5jaGVzdGVyIEFjYWRlbWljIEhlYWx0aCBTY2llbmNlIENlbnRyZSwgVGhlIFVuaXZl
cnNpdHkgb2YgTWFuY2hlc3RlciwgTWFuY2hlc3RlciwgVUsuIHNvdW15YUBicm9hZGluc3RpdHV0
ZS5vcmcuPC9hdXRoLWFkZHJlc3M+PHRpdGxlcz48dGl0bGU+RmFzdCwgc2Vuc2l0aXZlIGFuZCBh
Y2N1cmF0ZSBpbnRlZ3JhdGlvbiBvZiBzaW5nbGUtY2VsbCBkYXRhIHdpdGggSGFybW9ueTwvdGl0
bGU+PHNlY29uZGFyeS10aXRsZT5OYXQgTWV0aG9kczwvc2Vjb25kYXJ5LXRpdGxlPjwvdGl0bGVz
PjxwZXJpb2RpY2FsPjxmdWxsLXRpdGxlPk5hdCBNZXRob2RzPC9mdWxsLXRpdGxlPjwvcGVyaW9k
aWNhbD48cGFnZXM+MTI4OS0xMjk2PC9wYWdlcz48dm9sdW1lPjE2PC92b2x1bWU+PG51bWJlcj4x
MjwvbnVtYmVyPjxlZGl0aW9uPjIwMTkxMTE4PC9lZGl0aW9uPjxrZXl3b3Jkcz48a2V5d29yZD5B
bGdvcml0aG1zPC9rZXl3b3JkPjxrZXl3b3JkPkFuaW1hbHM8L2tleXdvcmQ+PGtleXdvcmQ+QmFz
ZSBTZXF1ZW5jZTwva2V5d29yZD48a2V5d29yZD5EYXRhc2V0cyBhcyBUb3BpYzwva2V5d29yZD48
a2V5d29yZD5IRUsyOTMgQ2VsbHM8L2tleXdvcmQ+PGtleXdvcmQ+SHVtYW5zPC9rZXl3b3JkPjxr
ZXl3b3JkPkp1cmthdCBDZWxsczwva2V5d29yZD48a2V5d29yZD5NaWNlPC9rZXl3b3JkPjxrZXl3
b3JkPlNpbmdsZS1DZWxsIEFuYWx5c2lzLyptZXRob2RzPC9rZXl3b3JkPjwva2V5d29yZHM+PGRh
dGVzPjx5ZWFyPjIwMTk8L3llYXI+PHB1Yi1kYXRlcz48ZGF0ZT5EZWM8L2RhdGU+PC9wdWItZGF0
ZXM+PC9kYXRlcz48aXNibj4xNTQ4LTcxMDUgKEVsZWN0cm9uaWMpJiN4RDsxNTQ4LTcwOTEgKFBy
aW50KSYjeEQ7MTU0OC03MDkxIChMaW5raW5nKTwvaXNibj48YWNjZXNzaW9uLW51bT4zMTc0MDgx
OTwvYWNjZXNzaW9uLW51bT48dXJscz48cmVsYXRlZC11cmxzPjx1cmw+aHR0cHM6Ly93d3cubmNi
aS5ubG0ubmloLmdvdi9wdWJtZWQvMzE3NDA4MTk8L3VybD48L3JlbGF0ZWQtdXJscz48L3VybHM+
PGN1c3RvbTI+UE1DNjg4NDY5MzwvY3VzdG9tMj48ZWxlY3Ryb25pYy1yZXNvdXJjZS1udW0+MTAu
MTAzOC9zNDE1OTItMDE5LTA2MTktMDwvZWxlY3Ryb25pYy1yZXNvdXJjZS1udW0+PHJlbW90ZS1k
YXRhYmFzZS1uYW1lPk1lZGxpbmU8L3JlbW90ZS1kYXRhYmFzZS1uYW1lPjxyZW1vdGUtZGF0YWJh
c2UtcHJvdmlkZXI+TkxNPC9yZW1vdGUtZGF0YWJhc2UtcHJvdmlkZXI+PC9yZWNvcmQ+PC9DaXRl
PjwvRW5kTm90ZT5=
</w:fldData>
        </w:fldChar>
      </w:r>
      <w:r w:rsidR="00A804EA">
        <w:rPr>
          <w:rFonts w:ascii="Times New Roman" w:hAnsi="Times New Roman" w:cs="Times New Roman"/>
        </w:rPr>
        <w:instrText xml:space="preserve"> ADDIN EN.CITE.DATA </w:instrText>
      </w:r>
      <w:r w:rsidR="00A804EA">
        <w:rPr>
          <w:rFonts w:ascii="Times New Roman" w:hAnsi="Times New Roman" w:cs="Times New Roman"/>
        </w:rPr>
      </w:r>
      <w:r w:rsidR="00A804EA">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A804EA">
        <w:rPr>
          <w:rFonts w:ascii="Times New Roman" w:hAnsi="Times New Roman" w:cs="Times New Roman"/>
          <w:noProof/>
        </w:rPr>
        <w:t>[5]</w:t>
      </w:r>
      <w:r>
        <w:rPr>
          <w:rFonts w:ascii="Times New Roman" w:hAnsi="Times New Roman" w:cs="Times New Roman"/>
        </w:rPr>
        <w:fldChar w:fldCharType="end"/>
      </w:r>
      <w:r>
        <w:rPr>
          <w:rFonts w:ascii="Times New Roman" w:hAnsi="Times New Roman" w:cs="Times New Roman"/>
        </w:rPr>
        <w:t>. Harmony-corrected dimensions were used for graph-based clustering and uniform manifold approximation and projection (UMAP) visualization. Major immune and epithelial compartments were annotated based on canonical marker genes and cluster-specific expression patterns. Selected major compartments were subsequently subjected to secondary clustering to identify finer cellular states.</w:t>
      </w:r>
    </w:p>
    <w:p w14:paraId="79C638AC" w14:textId="45699065" w:rsidR="00C723C7" w:rsidRDefault="00000000">
      <w:pPr>
        <w:spacing w:line="440" w:lineRule="exact"/>
        <w:ind w:firstLineChars="200" w:firstLine="420"/>
        <w:rPr>
          <w:rFonts w:ascii="Times New Roman" w:hAnsi="Times New Roman" w:cs="Times New Roman"/>
        </w:rPr>
      </w:pPr>
      <w:r>
        <w:rPr>
          <w:rFonts w:ascii="Times New Roman" w:hAnsi="Times New Roman" w:cs="Times New Roman"/>
        </w:rPr>
        <w:t>Cellular composition was evaluated at the patient level, with each patient considered as an independent biological replicate. For each patient, the relative abundance of each cell population was calculated as the proportion of cells belonging to that population among all annotated cells. Differences in cell-type proportions between multimodal model-defined high- and low-risk groups were assessed using sample-level proportion analysis, with adjustment for multiple comparisons using the Benjamini–Hochberg procedure.</w:t>
      </w:r>
      <w:r>
        <w:t xml:space="preserve"> </w:t>
      </w:r>
      <w:r>
        <w:rPr>
          <w:rFonts w:ascii="Times New Roman" w:hAnsi="Times New Roman" w:cs="Times New Roman"/>
        </w:rPr>
        <w:t>To provide a complementary visualization of relative enrichment or depletion patterns, observed-to-expected ratios (Ro/e) were calculated for each cell population and risk group</w:t>
      </w:r>
      <w:r>
        <w:rPr>
          <w:rFonts w:ascii="Times New Roman" w:hAnsi="Times New Roman" w:cs="Times New Roman" w:hint="eastAsia"/>
        </w:rPr>
        <w:t xml:space="preserve"> </w:t>
      </w:r>
      <w:r>
        <w:rPr>
          <w:rFonts w:ascii="Times New Roman" w:hAnsi="Times New Roman" w:cs="Times New Roman"/>
        </w:rPr>
        <w:fldChar w:fldCharType="begin">
          <w:fldData xml:space="preserve">PEVuZE5vdGU+PENpdGU+PEF1dGhvcj5YaWFvPC9BdXRob3I+PFllYXI+MjAyNTwvWWVhcj48UmVj
TnVtPjYwMTwvUmVjTnVtPjxEaXNwbGF5VGV4dD5bNl08L0Rpc3BsYXlUZXh0PjxyZWNvcmQ+PHJl
Yy1udW1iZXI+NjAxPC9yZWMtbnVtYmVyPjxmb3JlaWduLWtleXM+PGtleSBhcHA9IkVOIiBkYi1p
ZD0idmEwdndkcnJwZXd2ZTdldGFlcnhycGY1dncyZDB4ZjVkMnNmIiB0aW1lc3RhbXA9IjE3ODg0
NTMwNTMiPjYwMTwva2V5PjwvZm9yZWlnbi1rZXlzPjxyZWYtdHlwZSBuYW1lPSJKb3VybmFsIEFy
dGljbGUiPjE3PC9yZWYtdHlwZT48Y29udHJpYnV0b3JzPjxhdXRob3JzPjxhdXRob3I+WGlhbywg
Sy48L2F1dGhvcj48YXV0aG9yPkNhbywgWS48L2F1dGhvcj48YXV0aG9yPkhhbiwgWi48L2F1dGhv
cj48YXV0aG9yPlpoYW5nLCBZLjwvYXV0aG9yPjxhdXRob3I+THV1LCBMLiBELiBXLjwvYXV0aG9y
PjxhdXRob3I+Q2hlbiwgTC48L2F1dGhvcj48YXV0aG9yPllhbiwgUC48L2F1dGhvcj48YXV0aG9y
PkNoZW4sIFcuPC9hdXRob3I+PGF1dGhvcj5XYW5nLCBKLjwvYXV0aG9yPjxhdXRob3I+TGlhbmcs
IFkuPC9hdXRob3I+PGF1dGhvcj5TaGksIFguPC9hdXRob3I+PGF1dGhvcj5XYW5nLCBYLjwvYXV0
aG9yPjxhdXRob3I+V2FuZywgRi48L2F1dGhvcj48YXV0aG9yPkh1LCBZLjwvYXV0aG9yPjxhdXRo
b3I+V2VuLCBaLjwvYXV0aG9yPjxhdXRob3I+Q2hlbiwgWS48L2F1dGhvcj48YXV0aG9yPllhbmcs
IFkuPC9hdXRob3I+PGF1dGhvcj5ZdSwgSC48L2F1dGhvcj48YXV0aG9yPlhpZSwgTC48L2F1dGhv
cj48YXV0aG9yPldhbmcsIFkuPC9hdXRob3I+PC9hdXRob3JzPjwvY29udHJpYnV0b3JzPjxhdXRo
LWFkZHJlc3M+Q29sbGVnZSBvZiBQdWxtb25hcnkgJmFtcDsgQ3JpdGljYWwgQ2FyZSBNZWRpY2lu
ZSwgVGhlIEVpZ2h0aCBNZWRpY2FsIENlbnRlciBvZiBDaGluZXNlIFBMQSBHZW5lcmFsIEhvc3Bp
dGFsLCBCZWlqaW5nLCAxMDAwOTEsIFAuUi4gQ2hpbmEuIDEzNzE2NjA4MzMxQDE2My5jb20uJiN4
RDtDb2xsZWdlIG9mIFB1bG1vbmFyeSAmYW1wOyBDcml0aWNhbCBDYXJlIE1lZGljaW5lLCBUaGUg
RWlnaHRoIE1lZGljYWwgQ2VudGVyIG9mIENoaW5lc2UgUExBIEdlbmVyYWwgSG9zcGl0YWwsIEJl
aWppbmcsIDEwMDA5MSwgUC5SLiBDaGluYS4mI3hEO0RlcGFydG1lbnQgb2YgQ3JpdGljYWwgQ2Fy
ZSBNZWRpY2luZSwgVGhlIEVpZ2h0aCBNZWRpY2FsIENlbnRlciBvZiBDaGluZXNlIFBMQSBHZW5l
cmFsIEhvc3BpdGFsLCBCZWlqaW5nLCAxMDAwMzcsIFAuUi4gQ2hpbmEuJiN4RDtTY2hvb2wgb2Yg
TGlmZSBTY2llbmNlcywgVW5pdmVyc2l0eSBvZiBUZWNobm9sb2d5IFN5ZG5leSwgU3lkbmV5LCBO
U1csIDIwMDcsIEF1c3RyYWxpYS4mI3hEO1NjaG9vbCBvZiBCaW90ZWNobm9sb2d5IGFuZCBCaW9t
b2xlY3VsYXIgU2NpZW5jZXMsIFVuaXZlcnNpdHkgb2YgTmV3IFNvdXRoIFdhbGVzLCBTeWRuZXks
IE5TVywgMjA1MiwgQXVzdHJhbGlhLiYjeEQ7UmVzcGlyYXRvcnkgYW5kIENyaXRpY2FsIENhcmUg
TWVkaWNpbmUgZGVwYXJ0bWVudCwgQmVpamluZyBKaW5nbWVpIEdyb3VwLCBHZW5lcmFsIEhvc3Bp
YWwsIEJlaWppbmcsIDEwMjMwOCwgUC5SLiBDaGluYS4mI3hEO0RlcGFydG1lbnQgb2YgUHVsbW9u
YXJ5IGFuZCBDcml0aWNhbCBDYXJlIE1lZGljaW5lLCBDaGluYSBBZXJvc3BhY2UgU2NpZW5jZSAm
YW1wOyBJbmR1c3RyeSBDb3Jwb3JhdGlvbiA3MzEgaG9zcGl0YWwsIEJlaWppbmcsIDEwMDA3NCwg
UC5SLiBDaGluYS4mI3hEO0RlcGFydG1lbnQgb2YgUmVzcGlyYXRvcnkgTWVkaWNpbmUsIFRoZSBT
aXh0aCBNZWRpY2FsIENlbnRlciBvZiBDaGluZXNlIFBlb3BsZSZhcG9zO3MgTGliZXJhdGlvbiBB
cm15IEdlbmVyYWwgSG9zcGl0YWwsIEJlaWppbmcsIDEwMDAzNywgUC5SLiBDaGluYS4mI3hEO0Rl
cGFydG1lbnQgb2YgUmVzcGlyYXRvcnkgYW5kIENyaXRpY2FsIENhcmUgTWVkaWNpbmUsIFBla2lu
ZyBVbml2ZXJzaXR5IFRoaXJkIEhvc3BpdGFsLCBCZWlqaW5nLCAxMDAxOTEsIFAuUi4gQ2hpbmEu
JiN4RDtNZWRpY2FsIFNjaG9vbCBvZiBDaGluZXNlIFBMQSwgQmVpamluZywgMTAwMTkxLCBQLlIu
IENoaW5hLiYjeEQ7RGVwYXJ0bWVudCBvZiBQdWxtb25hcnkgYW5kIENyaXRpY2FsIENhcmUgTWVk
aWNpbmUsIEFuemhlbiBob3NwaXRhbCBhZmZsaWN0ZWQgdG8gQ2FwaXRhbCBtZWRpY2FsIHVuaXZl
cnNpdHksIEJlaWppbmcsIDEwMDAyOSwgUC5SLiBDaGluYS4mI3hEO1RoZSBFaWdodGggTWVkaWNh
bCBDZW50ZXIgb2YgQ2hpbmVzZSBQTEEgR2VuZXJhbCBIb3NwaXRhbCwgQmVpamluZywgMTAwMDkx
LCBQLlIuIENoaW5hLiB5aHQyMDA3MjVAMTYzLmNvbS4mI3hEO0NvbGxlZ2Ugb2YgUHVsbW9uYXJ5
ICZhbXA7IENyaXRpY2FsIENhcmUgTWVkaWNpbmUsIFRoZSBFaWdodGggTWVkaWNhbCBDZW50ZXIg
b2YgQ2hpbmVzZSBQTEEgR2VuZXJhbCBIb3NwaXRhbCwgQmVpamluZywgMTAwMDkxLCBQLlIuIENo
aW5hLiB4aWVseDMwMUAxMjYuY29tLiYjeEQ7RXhwZXJpbWVudGFsIFJlc2VhcmNoIENlbnRlciwg
Q2FwaXRhbCBJbnN0aXR1dGUgb2YgUGVkaWF0cmljcywgQmVpamluZywgMTAwMDIwLCBQLlIuIENo
aW5hLiB3aWxkd29sZjAxMDFAMTYzLmNvbS48L2F1dGgtYWRkcmVzcz48dGl0bGVzPjx0aXRsZT5B
IHBhbi1pbW11bmUgcGFub3JhbWEgb2YgYmFjdGVyaWFsIHBuZXVtb25pYSByZXZlYWxlZCBieSBh
IGxhcmdlLXNjYWxlIHNpbmdsZS1jZWxsIHRyYW5zY3JpcHRvbWUgYXRsYXM8L3RpdGxlPjxzZWNv
bmRhcnktdGl0bGU+U2lnbmFsIFRyYW5zZHVjdCBUYXJnZXQgVGhlcjwvc2Vjb25kYXJ5LXRpdGxl
PjwvdGl0bGVzPjxwZXJpb2RpY2FsPjxmdWxsLXRpdGxlPlNpZ25hbCBUcmFuc2R1Y3QgVGFyZ2V0
IFRoZXI8L2Z1bGwtdGl0bGU+PC9wZXJpb2RpY2FsPjxwYWdlcz41PC9wYWdlcz48dm9sdW1lPjEw
PC92b2x1bWU+PG51bWJlcj4xPC9udW1iZXI+PGVkaXRpb24+MjAyNTAxMDY8L2VkaXRpb24+PGtl
eXdvcmRzPjxrZXl3b3JkPkh1bWFuczwva2V5d29yZD48a2V5d29yZD4qUG5ldW1vbmlhLCBCYWN0
ZXJpYWwvaW1tdW5vbG9neS9nZW5ldGljcy9wYXRob2xvZ3kvbWljcm9iaW9sb2d5PC9rZXl3b3Jk
PjxrZXl3b3JkPkZlbWFsZTwva2V5d29yZD48a2V5d29yZD5NYWxlPC9rZXl3b3JkPjxrZXl3b3Jk
PipUcmFuc2NyaXB0b21lL2dlbmV0aWNzL2ltbXVub2xvZ3k8L2tleXdvcmQ+PGtleXdvcmQ+U2lu
Z2xlLUNlbGwgQW5hbHlzaXM8L2tleXdvcmQ+PGtleXdvcmQ+Q2FsZ3JhbnVsaW4gQS9nZW5ldGlj
cy9pbW11bm9sb2d5PC9rZXl3b3JkPjxrZXl3b3JkPkNhbGdyYW51bGluIEIvZ2VuZXRpY3MvaW1t
dW5vbG9neTwva2V5d29yZD48a2V5d29yZD5NaWRkbGUgQWdlZDwva2V5d29yZD48a2V5d29yZD5J
bnRlcmxldWtpbi04L2dlbmV0aWNzL2ltbXVub2xvZ3k8L2tleXdvcmQ+PGtleXdvcmQ+QnJvbmNo
b2FsdmVvbGFyIExhdmFnZSBGbHVpZC9pbW11bm9sb2d5PC9rZXl3b3JkPjxrZXl3b3JkPkFnZWQ8
L2tleXdvcmQ+PGtleXdvcmQ+TmV1dHJvcGhpbHMvaW1tdW5vbG9neS9wYXRob2xvZ3k8L2tleXdv
cmQ+PGtleXdvcmQ+QWR1bHQ8L2tleXdvcmQ+PGtleXdvcmQ+TWFjcm9waGFnZXMvaW1tdW5vbG9n
eS9wYXRob2xvZ3k8L2tleXdvcmQ+PC9rZXl3b3Jkcz48ZGF0ZXM+PHllYXI+MjAyNTwveWVhcj48
cHViLWRhdGVzPjxkYXRlPkphbiA2PC9kYXRlPjwvcHViLWRhdGVzPjwvZGF0ZXM+PGlzYm4+MjA1
OS0zNjM1IChFbGVjdHJvbmljKSYjeEQ7MjA5NS05OTA3IChQcmludCkmI3hEOzIwNTktMzYzNSAo
TGlua2luZyk8L2lzYm4+PGFjY2Vzc2lvbi1udW0+Mzk3NTcyMzE8L2FjY2Vzc2lvbi1udW0+PHVy
bHM+PHJlbGF0ZWQtdXJscz48dXJsPmh0dHBzOi8vd3d3Lm5jYmkubmxtLm5paC5nb3YvcHVibWVk
LzM5NzU3MjMxPC91cmw+PC9yZWxhdGVkLXVybHM+PC91cmxzPjxjdXN0b20xPkNvbXBldGluZyBp
bnRlcmVzdHM6IFRoZSBhdXRob3JzIGRlY2xhcmUgbm8gY29tcGV0aW5nIGludGVyZXN0cy48L2N1
c3RvbTE+PGN1c3RvbTI+UE1DMTE3MDEwODE8L2N1c3RvbTI+PGVsZWN0cm9uaWMtcmVzb3VyY2Ut
bnVtPjEwLjEwMzgvczQxMzkyLTAyNC0wMjA5My04PC9lbGVjdHJvbmljLXJlc291cmNlLW51bT48
cmVtb3RlLWRhdGFiYXNlLW5hbWU+TWVkbGluZTwvcmVtb3RlLWRhdGFiYXNlLW5hbWU+PHJlbW90
ZS1kYXRhYmFzZS1wcm92aWRlcj5OTE08L3JlbW90ZS1kYXRhYmFzZS1wcm92aWRlcj48L3JlY29y
ZD48L0NpdGU+PC9FbmROb3RlPn==
</w:fldData>
        </w:fldChar>
      </w:r>
      <w:r w:rsidR="00A804EA">
        <w:rPr>
          <w:rFonts w:ascii="Times New Roman" w:hAnsi="Times New Roman" w:cs="Times New Roman"/>
        </w:rPr>
        <w:instrText xml:space="preserve"> ADDIN EN.CITE </w:instrText>
      </w:r>
      <w:r w:rsidR="00A804EA">
        <w:rPr>
          <w:rFonts w:ascii="Times New Roman" w:hAnsi="Times New Roman" w:cs="Times New Roman"/>
        </w:rPr>
        <w:fldChar w:fldCharType="begin">
          <w:fldData xml:space="preserve">PEVuZE5vdGU+PENpdGU+PEF1dGhvcj5YaWFvPC9BdXRob3I+PFllYXI+MjAyNTwvWWVhcj48UmVj
TnVtPjYwMTwvUmVjTnVtPjxEaXNwbGF5VGV4dD5bNl08L0Rpc3BsYXlUZXh0PjxyZWNvcmQ+PHJl
Yy1udW1iZXI+NjAxPC9yZWMtbnVtYmVyPjxmb3JlaWduLWtleXM+PGtleSBhcHA9IkVOIiBkYi1p
ZD0idmEwdndkcnJwZXd2ZTdldGFlcnhycGY1dncyZDB4ZjVkMnNmIiB0aW1lc3RhbXA9IjE3ODg0
NTMwNTMiPjYwMTwva2V5PjwvZm9yZWlnbi1rZXlzPjxyZWYtdHlwZSBuYW1lPSJKb3VybmFsIEFy
dGljbGUiPjE3PC9yZWYtdHlwZT48Y29udHJpYnV0b3JzPjxhdXRob3JzPjxhdXRob3I+WGlhbywg
Sy48L2F1dGhvcj48YXV0aG9yPkNhbywgWS48L2F1dGhvcj48YXV0aG9yPkhhbiwgWi48L2F1dGhv
cj48YXV0aG9yPlpoYW5nLCBZLjwvYXV0aG9yPjxhdXRob3I+THV1LCBMLiBELiBXLjwvYXV0aG9y
PjxhdXRob3I+Q2hlbiwgTC48L2F1dGhvcj48YXV0aG9yPllhbiwgUC48L2F1dGhvcj48YXV0aG9y
PkNoZW4sIFcuPC9hdXRob3I+PGF1dGhvcj5XYW5nLCBKLjwvYXV0aG9yPjxhdXRob3I+TGlhbmcs
IFkuPC9hdXRob3I+PGF1dGhvcj5TaGksIFguPC9hdXRob3I+PGF1dGhvcj5XYW5nLCBYLjwvYXV0
aG9yPjxhdXRob3I+V2FuZywgRi48L2F1dGhvcj48YXV0aG9yPkh1LCBZLjwvYXV0aG9yPjxhdXRo
b3I+V2VuLCBaLjwvYXV0aG9yPjxhdXRob3I+Q2hlbiwgWS48L2F1dGhvcj48YXV0aG9yPllhbmcs
IFkuPC9hdXRob3I+PGF1dGhvcj5ZdSwgSC48L2F1dGhvcj48YXV0aG9yPlhpZSwgTC48L2F1dGhv
cj48YXV0aG9yPldhbmcsIFkuPC9hdXRob3I+PC9hdXRob3JzPjwvY29udHJpYnV0b3JzPjxhdXRo
LWFkZHJlc3M+Q29sbGVnZSBvZiBQdWxtb25hcnkgJmFtcDsgQ3JpdGljYWwgQ2FyZSBNZWRpY2lu
ZSwgVGhlIEVpZ2h0aCBNZWRpY2FsIENlbnRlciBvZiBDaGluZXNlIFBMQSBHZW5lcmFsIEhvc3Bp
dGFsLCBCZWlqaW5nLCAxMDAwOTEsIFAuUi4gQ2hpbmEuIDEzNzE2NjA4MzMxQDE2My5jb20uJiN4
RDtDb2xsZWdlIG9mIFB1bG1vbmFyeSAmYW1wOyBDcml0aWNhbCBDYXJlIE1lZGljaW5lLCBUaGUg
RWlnaHRoIE1lZGljYWwgQ2VudGVyIG9mIENoaW5lc2UgUExBIEdlbmVyYWwgSG9zcGl0YWwsIEJl
aWppbmcsIDEwMDA5MSwgUC5SLiBDaGluYS4mI3hEO0RlcGFydG1lbnQgb2YgQ3JpdGljYWwgQ2Fy
ZSBNZWRpY2luZSwgVGhlIEVpZ2h0aCBNZWRpY2FsIENlbnRlciBvZiBDaGluZXNlIFBMQSBHZW5l
cmFsIEhvc3BpdGFsLCBCZWlqaW5nLCAxMDAwMzcsIFAuUi4gQ2hpbmEuJiN4RDtTY2hvb2wgb2Yg
TGlmZSBTY2llbmNlcywgVW5pdmVyc2l0eSBvZiBUZWNobm9sb2d5IFN5ZG5leSwgU3lkbmV5LCBO
U1csIDIwMDcsIEF1c3RyYWxpYS4mI3hEO1NjaG9vbCBvZiBCaW90ZWNobm9sb2d5IGFuZCBCaW9t
b2xlY3VsYXIgU2NpZW5jZXMsIFVuaXZlcnNpdHkgb2YgTmV3IFNvdXRoIFdhbGVzLCBTeWRuZXks
IE5TVywgMjA1MiwgQXVzdHJhbGlhLiYjeEQ7UmVzcGlyYXRvcnkgYW5kIENyaXRpY2FsIENhcmUg
TWVkaWNpbmUgZGVwYXJ0bWVudCwgQmVpamluZyBKaW5nbWVpIEdyb3VwLCBHZW5lcmFsIEhvc3Bp
YWwsIEJlaWppbmcsIDEwMjMwOCwgUC5SLiBDaGluYS4mI3hEO0RlcGFydG1lbnQgb2YgUHVsbW9u
YXJ5IGFuZCBDcml0aWNhbCBDYXJlIE1lZGljaW5lLCBDaGluYSBBZXJvc3BhY2UgU2NpZW5jZSAm
YW1wOyBJbmR1c3RyeSBDb3Jwb3JhdGlvbiA3MzEgaG9zcGl0YWwsIEJlaWppbmcsIDEwMDA3NCwg
UC5SLiBDaGluYS4mI3hEO0RlcGFydG1lbnQgb2YgUmVzcGlyYXRvcnkgTWVkaWNpbmUsIFRoZSBT
aXh0aCBNZWRpY2FsIENlbnRlciBvZiBDaGluZXNlIFBlb3BsZSZhcG9zO3MgTGliZXJhdGlvbiBB
cm15IEdlbmVyYWwgSG9zcGl0YWwsIEJlaWppbmcsIDEwMDAzNywgUC5SLiBDaGluYS4mI3hEO0Rl
cGFydG1lbnQgb2YgUmVzcGlyYXRvcnkgYW5kIENyaXRpY2FsIENhcmUgTWVkaWNpbmUsIFBla2lu
ZyBVbml2ZXJzaXR5IFRoaXJkIEhvc3BpdGFsLCBCZWlqaW5nLCAxMDAxOTEsIFAuUi4gQ2hpbmEu
JiN4RDtNZWRpY2FsIFNjaG9vbCBvZiBDaGluZXNlIFBMQSwgQmVpamluZywgMTAwMTkxLCBQLlIu
IENoaW5hLiYjeEQ7RGVwYXJ0bWVudCBvZiBQdWxtb25hcnkgYW5kIENyaXRpY2FsIENhcmUgTWVk
aWNpbmUsIEFuemhlbiBob3NwaXRhbCBhZmZsaWN0ZWQgdG8gQ2FwaXRhbCBtZWRpY2FsIHVuaXZl
cnNpdHksIEJlaWppbmcsIDEwMDAyOSwgUC5SLiBDaGluYS4mI3hEO1RoZSBFaWdodGggTWVkaWNh
bCBDZW50ZXIgb2YgQ2hpbmVzZSBQTEEgR2VuZXJhbCBIb3NwaXRhbCwgQmVpamluZywgMTAwMDkx
LCBQLlIuIENoaW5hLiB5aHQyMDA3MjVAMTYzLmNvbS4mI3hEO0NvbGxlZ2Ugb2YgUHVsbW9uYXJ5
ICZhbXA7IENyaXRpY2FsIENhcmUgTWVkaWNpbmUsIFRoZSBFaWdodGggTWVkaWNhbCBDZW50ZXIg
b2YgQ2hpbmVzZSBQTEEgR2VuZXJhbCBIb3NwaXRhbCwgQmVpamluZywgMTAwMDkxLCBQLlIuIENo
aW5hLiB4aWVseDMwMUAxMjYuY29tLiYjeEQ7RXhwZXJpbWVudGFsIFJlc2VhcmNoIENlbnRlciwg
Q2FwaXRhbCBJbnN0aXR1dGUgb2YgUGVkaWF0cmljcywgQmVpamluZywgMTAwMDIwLCBQLlIuIENo
aW5hLiB3aWxkd29sZjAxMDFAMTYzLmNvbS48L2F1dGgtYWRkcmVzcz48dGl0bGVzPjx0aXRsZT5B
IHBhbi1pbW11bmUgcGFub3JhbWEgb2YgYmFjdGVyaWFsIHBuZXVtb25pYSByZXZlYWxlZCBieSBh
IGxhcmdlLXNjYWxlIHNpbmdsZS1jZWxsIHRyYW5zY3JpcHRvbWUgYXRsYXM8L3RpdGxlPjxzZWNv
bmRhcnktdGl0bGU+U2lnbmFsIFRyYW5zZHVjdCBUYXJnZXQgVGhlcjwvc2Vjb25kYXJ5LXRpdGxl
PjwvdGl0bGVzPjxwZXJpb2RpY2FsPjxmdWxsLXRpdGxlPlNpZ25hbCBUcmFuc2R1Y3QgVGFyZ2V0
IFRoZXI8L2Z1bGwtdGl0bGU+PC9wZXJpb2RpY2FsPjxwYWdlcz41PC9wYWdlcz48dm9sdW1lPjEw
PC92b2x1bWU+PG51bWJlcj4xPC9udW1iZXI+PGVkaXRpb24+MjAyNTAxMDY8L2VkaXRpb24+PGtl
eXdvcmRzPjxrZXl3b3JkPkh1bWFuczwva2V5d29yZD48a2V5d29yZD4qUG5ldW1vbmlhLCBCYWN0
ZXJpYWwvaW1tdW5vbG9neS9nZW5ldGljcy9wYXRob2xvZ3kvbWljcm9iaW9sb2d5PC9rZXl3b3Jk
PjxrZXl3b3JkPkZlbWFsZTwva2V5d29yZD48a2V5d29yZD5NYWxlPC9rZXl3b3JkPjxrZXl3b3Jk
PipUcmFuc2NyaXB0b21lL2dlbmV0aWNzL2ltbXVub2xvZ3k8L2tleXdvcmQ+PGtleXdvcmQ+U2lu
Z2xlLUNlbGwgQW5hbHlzaXM8L2tleXdvcmQ+PGtleXdvcmQ+Q2FsZ3JhbnVsaW4gQS9nZW5ldGlj
cy9pbW11bm9sb2d5PC9rZXl3b3JkPjxrZXl3b3JkPkNhbGdyYW51bGluIEIvZ2VuZXRpY3MvaW1t
dW5vbG9neTwva2V5d29yZD48a2V5d29yZD5NaWRkbGUgQWdlZDwva2V5d29yZD48a2V5d29yZD5J
bnRlcmxldWtpbi04L2dlbmV0aWNzL2ltbXVub2xvZ3k8L2tleXdvcmQ+PGtleXdvcmQ+QnJvbmNo
b2FsdmVvbGFyIExhdmFnZSBGbHVpZC9pbW11bm9sb2d5PC9rZXl3b3JkPjxrZXl3b3JkPkFnZWQ8
L2tleXdvcmQ+PGtleXdvcmQ+TmV1dHJvcGhpbHMvaW1tdW5vbG9neS9wYXRob2xvZ3k8L2tleXdv
cmQ+PGtleXdvcmQ+QWR1bHQ8L2tleXdvcmQ+PGtleXdvcmQ+TWFjcm9waGFnZXMvaW1tdW5vbG9n
eS9wYXRob2xvZ3k8L2tleXdvcmQ+PC9rZXl3b3Jkcz48ZGF0ZXM+PHllYXI+MjAyNTwveWVhcj48
cHViLWRhdGVzPjxkYXRlPkphbiA2PC9kYXRlPjwvcHViLWRhdGVzPjwvZGF0ZXM+PGlzYm4+MjA1
OS0zNjM1IChFbGVjdHJvbmljKSYjeEQ7MjA5NS05OTA3IChQcmludCkmI3hEOzIwNTktMzYzNSAo
TGlua2luZyk8L2lzYm4+PGFjY2Vzc2lvbi1udW0+Mzk3NTcyMzE8L2FjY2Vzc2lvbi1udW0+PHVy
bHM+PHJlbGF0ZWQtdXJscz48dXJsPmh0dHBzOi8vd3d3Lm5jYmkubmxtLm5paC5nb3YvcHVibWVk
LzM5NzU3MjMxPC91cmw+PC9yZWxhdGVkLXVybHM+PC91cmxzPjxjdXN0b20xPkNvbXBldGluZyBp
bnRlcmVzdHM6IFRoZSBhdXRob3JzIGRlY2xhcmUgbm8gY29tcGV0aW5nIGludGVyZXN0cy48L2N1
c3RvbTE+PGN1c3RvbTI+UE1DMTE3MDEwODE8L2N1c3RvbTI+PGVsZWN0cm9uaWMtcmVzb3VyY2Ut
bnVtPjEwLjEwMzgvczQxMzkyLTAyNC0wMjA5My04PC9lbGVjdHJvbmljLXJlc291cmNlLW51bT48
cmVtb3RlLWRhdGFiYXNlLW5hbWU+TWVkbGluZTwvcmVtb3RlLWRhdGFiYXNlLW5hbWU+PHJlbW90
ZS1kYXRhYmFzZS1wcm92aWRlcj5OTE08L3JlbW90ZS1kYXRhYmFzZS1wcm92aWRlcj48L3JlY29y
ZD48L0NpdGU+PC9FbmROb3RlPn==
</w:fldData>
        </w:fldChar>
      </w:r>
      <w:r w:rsidR="00A804EA">
        <w:rPr>
          <w:rFonts w:ascii="Times New Roman" w:hAnsi="Times New Roman" w:cs="Times New Roman"/>
        </w:rPr>
        <w:instrText xml:space="preserve"> ADDIN EN.CITE.DATA </w:instrText>
      </w:r>
      <w:r w:rsidR="00A804EA">
        <w:rPr>
          <w:rFonts w:ascii="Times New Roman" w:hAnsi="Times New Roman" w:cs="Times New Roman"/>
        </w:rPr>
      </w:r>
      <w:r w:rsidR="00A804EA">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A804EA">
        <w:rPr>
          <w:rFonts w:ascii="Times New Roman" w:hAnsi="Times New Roman" w:cs="Times New Roman"/>
          <w:noProof/>
        </w:rPr>
        <w:t>[6]</w:t>
      </w:r>
      <w:r>
        <w:rPr>
          <w:rFonts w:ascii="Times New Roman" w:hAnsi="Times New Roman" w:cs="Times New Roman"/>
        </w:rPr>
        <w:fldChar w:fldCharType="end"/>
      </w:r>
      <w:r>
        <w:rPr>
          <w:rFonts w:ascii="Times New Roman" w:hAnsi="Times New Roman" w:cs="Times New Roman"/>
        </w:rPr>
        <w:t>. Expected cell numbers were derived from marginal totals under the assumption of independence between cell identity and risk group. Ro/e values greater than 1 indicated relative enrichment, whereas values below 1 indicated relative depletion. Ro/e analyses were used for descriptive visualization of cellular distribution patterns and were not considered the primary inferential analysis.</w:t>
      </w:r>
    </w:p>
    <w:p w14:paraId="7F66787B" w14:textId="19C58BAD" w:rsidR="00C723C7" w:rsidRDefault="00000000">
      <w:pPr>
        <w:spacing w:line="440" w:lineRule="exact"/>
        <w:ind w:firstLineChars="200" w:firstLine="420"/>
        <w:rPr>
          <w:rFonts w:ascii="Times New Roman" w:hAnsi="Times New Roman" w:cs="Times New Roman"/>
        </w:rPr>
      </w:pPr>
      <w:r>
        <w:rPr>
          <w:rFonts w:ascii="Times New Roman" w:hAnsi="Times New Roman" w:cs="Times New Roman"/>
        </w:rPr>
        <w:t xml:space="preserve">To preserve the patient as the unit of biological replication and avoid cell-level pseudoreplication, raw gene expression counts were aggregated within each patient and major cell type to generate pseudobulk expression profiles. Differential expression between high- and low-risk groups was performed separately for each major cell type using edgeR </w:t>
      </w:r>
      <w:r>
        <w:rPr>
          <w:rFonts w:ascii="Times New Roman" w:hAnsi="Times New Roman" w:cs="Times New Roman"/>
        </w:rPr>
        <w:fldChar w:fldCharType="begin"/>
      </w:r>
      <w:r w:rsidR="00A804EA">
        <w:rPr>
          <w:rFonts w:ascii="Times New Roman" w:hAnsi="Times New Roman" w:cs="Times New Roman"/>
        </w:rPr>
        <w:instrText xml:space="preserve"> ADDIN EN.CITE &lt;EndNote&gt;&lt;Cite&gt;&lt;Author&gt;Robinson&lt;/Author&gt;&lt;Year&gt;2010&lt;/Year&gt;&lt;RecNum&gt;614&lt;/RecNum&gt;&lt;DisplayText&gt;[7]&lt;/DisplayText&gt;&lt;record&gt;&lt;rec-number&gt;614&lt;/rec-number&gt;&lt;foreign-keys&gt;&lt;key app="EN" db-id="va0vwdrrpewve7etaerxrpf5vw2d0xf5d2sf" timestamp="1788538077"&gt;614&lt;/key&gt;&lt;/foreign-keys&gt;&lt;ref-type name="Journal Article"&gt;17&lt;/ref-type&gt;&lt;contributors&gt;&lt;authors&gt;&lt;author&gt;Robinson, M. D.&lt;/author&gt;&lt;author&gt;McCarthy, D. J.&lt;/author&gt;&lt;author&gt;Smyth, G. K.&lt;/author&gt;&lt;/authors&gt;&lt;/contributors&gt;&lt;auth-address&gt;Cancer Program, Garvan Institute of Medical Research, 384 Victoria Street, Darlinghurst, NSW 2010, Australia. mrobinson@wehi.edu.au&lt;/auth-address&gt;&lt;titles&gt;&lt;title&gt;edgeR: a Bioconductor package for differential expression analysis of digital gene expression data&lt;/title&gt;&lt;secondary-title&gt;Bioinformatics&lt;/secondary-title&gt;&lt;/titles&gt;&lt;periodical&gt;&lt;full-title&gt;Bioinformatics&lt;/full-title&gt;&lt;/periodical&gt;&lt;pages&gt;139-40&lt;/pages&gt;&lt;volume&gt;26&lt;/volume&gt;&lt;number&gt;1&lt;/number&gt;&lt;edition&gt;20091111&lt;/edition&gt;&lt;keywords&gt;&lt;keyword&gt;*Algorithms&lt;/keyword&gt;&lt;keyword&gt;Gene Expression Profiling/*methods&lt;/keyword&gt;&lt;keyword&gt;Oligonucleotide Array Sequence Analysis/*methods&lt;/keyword&gt;&lt;keyword&gt;*Programming Languages&lt;/keyword&gt;&lt;keyword&gt;*Signal Processing, Computer-Assisted&lt;/keyword&gt;&lt;keyword&gt;*Software&lt;/keyword&gt;&lt;/keywords&gt;&lt;dates&gt;&lt;year&gt;2010&lt;/year&gt;&lt;pub-dates&gt;&lt;date&gt;Jan 1&lt;/date&gt;&lt;/pub-dates&gt;&lt;/dates&gt;&lt;isbn&gt;1367-4811 (Electronic)&amp;#xD;1367-4803 (Print)&amp;#xD;1367-4803 (Linking)&lt;/isbn&gt;&lt;accession-num&gt;19910308&lt;/accession-num&gt;&lt;urls&gt;&lt;related-urls&gt;&lt;url&gt;https://www.ncbi.nlm.nih.gov/pubmed/19910308&lt;/url&gt;&lt;/related-urls&gt;&lt;/urls&gt;&lt;custom2&gt;PMC2796818&lt;/custom2&gt;&lt;electronic-resource-num&gt;10.1093/bioinformatics/btp616&lt;/electronic-resource-num&gt;&lt;remote-database-name&gt;Medline&lt;/remote-database-name&gt;&lt;remote-database-provider&gt;NLM&lt;/remote-database-provider&gt;&lt;/record&gt;&lt;/Cite&gt;&lt;/EndNote&gt;</w:instrText>
      </w:r>
      <w:r>
        <w:rPr>
          <w:rFonts w:ascii="Times New Roman" w:hAnsi="Times New Roman" w:cs="Times New Roman"/>
        </w:rPr>
        <w:fldChar w:fldCharType="separate"/>
      </w:r>
      <w:r w:rsidR="00A804EA">
        <w:rPr>
          <w:rFonts w:ascii="Times New Roman" w:hAnsi="Times New Roman" w:cs="Times New Roman"/>
          <w:noProof/>
        </w:rPr>
        <w:t>[7]</w:t>
      </w:r>
      <w:r>
        <w:rPr>
          <w:rFonts w:ascii="Times New Roman" w:hAnsi="Times New Roman" w:cs="Times New Roman"/>
        </w:rPr>
        <w:fldChar w:fldCharType="end"/>
      </w:r>
      <w:r>
        <w:rPr>
          <w:rFonts w:ascii="Times New Roman" w:hAnsi="Times New Roman" w:cs="Times New Roman" w:hint="eastAsia"/>
        </w:rPr>
        <w:t xml:space="preserve">. </w:t>
      </w:r>
      <w:r>
        <w:rPr>
          <w:rFonts w:ascii="Times New Roman" w:hAnsi="Times New Roman" w:cs="Times New Roman"/>
        </w:rPr>
        <w:t>Lowly expressed genes were removed using filterByExpr, library sizes were normalized using the trimmed mean of M-values (TMM) method, and differential expression was modelled using robust quasi-likelihood negative-binomial generalized linear models</w:t>
      </w:r>
      <w:r>
        <w:rPr>
          <w:rFonts w:ascii="Times New Roman" w:hAnsi="Times New Roman" w:cs="Times New Roman" w:hint="eastAsia"/>
        </w:rPr>
        <w:t xml:space="preserve"> </w:t>
      </w:r>
      <w:r>
        <w:rPr>
          <w:rFonts w:ascii="Times New Roman" w:hAnsi="Times New Roman" w:cs="Times New Roman"/>
        </w:rPr>
        <w:fldChar w:fldCharType="begin">
          <w:fldData xml:space="preserve">PEVuZE5vdGU+PENpdGU+PEF1dGhvcj5MdW48L0F1dGhvcj48WWVhcj4yMDE2PC9ZZWFyPjxSZWNO
dW0+NjE1PC9SZWNOdW0+PERpc3BsYXlUZXh0Pls4XTwvRGlzcGxheVRleHQ+PHJlY29yZD48cmVj
LW51bWJlcj42MTU8L3JlYy1udW1iZXI+PGZvcmVpZ24ta2V5cz48a2V5IGFwcD0iRU4iIGRiLWlk
PSJ2YTB2d2RycnBld3ZlN2V0YWVyeHJwZjV2dzJkMHhmNWQyc2YiIHRpbWVzdGFtcD0iMTc4ODUz
ODEyNiI+NjE1PC9rZXk+PC9mb3JlaWduLWtleXM+PHJlZi10eXBlIG5hbWU9IkpvdXJuYWwgQXJ0
aWNsZSI+MTc8L3JlZi10eXBlPjxjb250cmlidXRvcnM+PGF1dGhvcnM+PGF1dGhvcj5MdW4sIEEu
IFQuPC9hdXRob3I+PGF1dGhvcj5DaGVuLCBZLjwvYXV0aG9yPjxhdXRob3I+U215dGgsIEcuIEsu
PC9hdXRob3I+PC9hdXRob3JzPjwvY29udHJpYnV0b3JzPjxhdXRoLWFkZHJlc3M+V2FsdGVyIGFu
ZCBFbGl6YSBIYWxsIEluc3RpdHV0ZSBvZiBNZWRpY2FsIFJlc2VhcmNoLCBQYXJrdmlsbGUsIFZJ
QywgQXVzdHJhbGlhLjwvYXV0aC1hZGRyZXNzPjx0aXRsZXM+PHRpdGxlPkl0JmFwb3M7cyBERS1s
aWNpb3VzOiBBIFJlY2lwZSBmb3IgRGlmZmVyZW50aWFsIEV4cHJlc3Npb24gQW5hbHlzZXMgb2Yg
Uk5BLXNlcSBFeHBlcmltZW50cyBVc2luZyBRdWFzaS1MaWtlbGlob29kIE1ldGhvZHMgaW4gZWRn
ZVI8L3RpdGxlPjxzZWNvbmRhcnktdGl0bGU+TWV0aG9kcyBNb2wgQmlvbDwvc2Vjb25kYXJ5LXRp
dGxlPjwvdGl0bGVzPjxwZXJpb2RpY2FsPjxmdWxsLXRpdGxlPk1ldGhvZHMgTW9sIEJpb2w8L2Z1
bGwtdGl0bGU+PC9wZXJpb2RpY2FsPjxwYWdlcz4zOTEtNDE2PC9wYWdlcz48dm9sdW1lPjE0MTg8
L3ZvbHVtZT48a2V5d29yZHM+PGtleXdvcmQ+QW5pbWFsczwva2V5d29yZD48a2V5d29yZD5Db21w
dXRhdGlvbmFsIEJpb2xvZ3kvKm1ldGhvZHM8L2tleXdvcmQ+PGtleXdvcmQ+RGF0YWJhc2VzLCBH
ZW5ldGljPC9rZXl3b3JkPjxrZXl3b3JkPkdlbmUgRXhwcmVzc2lvbiBQcm9maWxpbmcvKm1ldGhv
ZHM8L2tleXdvcmQ+PGtleXdvcmQ+KkhpZ2gtVGhyb3VnaHB1dCBOdWNsZW90aWRlIFNlcXVlbmNp
bmc8L2tleXdvcmQ+PGtleXdvcmQ+SHVtYW5zPC9rZXl3b3JkPjxrZXl3b3JkPipMaWtlbGlob29k
IEZ1bmN0aW9uczwva2V5d29yZD48a2V5d29yZD5MaW5lYXIgTW9kZWxzPC9rZXl3b3JkPjxrZXl3
b3JkPk1pY2U8L2tleXdvcmQ+PGtleXdvcmQ+TW9sZWN1bGFyIFNlcXVlbmNlIEFubm90YXRpb248
L2tleXdvcmQ+PGtleXdvcmQ+U2VxdWVuY2UgQWxpZ25tZW50PC9rZXl3b3JkPjxrZXl3b3JkPlNl
cXVlbmNlIEFuYWx5c2lzLCBSTkEvKm1ldGhvZHM8L2tleXdvcmQ+PGtleXdvcmQ+KlNvZnR3YXJl
PC9rZXl3b3JkPjxrZXl3b3JkPkRpZmZlcmVudGlhbCBleHByZXNzaW9uPC9rZXl3b3JkPjxrZXl3
b3JkPkdlbmVyYWxpemVkIGxpbmVhciBtb2RlbHM8L2tleXdvcmQ+PGtleXdvcmQ+UXVhc2ktbGlr
ZWxpaG9vZDwva2V5d29yZD48a2V5d29yZD5STkEtc2VxPC9rZXl3b3JkPjxrZXl3b3JkPlJlYWQg
YWxpZ25tZW50PC9rZXl3b3JkPjxrZXl3b3JkPlJlYWQgY291bnRzPC9rZXl3b3JkPjxrZXl3b3Jk
PlZhcmlhYmlsaXR5PC9rZXl3b3JkPjwva2V5d29yZHM+PGRhdGVzPjx5ZWFyPjIwMTY8L3llYXI+
PC9kYXRlcz48aXNibj4xOTQwLTYwMjkgKEVsZWN0cm9uaWMpJiN4RDsxMDY0LTM3NDUgKExpbmtp
bmcpPC9pc2JuPjxhY2Nlc3Npb24tbnVtPjI3MDA4MDI1PC9hY2Nlc3Npb24tbnVtPjx1cmxzPjxy
ZWxhdGVkLXVybHM+PHVybD5odHRwczovL3d3dy5uY2JpLm5sbS5uaWguZ292L3B1Ym1lZC8yNzAw
ODAyNTwvdXJsPjwvcmVsYXRlZC11cmxzPjwvdXJscz48ZWxlY3Ryb25pYy1yZXNvdXJjZS1udW0+
MTAuMTAwNy85NzgtMS00OTM5LTM1NzgtOV8xOTwvZWxlY3Ryb25pYy1yZXNvdXJjZS1udW0+PHJl
bW90ZS1kYXRhYmFzZS1uYW1lPk1lZGxpbmU8L3JlbW90ZS1kYXRhYmFzZS1uYW1lPjxyZW1vdGUt
ZGF0YWJhc2UtcHJvdmlkZXI+TkxNPC9yZW1vdGUtZGF0YWJhc2UtcHJvdmlkZXI+PC9yZWNvcmQ+
PC9DaXRlPjwvRW5kTm90ZT4A
</w:fldData>
        </w:fldChar>
      </w:r>
      <w:r w:rsidR="00A804EA">
        <w:rPr>
          <w:rFonts w:ascii="Times New Roman" w:hAnsi="Times New Roman" w:cs="Times New Roman"/>
        </w:rPr>
        <w:instrText xml:space="preserve"> ADDIN EN.CITE </w:instrText>
      </w:r>
      <w:r w:rsidR="00A804EA">
        <w:rPr>
          <w:rFonts w:ascii="Times New Roman" w:hAnsi="Times New Roman" w:cs="Times New Roman"/>
        </w:rPr>
        <w:fldChar w:fldCharType="begin">
          <w:fldData xml:space="preserve">PEVuZE5vdGU+PENpdGU+PEF1dGhvcj5MdW48L0F1dGhvcj48WWVhcj4yMDE2PC9ZZWFyPjxSZWNO
dW0+NjE1PC9SZWNOdW0+PERpc3BsYXlUZXh0Pls4XTwvRGlzcGxheVRleHQ+PHJlY29yZD48cmVj
LW51bWJlcj42MTU8L3JlYy1udW1iZXI+PGZvcmVpZ24ta2V5cz48a2V5IGFwcD0iRU4iIGRiLWlk
PSJ2YTB2d2RycnBld3ZlN2V0YWVyeHJwZjV2dzJkMHhmNWQyc2YiIHRpbWVzdGFtcD0iMTc4ODUz
ODEyNiI+NjE1PC9rZXk+PC9mb3JlaWduLWtleXM+PHJlZi10eXBlIG5hbWU9IkpvdXJuYWwgQXJ0
aWNsZSI+MTc8L3JlZi10eXBlPjxjb250cmlidXRvcnM+PGF1dGhvcnM+PGF1dGhvcj5MdW4sIEEu
IFQuPC9hdXRob3I+PGF1dGhvcj5DaGVuLCBZLjwvYXV0aG9yPjxhdXRob3I+U215dGgsIEcuIEsu
PC9hdXRob3I+PC9hdXRob3JzPjwvY29udHJpYnV0b3JzPjxhdXRoLWFkZHJlc3M+V2FsdGVyIGFu
ZCBFbGl6YSBIYWxsIEluc3RpdHV0ZSBvZiBNZWRpY2FsIFJlc2VhcmNoLCBQYXJrdmlsbGUsIFZJ
QywgQXVzdHJhbGlhLjwvYXV0aC1hZGRyZXNzPjx0aXRsZXM+PHRpdGxlPkl0JmFwb3M7cyBERS1s
aWNpb3VzOiBBIFJlY2lwZSBmb3IgRGlmZmVyZW50aWFsIEV4cHJlc3Npb24gQW5hbHlzZXMgb2Yg
Uk5BLXNlcSBFeHBlcmltZW50cyBVc2luZyBRdWFzaS1MaWtlbGlob29kIE1ldGhvZHMgaW4gZWRn
ZVI8L3RpdGxlPjxzZWNvbmRhcnktdGl0bGU+TWV0aG9kcyBNb2wgQmlvbDwvc2Vjb25kYXJ5LXRp
dGxlPjwvdGl0bGVzPjxwZXJpb2RpY2FsPjxmdWxsLXRpdGxlPk1ldGhvZHMgTW9sIEJpb2w8L2Z1
bGwtdGl0bGU+PC9wZXJpb2RpY2FsPjxwYWdlcz4zOTEtNDE2PC9wYWdlcz48dm9sdW1lPjE0MTg8
L3ZvbHVtZT48a2V5d29yZHM+PGtleXdvcmQ+QW5pbWFsczwva2V5d29yZD48a2V5d29yZD5Db21w
dXRhdGlvbmFsIEJpb2xvZ3kvKm1ldGhvZHM8L2tleXdvcmQ+PGtleXdvcmQ+RGF0YWJhc2VzLCBH
ZW5ldGljPC9rZXl3b3JkPjxrZXl3b3JkPkdlbmUgRXhwcmVzc2lvbiBQcm9maWxpbmcvKm1ldGhv
ZHM8L2tleXdvcmQ+PGtleXdvcmQ+KkhpZ2gtVGhyb3VnaHB1dCBOdWNsZW90aWRlIFNlcXVlbmNp
bmc8L2tleXdvcmQ+PGtleXdvcmQ+SHVtYW5zPC9rZXl3b3JkPjxrZXl3b3JkPipMaWtlbGlob29k
IEZ1bmN0aW9uczwva2V5d29yZD48a2V5d29yZD5MaW5lYXIgTW9kZWxzPC9rZXl3b3JkPjxrZXl3
b3JkPk1pY2U8L2tleXdvcmQ+PGtleXdvcmQ+TW9sZWN1bGFyIFNlcXVlbmNlIEFubm90YXRpb248
L2tleXdvcmQ+PGtleXdvcmQ+U2VxdWVuY2UgQWxpZ25tZW50PC9rZXl3b3JkPjxrZXl3b3JkPlNl
cXVlbmNlIEFuYWx5c2lzLCBSTkEvKm1ldGhvZHM8L2tleXdvcmQ+PGtleXdvcmQ+KlNvZnR3YXJl
PC9rZXl3b3JkPjxrZXl3b3JkPkRpZmZlcmVudGlhbCBleHByZXNzaW9uPC9rZXl3b3JkPjxrZXl3
b3JkPkdlbmVyYWxpemVkIGxpbmVhciBtb2RlbHM8L2tleXdvcmQ+PGtleXdvcmQ+UXVhc2ktbGlr
ZWxpaG9vZDwva2V5d29yZD48a2V5d29yZD5STkEtc2VxPC9rZXl3b3JkPjxrZXl3b3JkPlJlYWQg
YWxpZ25tZW50PC9rZXl3b3JkPjxrZXl3b3JkPlJlYWQgY291bnRzPC9rZXl3b3JkPjxrZXl3b3Jk
PlZhcmlhYmlsaXR5PC9rZXl3b3JkPjwva2V5d29yZHM+PGRhdGVzPjx5ZWFyPjIwMTY8L3llYXI+
PC9kYXRlcz48aXNibj4xOTQwLTYwMjkgKEVsZWN0cm9uaWMpJiN4RDsxMDY0LTM3NDUgKExpbmtp
bmcpPC9pc2JuPjxhY2Nlc3Npb24tbnVtPjI3MDA4MDI1PC9hY2Nlc3Npb24tbnVtPjx1cmxzPjxy
ZWxhdGVkLXVybHM+PHVybD5odHRwczovL3d3dy5uY2JpLm5sbS5uaWguZ292L3B1Ym1lZC8yNzAw
ODAyNTwvdXJsPjwvcmVsYXRlZC11cmxzPjwvdXJscz48ZWxlY3Ryb25pYy1yZXNvdXJjZS1udW0+
MTAuMTAwNy85NzgtMS00OTM5LTM1NzgtOV8xOTwvZWxlY3Ryb25pYy1yZXNvdXJjZS1udW0+PHJl
bW90ZS1kYXRhYmFzZS1uYW1lPk1lZGxpbmU8L3JlbW90ZS1kYXRhYmFzZS1uYW1lPjxyZW1vdGUt
ZGF0YWJhc2UtcHJvdmlkZXI+TkxNPC9yZW1vdGUtZGF0YWJhc2UtcHJvdmlkZXI+PC9yZWNvcmQ+
PC9DaXRlPjwvRW5kTm90ZT4A
</w:fldData>
        </w:fldChar>
      </w:r>
      <w:r w:rsidR="00A804EA">
        <w:rPr>
          <w:rFonts w:ascii="Times New Roman" w:hAnsi="Times New Roman" w:cs="Times New Roman"/>
        </w:rPr>
        <w:instrText xml:space="preserve"> ADDIN EN.CITE.DATA </w:instrText>
      </w:r>
      <w:r w:rsidR="00A804EA">
        <w:rPr>
          <w:rFonts w:ascii="Times New Roman" w:hAnsi="Times New Roman" w:cs="Times New Roman"/>
        </w:rPr>
      </w:r>
      <w:r w:rsidR="00A804EA">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A804EA">
        <w:rPr>
          <w:rFonts w:ascii="Times New Roman" w:hAnsi="Times New Roman" w:cs="Times New Roman"/>
          <w:noProof/>
        </w:rPr>
        <w:t>[8]</w:t>
      </w:r>
      <w:r>
        <w:rPr>
          <w:rFonts w:ascii="Times New Roman" w:hAnsi="Times New Roman" w:cs="Times New Roman"/>
        </w:rPr>
        <w:fldChar w:fldCharType="end"/>
      </w:r>
      <w:r>
        <w:rPr>
          <w:rFonts w:ascii="Times New Roman" w:hAnsi="Times New Roman" w:cs="Times New Roman"/>
        </w:rPr>
        <w:t>. The low-risk group was used as the reference group; therefore, positive log-fold changes represented higher expression in the high-risk group. Genes were considered differentially expressed after Benjamini–Hochberg correction for multiple testing.</w:t>
      </w:r>
    </w:p>
    <w:p w14:paraId="7F340B73" w14:textId="73F0D82B" w:rsidR="00C723C7" w:rsidRDefault="00000000">
      <w:pPr>
        <w:spacing w:line="440" w:lineRule="exact"/>
        <w:ind w:firstLineChars="200" w:firstLine="420"/>
        <w:rPr>
          <w:rFonts w:hint="eastAsia"/>
        </w:rPr>
      </w:pPr>
      <w:r>
        <w:rPr>
          <w:rFonts w:ascii="Times New Roman" w:hAnsi="Times New Roman" w:cs="Times New Roman"/>
        </w:rPr>
        <w:lastRenderedPageBreak/>
        <w:t xml:space="preserve">Gene set enrichment analysis (GSEA) was performed independently for each major cell type using genes ranked according to signed differential-expression statistics derived from the pseudobulk analysis </w:t>
      </w:r>
      <w:r>
        <w:rPr>
          <w:rFonts w:ascii="Times New Roman" w:hAnsi="Times New Roman" w:cs="Times New Roman"/>
        </w:rPr>
        <w:fldChar w:fldCharType="begin">
          <w:fldData xml:space="preserve">PEVuZE5vdGU+PENpdGU+PEF1dGhvcj5TdWJyYW1hbmlhbjwvQXV0aG9yPjxZZWFyPjIwMDU8L1ll
YXI+PFJlY051bT42MTY8L1JlY051bT48RGlzcGxheVRleHQ+WzldPC9EaXNwbGF5VGV4dD48cmVj
b3JkPjxyZWMtbnVtYmVyPjYxNjwvcmVjLW51bWJlcj48Zm9yZWlnbi1rZXlzPjxrZXkgYXBwPSJF
TiIgZGItaWQ9InZhMHZ3ZHJycGV3dmU3ZXRhZXJ4cnBmNXZ3MmQweGY1ZDJzZiIgdGltZXN0YW1w
PSIxNzg4NTM4MTU2Ij42MTY8L2tleT48L2ZvcmVpZ24ta2V5cz48cmVmLXR5cGUgbmFtZT0iSm91
cm5hbCBBcnRpY2xlIj4xNzwvcmVmLXR5cGU+PGNvbnRyaWJ1dG9ycz48YXV0aG9ycz48YXV0aG9y
PlN1YnJhbWFuaWFuLCBBLjwvYXV0aG9yPjxhdXRob3I+VGFtYXlvLCBQLjwvYXV0aG9yPjxhdXRo
b3I+TW9vdGhhLCBWLiBLLjwvYXV0aG9yPjxhdXRob3I+TXVraGVyamVlLCBTLjwvYXV0aG9yPjxh
dXRob3I+RWJlcnQsIEIuIEwuPC9hdXRob3I+PGF1dGhvcj5HaWxsZXR0ZSwgTS4gQS48L2F1dGhv
cj48YXV0aG9yPlBhdWxvdmljaCwgQS48L2F1dGhvcj48YXV0aG9yPlBvbWVyb3ksIFMuIEwuPC9h
dXRob3I+PGF1dGhvcj5Hb2x1YiwgVC4gUi48L2F1dGhvcj48YXV0aG9yPkxhbmRlciwgRS4gUy48
L2F1dGhvcj48YXV0aG9yPk1lc2lyb3YsIEouIFAuPC9hdXRob3I+PC9hdXRob3JzPjwvY29udHJp
YnV0b3JzPjxhdXRoLWFkZHJlc3M+QnJvYWQgSW5zdGl0dXRlIG9mIE1hc3NhY2h1c2V0dHMgSW5z
dGl0dXRlIG9mIFRlY2hub2xvZ3kgYW5kIEhhcnZhcmQsIDMyMCBDaGFybGVzIFN0cmVldCwgQ2Ft
YnJpZGdlLCBNQSAwMjE0MSwgVVNBLjwvYXV0aC1hZGRyZXNzPjx0aXRsZXM+PHRpdGxlPkdlbmUg
c2V0IGVucmljaG1lbnQgYW5hbHlzaXM6IGEga25vd2xlZGdlLWJhc2VkIGFwcHJvYWNoIGZvciBp
bnRlcnByZXRpbmcgZ2Vub21lLXdpZGUgZXhwcmVzc2lvbiBwcm9maWxlczwvdGl0bGU+PHNlY29u
ZGFyeS10aXRsZT5Qcm9jIE5hdGwgQWNhZCBTY2kgVSBTIEE8L3NlY29uZGFyeS10aXRsZT48L3Rp
dGxlcz48cGVyaW9kaWNhbD48ZnVsbC10aXRsZT5Qcm9jIE5hdGwgQWNhZCBTY2kgVSBTIEE8L2Z1
bGwtdGl0bGU+PC9wZXJpb2RpY2FsPjxwYWdlcz4xNTU0NS01MDwvcGFnZXM+PHZvbHVtZT4xMDI8
L3ZvbHVtZT48bnVtYmVyPjQzPC9udW1iZXI+PGVkaXRpb24+MjAwNTA5MzA8L2VkaXRpb24+PGtl
eXdvcmRzPjxrZXl3b3JkPkNlbGwgTGluZSwgVHVtb3I8L2tleXdvcmQ+PGtleXdvcmQ+RmVtYWxl
PC9rZXl3b3JkPjxrZXl3b3JkPkdlbmUgRXhwcmVzc2lvbiBQcm9maWxpbmcvKm1ldGhvZHM8L2tl
eXdvcmQ+PGtleXdvcmQ+R2VuZXMsIHA1My9waHlzaW9sb2d5PC9rZXl3b3JkPjxrZXl3b3JkPkdl
bm9tZTwva2V5d29yZD48a2V5d29yZD5IdW1hbnM8L2tleXdvcmQ+PGtleXdvcmQ+TGV1a2VtaWEs
IE15ZWxvaWQsIEFjdXRlL2dlbmV0aWNzPC9rZXl3b3JkPjxrZXl3b3JkPkx1bmcgTmVvcGxhc21z
L2dlbmV0aWNzL21vcnRhbGl0eTwva2V5d29yZD48a2V5d29yZD5NYWxlPC9rZXl3b3JkPjxrZXl3
b3JkPipPbGlnb251Y2xlb3RpZGUgQXJyYXkgU2VxdWVuY2UgQW5hbHlzaXM8L2tleXdvcmQ+PGtl
eXdvcmQ+UHJlY3Vyc29yIENlbGwgTHltcGhvYmxhc3RpYyBMZXVrZW1pYS1MeW1waG9tYS9nZW5l
dGljczwva2V5d29yZD48L2tleXdvcmRzPjxkYXRlcz48eWVhcj4yMDA1PC95ZWFyPjxwdWItZGF0
ZXM+PGRhdGU+T2N0IDI1PC9kYXRlPjwvcHViLWRhdGVzPjwvZGF0ZXM+PGlzYm4+MDAyNy04NDI0
IChQcmludCkmI3hEOzEwOTEtNjQ5MCAoRWxlY3Ryb25pYykmI3hEOzAwMjctODQyNCAoTGlua2lu
Zyk8L2lzYm4+PGFjY2Vzc2lvbi1udW0+MTYxOTk1MTc8L2FjY2Vzc2lvbi1udW0+PHVybHM+PHJl
bGF0ZWQtdXJscz48dXJsPmh0dHBzOi8vd3d3Lm5jYmkubmxtLm5paC5nb3YvcHVibWVkLzE2MTk5
NTE3PC91cmw+PC9yZWxhdGVkLXVybHM+PC91cmxzPjxjdXN0b20yPlBNQzEyMzk4OTY8L2N1c3Rv
bTI+PGVsZWN0cm9uaWMtcmVzb3VyY2UtbnVtPjEwLjEwNzMvcG5hcy4wNTA2NTgwMTAyPC9lbGVj
dHJvbmljLXJlc291cmNlLW51bT48cmVtb3RlLWRhdGFiYXNlLW5hbWU+TWVkbGluZTwvcmVtb3Rl
LWRhdGFiYXNlLW5hbWU+PHJlbW90ZS1kYXRhYmFzZS1wcm92aWRlcj5OTE08L3JlbW90ZS1kYXRh
YmFzZS1wcm92aWRlcj48L3JlY29yZD48L0NpdGU+PC9FbmROb3RlPn==
</w:fldData>
        </w:fldChar>
      </w:r>
      <w:r w:rsidR="00A804EA">
        <w:rPr>
          <w:rFonts w:ascii="Times New Roman" w:hAnsi="Times New Roman" w:cs="Times New Roman"/>
        </w:rPr>
        <w:instrText xml:space="preserve"> ADDIN EN.CITE </w:instrText>
      </w:r>
      <w:r w:rsidR="00A804EA">
        <w:rPr>
          <w:rFonts w:ascii="Times New Roman" w:hAnsi="Times New Roman" w:cs="Times New Roman"/>
        </w:rPr>
        <w:fldChar w:fldCharType="begin">
          <w:fldData xml:space="preserve">PEVuZE5vdGU+PENpdGU+PEF1dGhvcj5TdWJyYW1hbmlhbjwvQXV0aG9yPjxZZWFyPjIwMDU8L1ll
YXI+PFJlY051bT42MTY8L1JlY051bT48RGlzcGxheVRleHQ+WzldPC9EaXNwbGF5VGV4dD48cmVj
b3JkPjxyZWMtbnVtYmVyPjYxNjwvcmVjLW51bWJlcj48Zm9yZWlnbi1rZXlzPjxrZXkgYXBwPSJF
TiIgZGItaWQ9InZhMHZ3ZHJycGV3dmU3ZXRhZXJ4cnBmNXZ3MmQweGY1ZDJzZiIgdGltZXN0YW1w
PSIxNzg4NTM4MTU2Ij42MTY8L2tleT48L2ZvcmVpZ24ta2V5cz48cmVmLXR5cGUgbmFtZT0iSm91
cm5hbCBBcnRpY2xlIj4xNzwvcmVmLXR5cGU+PGNvbnRyaWJ1dG9ycz48YXV0aG9ycz48YXV0aG9y
PlN1YnJhbWFuaWFuLCBBLjwvYXV0aG9yPjxhdXRob3I+VGFtYXlvLCBQLjwvYXV0aG9yPjxhdXRo
b3I+TW9vdGhhLCBWLiBLLjwvYXV0aG9yPjxhdXRob3I+TXVraGVyamVlLCBTLjwvYXV0aG9yPjxh
dXRob3I+RWJlcnQsIEIuIEwuPC9hdXRob3I+PGF1dGhvcj5HaWxsZXR0ZSwgTS4gQS48L2F1dGhv
cj48YXV0aG9yPlBhdWxvdmljaCwgQS48L2F1dGhvcj48YXV0aG9yPlBvbWVyb3ksIFMuIEwuPC9h
dXRob3I+PGF1dGhvcj5Hb2x1YiwgVC4gUi48L2F1dGhvcj48YXV0aG9yPkxhbmRlciwgRS4gUy48
L2F1dGhvcj48YXV0aG9yPk1lc2lyb3YsIEouIFAuPC9hdXRob3I+PC9hdXRob3JzPjwvY29udHJp
YnV0b3JzPjxhdXRoLWFkZHJlc3M+QnJvYWQgSW5zdGl0dXRlIG9mIE1hc3NhY2h1c2V0dHMgSW5z
dGl0dXRlIG9mIFRlY2hub2xvZ3kgYW5kIEhhcnZhcmQsIDMyMCBDaGFybGVzIFN0cmVldCwgQ2Ft
YnJpZGdlLCBNQSAwMjE0MSwgVVNBLjwvYXV0aC1hZGRyZXNzPjx0aXRsZXM+PHRpdGxlPkdlbmUg
c2V0IGVucmljaG1lbnQgYW5hbHlzaXM6IGEga25vd2xlZGdlLWJhc2VkIGFwcHJvYWNoIGZvciBp
bnRlcnByZXRpbmcgZ2Vub21lLXdpZGUgZXhwcmVzc2lvbiBwcm9maWxlczwvdGl0bGU+PHNlY29u
ZGFyeS10aXRsZT5Qcm9jIE5hdGwgQWNhZCBTY2kgVSBTIEE8L3NlY29uZGFyeS10aXRsZT48L3Rp
dGxlcz48cGVyaW9kaWNhbD48ZnVsbC10aXRsZT5Qcm9jIE5hdGwgQWNhZCBTY2kgVSBTIEE8L2Z1
bGwtdGl0bGU+PC9wZXJpb2RpY2FsPjxwYWdlcz4xNTU0NS01MDwvcGFnZXM+PHZvbHVtZT4xMDI8
L3ZvbHVtZT48bnVtYmVyPjQzPC9udW1iZXI+PGVkaXRpb24+MjAwNTA5MzA8L2VkaXRpb24+PGtl
eXdvcmRzPjxrZXl3b3JkPkNlbGwgTGluZSwgVHVtb3I8L2tleXdvcmQ+PGtleXdvcmQ+RmVtYWxl
PC9rZXl3b3JkPjxrZXl3b3JkPkdlbmUgRXhwcmVzc2lvbiBQcm9maWxpbmcvKm1ldGhvZHM8L2tl
eXdvcmQ+PGtleXdvcmQ+R2VuZXMsIHA1My9waHlzaW9sb2d5PC9rZXl3b3JkPjxrZXl3b3JkPkdl
bm9tZTwva2V5d29yZD48a2V5d29yZD5IdW1hbnM8L2tleXdvcmQ+PGtleXdvcmQ+TGV1a2VtaWEs
IE15ZWxvaWQsIEFjdXRlL2dlbmV0aWNzPC9rZXl3b3JkPjxrZXl3b3JkPkx1bmcgTmVvcGxhc21z
L2dlbmV0aWNzL21vcnRhbGl0eTwva2V5d29yZD48a2V5d29yZD5NYWxlPC9rZXl3b3JkPjxrZXl3
b3JkPipPbGlnb251Y2xlb3RpZGUgQXJyYXkgU2VxdWVuY2UgQW5hbHlzaXM8L2tleXdvcmQ+PGtl
eXdvcmQ+UHJlY3Vyc29yIENlbGwgTHltcGhvYmxhc3RpYyBMZXVrZW1pYS1MeW1waG9tYS9nZW5l
dGljczwva2V5d29yZD48L2tleXdvcmRzPjxkYXRlcz48eWVhcj4yMDA1PC95ZWFyPjxwdWItZGF0
ZXM+PGRhdGU+T2N0IDI1PC9kYXRlPjwvcHViLWRhdGVzPjwvZGF0ZXM+PGlzYm4+MDAyNy04NDI0
IChQcmludCkmI3hEOzEwOTEtNjQ5MCAoRWxlY3Ryb25pYykmI3hEOzAwMjctODQyNCAoTGlua2lu
Zyk8L2lzYm4+PGFjY2Vzc2lvbi1udW0+MTYxOTk1MTc8L2FjY2Vzc2lvbi1udW0+PHVybHM+PHJl
bGF0ZWQtdXJscz48dXJsPmh0dHBzOi8vd3d3Lm5jYmkubmxtLm5paC5nb3YvcHVibWVkLzE2MTk5
NTE3PC91cmw+PC9yZWxhdGVkLXVybHM+PC91cmxzPjxjdXN0b20yPlBNQzEyMzk4OTY8L2N1c3Rv
bTI+PGVsZWN0cm9uaWMtcmVzb3VyY2UtbnVtPjEwLjEwNzMvcG5hcy4wNTA2NTgwMTAyPC9lbGVj
dHJvbmljLXJlc291cmNlLW51bT48cmVtb3RlLWRhdGFiYXNlLW5hbWU+TWVkbGluZTwvcmVtb3Rl
LWRhdGFiYXNlLW5hbWU+PHJlbW90ZS1kYXRhYmFzZS1wcm92aWRlcj5OTE08L3JlbW90ZS1kYXRh
YmFzZS1wcm92aWRlcj48L3JlY29yZD48L0NpdGU+PC9FbmROb3RlPn==
</w:fldData>
        </w:fldChar>
      </w:r>
      <w:r w:rsidR="00A804EA">
        <w:rPr>
          <w:rFonts w:ascii="Times New Roman" w:hAnsi="Times New Roman" w:cs="Times New Roman"/>
        </w:rPr>
        <w:instrText xml:space="preserve"> ADDIN EN.CITE.DATA </w:instrText>
      </w:r>
      <w:r w:rsidR="00A804EA">
        <w:rPr>
          <w:rFonts w:ascii="Times New Roman" w:hAnsi="Times New Roman" w:cs="Times New Roman"/>
        </w:rPr>
      </w:r>
      <w:r w:rsidR="00A804EA">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A804EA">
        <w:rPr>
          <w:rFonts w:ascii="Times New Roman" w:hAnsi="Times New Roman" w:cs="Times New Roman"/>
          <w:noProof/>
        </w:rPr>
        <w:t>[9]</w:t>
      </w:r>
      <w:r>
        <w:rPr>
          <w:rFonts w:ascii="Times New Roman" w:hAnsi="Times New Roman" w:cs="Times New Roman"/>
        </w:rPr>
        <w:fldChar w:fldCharType="end"/>
      </w:r>
      <w:r>
        <w:rPr>
          <w:rFonts w:ascii="Times New Roman" w:hAnsi="Times New Roman" w:cs="Times New Roman"/>
        </w:rPr>
        <w:t>. Ranked gene lists were interrogated against Kyoto Encyclopedia of Genes and Genomes (KEGG) pathways using clusterProfiler</w:t>
      </w:r>
      <w:r>
        <w:rPr>
          <w:rFonts w:ascii="Times New Roman" w:hAnsi="Times New Roman" w:cs="Times New Roman" w:hint="eastAsia"/>
        </w:rPr>
        <w:t xml:space="preserve"> </w:t>
      </w:r>
      <w:r>
        <w:rPr>
          <w:rFonts w:ascii="Times New Roman" w:hAnsi="Times New Roman" w:cs="Times New Roman"/>
        </w:rPr>
        <w:fldChar w:fldCharType="begin"/>
      </w:r>
      <w:r w:rsidR="00A804EA">
        <w:rPr>
          <w:rFonts w:ascii="Times New Roman" w:hAnsi="Times New Roman" w:cs="Times New Roman"/>
        </w:rPr>
        <w:instrText xml:space="preserve"> ADDIN EN.CITE &lt;EndNote&gt;&lt;Cite&gt;&lt;Author&gt;Yu&lt;/Author&gt;&lt;Year&gt;2012&lt;/Year&gt;&lt;RecNum&gt;617&lt;/RecNum&gt;&lt;DisplayText&gt;[10]&lt;/DisplayText&gt;&lt;record&gt;&lt;rec-number&gt;617&lt;/rec-number&gt;&lt;foreign-keys&gt;&lt;key app="EN" db-id="va0vwdrrpewve7etaerxrpf5vw2d0xf5d2sf" timestamp="1788538189"&gt;617&lt;/key&gt;&lt;/foreign-keys&gt;&lt;ref-type name="Journal Article"&gt;17&lt;/ref-type&gt;&lt;contributors&gt;&lt;authors&gt;&lt;author&gt;Yu, G.&lt;/author&gt;&lt;author&gt;Wang, L. G.&lt;/author&gt;&lt;author&gt;Han, Y.&lt;/author&gt;&lt;author&gt;He, Q. Y.&lt;/author&gt;&lt;/authors&gt;&lt;/contributors&gt;&lt;auth-address&gt;Institute of Life and Health Engineering, Key Laboratory of Functional Protein Research of Guangdong Higher Education Institutes, Jinan University, Guangzhou, People&amp;apos;s Republic of China.&lt;/auth-address&gt;&lt;titles&gt;&lt;title&gt;clusterProfiler: an R package for comparing biological themes among gene clusters&lt;/title&gt;&lt;secondary-title&gt;OMICS&lt;/secondary-title&gt;&lt;/titles&gt;&lt;periodical&gt;&lt;full-title&gt;OMICS&lt;/full-title&gt;&lt;/periodical&gt;&lt;pages&gt;284-7&lt;/pages&gt;&lt;volume&gt;16&lt;/volume&gt;&lt;number&gt;5&lt;/number&gt;&lt;edition&gt;20120328&lt;/edition&gt;&lt;keywords&gt;&lt;keyword&gt;Animals&lt;/keyword&gt;&lt;keyword&gt;Gene Expression Profiling/*methods&lt;/keyword&gt;&lt;keyword&gt;Humans&lt;/keyword&gt;&lt;keyword&gt;Mice&lt;/keyword&gt;&lt;keyword&gt;*Multigene Family&lt;/keyword&gt;&lt;keyword&gt;Programming Languages&lt;/keyword&gt;&lt;keyword&gt;Proteomics/*methods&lt;/keyword&gt;&lt;keyword&gt;Software&lt;/keyword&gt;&lt;keyword&gt;*Transcriptome&lt;/keyword&gt;&lt;keyword&gt;Yeasts&lt;/keyword&gt;&lt;/keywords&gt;&lt;dates&gt;&lt;year&gt;2012&lt;/year&gt;&lt;pub-dates&gt;&lt;date&gt;May&lt;/date&gt;&lt;/pub-dates&gt;&lt;/dates&gt;&lt;isbn&gt;1557-8100 (Electronic)&amp;#xD;1536-2310 (Print)&amp;#xD;1536-2310 (Linking)&lt;/isbn&gt;&lt;accession-num&gt;22455463&lt;/accession-num&gt;&lt;urls&gt;&lt;related-urls&gt;&lt;url&gt;https://www.ncbi.nlm.nih.gov/pubmed/22455463&lt;/url&gt;&lt;/related-urls&gt;&lt;/urls&gt;&lt;custom2&gt;PMC3339379&lt;/custom2&gt;&lt;electronic-resource-num&gt;10.1089/omi.2011.0118&lt;/electronic-resource-num&gt;&lt;remote-database-name&gt;Medline&lt;/remote-database-name&gt;&lt;remote-database-provider&gt;NLM&lt;/remote-database-provider&gt;&lt;/record&gt;&lt;/Cite&gt;&lt;/EndNote&gt;</w:instrText>
      </w:r>
      <w:r>
        <w:rPr>
          <w:rFonts w:ascii="Times New Roman" w:hAnsi="Times New Roman" w:cs="Times New Roman"/>
        </w:rPr>
        <w:fldChar w:fldCharType="separate"/>
      </w:r>
      <w:r w:rsidR="00A804EA">
        <w:rPr>
          <w:rFonts w:ascii="Times New Roman" w:hAnsi="Times New Roman" w:cs="Times New Roman"/>
          <w:noProof/>
        </w:rPr>
        <w:t>[10]</w:t>
      </w:r>
      <w:r>
        <w:rPr>
          <w:rFonts w:ascii="Times New Roman" w:hAnsi="Times New Roman" w:cs="Times New Roman"/>
        </w:rPr>
        <w:fldChar w:fldCharType="end"/>
      </w:r>
      <w:r>
        <w:rPr>
          <w:rFonts w:ascii="Times New Roman" w:hAnsi="Times New Roman" w:cs="Times New Roman"/>
        </w:rPr>
        <w:t>. Gene sets containing 15–500 genes were included, and statistical significance was determined after Benjamini</w:t>
      </w:r>
      <w:r>
        <w:rPr>
          <w:rFonts w:ascii="Times New Roman" w:hAnsi="Times New Roman" w:cs="Times New Roman" w:hint="eastAsia"/>
        </w:rPr>
        <w:t>-</w:t>
      </w:r>
      <w:r>
        <w:rPr>
          <w:rFonts w:ascii="Times New Roman" w:hAnsi="Times New Roman" w:cs="Times New Roman"/>
        </w:rPr>
        <w:t>Hochberg adjustment. Positive normalized enrichment scores (NES) indicated preferential enrichment in the high-risk group, whereas negative NES values indicated enrichment in the low-risk group.</w:t>
      </w:r>
    </w:p>
    <w:p w14:paraId="0F77702F" w14:textId="77777777" w:rsidR="00C723C7" w:rsidRDefault="00C723C7">
      <w:pPr>
        <w:rPr>
          <w:rFonts w:hint="eastAsia"/>
        </w:rPr>
      </w:pPr>
    </w:p>
    <w:p w14:paraId="5A767222" w14:textId="77777777" w:rsidR="00C723C7" w:rsidRDefault="00000000">
      <w:pPr>
        <w:spacing w:line="440" w:lineRule="exact"/>
        <w:rPr>
          <w:rFonts w:ascii="Times New Roman" w:hAnsi="Times New Roman" w:cs="Times New Roman"/>
          <w:b/>
          <w:bCs/>
        </w:rPr>
      </w:pPr>
      <w:r>
        <w:rPr>
          <w:rFonts w:ascii="Times New Roman" w:hAnsi="Times New Roman" w:cs="Times New Roman"/>
          <w:b/>
          <w:bCs/>
        </w:rPr>
        <w:t>Time-varying analysis of glucocorticoid-associated outcomes</w:t>
      </w:r>
    </w:p>
    <w:p w14:paraId="0D055620" w14:textId="77777777" w:rsidR="00C723C7" w:rsidRDefault="00000000">
      <w:pPr>
        <w:spacing w:line="440" w:lineRule="exact"/>
        <w:ind w:firstLineChars="200" w:firstLine="420"/>
        <w:rPr>
          <w:rFonts w:ascii="Times New Roman" w:hAnsi="Times New Roman" w:cs="Times New Roman"/>
        </w:rPr>
      </w:pPr>
      <w:r>
        <w:rPr>
          <w:rFonts w:ascii="Times New Roman" w:hAnsi="Times New Roman" w:cs="Times New Roman"/>
        </w:rPr>
        <w:t>For the glucocorticoid-associated outcome analysis, eligible patients from the training, internal-test, and external-validation cohorts were pooled. A new-user design was adopted by excluding patients with documented systemic glucocorticoid exposure before the index time point (T0). Patients were additionally required to have a valid model-defined risk-group assignment, positive follow-up time, available 30-day mortality status, and complete data for all covariates included in the multivariable model.</w:t>
      </w:r>
    </w:p>
    <w:p w14:paraId="20C5BFF3" w14:textId="77777777" w:rsidR="00C723C7" w:rsidRDefault="00000000">
      <w:pPr>
        <w:spacing w:line="440" w:lineRule="exact"/>
        <w:ind w:firstLineChars="200" w:firstLine="420"/>
        <w:rPr>
          <w:rFonts w:ascii="Times New Roman" w:hAnsi="Times New Roman" w:cs="Times New Roman"/>
        </w:rPr>
      </w:pPr>
      <w:r>
        <w:rPr>
          <w:rFonts w:ascii="Times New Roman" w:hAnsi="Times New Roman" w:cs="Times New Roman"/>
        </w:rPr>
        <w:t>Follow-up began at T0 and continued until death, censoring, or 30 days, whichever occurred first. Systemic glucocorticoid initiation within 7 days after T0 was modelled as a time-varying exposure. For patients initiating glucocorticoids within the prespecified 7-day exposure window and before the end of observed follow-up, exposure status changed from unexposed to exposed at the recorded time of first glucocorticoid administration. These patients therefore contributed unexposed person-time from T0 until treatment initiation and exposed person-time thereafter. Patients who did not initiate glucocorticoids within 7 days after T0, including those whose first recorded initiation occurred after the prespecified exposure window, remained classified as unexposed throughout the primary analysis.</w:t>
      </w:r>
    </w:p>
    <w:p w14:paraId="5D619B34" w14:textId="77777777" w:rsidR="00C723C7" w:rsidRDefault="00000000">
      <w:pPr>
        <w:spacing w:line="440" w:lineRule="exact"/>
        <w:ind w:firstLineChars="200" w:firstLine="420"/>
        <w:rPr>
          <w:rFonts w:ascii="Times New Roman" w:hAnsi="Times New Roman" w:cs="Times New Roman"/>
        </w:rPr>
      </w:pPr>
      <w:r>
        <w:rPr>
          <w:rFonts w:ascii="Times New Roman" w:hAnsi="Times New Roman" w:cs="Times New Roman"/>
        </w:rPr>
        <w:t xml:space="preserve">Associations between time-varying glucocorticoid initiation and 30-day all-cause mortality were estimated using Cox proportional-hazards models in counting-process format. Models were adjusted for prespecified baseline covariates, including PaO₂/FiO₂ ratio, C-reactive protein, procalcitonin, white blood cell count, lactate, body temperature, platelet count, albumin, creatinine, total bilirubin, SOFA score, age, sex, chronic obstructive pulmonary disease, asthma, interstitial lung disease, autoimmune disease, immunosuppressant use, solid-organ transplantation, hematologic malignancy, and solid tumor. Robust sandwich standard errors clustered by patient </w:t>
      </w:r>
      <w:r>
        <w:rPr>
          <w:rFonts w:ascii="Times New Roman" w:hAnsi="Times New Roman" w:cs="Times New Roman"/>
        </w:rPr>
        <w:lastRenderedPageBreak/>
        <w:t>were used to account for the multiple time intervals contributed by individual patients. Ties were handled using the Efron method.</w:t>
      </w:r>
    </w:p>
    <w:p w14:paraId="048BF023" w14:textId="77777777" w:rsidR="00C723C7" w:rsidRDefault="00000000">
      <w:pPr>
        <w:spacing w:line="440" w:lineRule="exact"/>
        <w:ind w:firstLineChars="200" w:firstLine="420"/>
        <w:rPr>
          <w:rFonts w:ascii="Times New Roman" w:hAnsi="Times New Roman" w:cs="Times New Roman"/>
        </w:rPr>
      </w:pPr>
      <w:r>
        <w:rPr>
          <w:rFonts w:ascii="Times New Roman" w:hAnsi="Times New Roman" w:cs="Times New Roman"/>
        </w:rPr>
        <w:t>Heterogeneity in glucocorticoid-associated outcomes was evaluated by including a multiplicative interaction term between time-varying glucocorticoid exposure and model-defined risk group, with the low-risk group specified as the reference category. Risk-group-specific hazard ratios (HRs) and 95% confidence intervals (CIs) for glucocorticoid initiation were obtained from linear contrasts of the relevant model coefficients. Overall heterogeneity across risk groups was assessed using a joint Wald test of the glucocorticoid-by-risk-group interaction terms. All statistical tests were two-sided.</w:t>
      </w:r>
    </w:p>
    <w:p w14:paraId="16CE3321" w14:textId="77777777" w:rsidR="00C723C7" w:rsidRDefault="00C723C7">
      <w:pPr>
        <w:spacing w:line="440" w:lineRule="exact"/>
        <w:ind w:firstLineChars="200" w:firstLine="420"/>
        <w:rPr>
          <w:rFonts w:ascii="Times New Roman" w:hAnsi="Times New Roman" w:cs="Times New Roman"/>
        </w:rPr>
      </w:pPr>
    </w:p>
    <w:p w14:paraId="2984F7CD" w14:textId="77777777" w:rsidR="00C723C7" w:rsidRDefault="00000000">
      <w:pPr>
        <w:spacing w:line="440" w:lineRule="exact"/>
        <w:rPr>
          <w:rFonts w:ascii="Times New Roman" w:hAnsi="Times New Roman" w:cs="Times New Roman"/>
          <w:b/>
          <w:bCs/>
        </w:rPr>
      </w:pPr>
      <w:r>
        <w:rPr>
          <w:rFonts w:ascii="Times New Roman" w:hAnsi="Times New Roman" w:cs="Times New Roman"/>
          <w:b/>
          <w:bCs/>
        </w:rPr>
        <w:t>Continuous-risk interaction analysis</w:t>
      </w:r>
    </w:p>
    <w:p w14:paraId="6D234538" w14:textId="50D4D65D" w:rsidR="00C723C7" w:rsidRDefault="00000000">
      <w:pPr>
        <w:spacing w:line="440" w:lineRule="exact"/>
        <w:ind w:firstLineChars="200" w:firstLine="420"/>
        <w:rPr>
          <w:rFonts w:ascii="Times New Roman" w:hAnsi="Times New Roman" w:cs="Times New Roman"/>
        </w:rPr>
      </w:pPr>
      <w:r>
        <w:rPr>
          <w:rFonts w:ascii="Times New Roman" w:hAnsi="Times New Roman" w:cs="Times New Roman"/>
        </w:rPr>
        <w:t>To assess whether treatment-associated heterogeneity was present across the full spectrum of predicted risk and to reduce dependence on prespecified categorical cutoffs, continuous interaction analyses were performed separately for the clinical-imaging and multimodal models. For each model, the predicted probability of 30-day mortality was entered as a continuous variable in the multivariable time-dependent Cox model together with a multiplicative interaction term between predicted risk and time-varying glucocorticoid exposure. Predicted risk was expressed in 10-percentage-point units to facilitate interpretation. Accordingly, the interaction hazard ratio (HR) represented the relative change in the glucocorticoid-associated HR for each 10-percentage-point increase in predicted 30-day mortality risk. Interaction estimates were reported with 95% CI</w:t>
      </w:r>
      <w:r w:rsidR="00E81B8C">
        <w:rPr>
          <w:rFonts w:ascii="Times New Roman" w:hAnsi="Times New Roman" w:cs="Times New Roman" w:hint="eastAsia"/>
        </w:rPr>
        <w:t>s</w:t>
      </w:r>
      <w:r>
        <w:rPr>
          <w:rFonts w:ascii="Times New Roman" w:hAnsi="Times New Roman" w:cs="Times New Roman"/>
        </w:rPr>
        <w:t xml:space="preserve"> and two-sided </w:t>
      </w:r>
      <w:r>
        <w:rPr>
          <w:rFonts w:ascii="Times New Roman" w:hAnsi="Times New Roman" w:cs="Times New Roman"/>
          <w:i/>
          <w:iCs/>
        </w:rPr>
        <w:t>P</w:t>
      </w:r>
      <w:r>
        <w:rPr>
          <w:rFonts w:ascii="Times New Roman" w:hAnsi="Times New Roman" w:cs="Times New Roman"/>
        </w:rPr>
        <w:t xml:space="preserve"> values.</w:t>
      </w:r>
    </w:p>
    <w:p w14:paraId="7D2355B3" w14:textId="77777777" w:rsidR="00C723C7" w:rsidRDefault="00000000">
      <w:pPr>
        <w:spacing w:line="440" w:lineRule="exact"/>
        <w:ind w:firstLineChars="200" w:firstLine="420"/>
        <w:rPr>
          <w:rFonts w:ascii="Times New Roman" w:hAnsi="Times New Roman" w:cs="Times New Roman"/>
        </w:rPr>
      </w:pPr>
      <w:r>
        <w:rPr>
          <w:rFonts w:ascii="Times New Roman" w:hAnsi="Times New Roman" w:cs="Times New Roman"/>
        </w:rPr>
        <w:t>Model-based glucocorticoid-associated HRs and corresponding 95% CIs were then estimated across the observed distribution of predicted risk using linear contrasts of the glucocorticoid exposure and exposure-by-risk interaction coefficients. These risk-specific HRs were plotted as a continuous function of predicted mortality risk, with the solid line representing the estimated HR and the shaded region representing the 95% CI. A horizontal reference line at HR=1 indicated no association, and the prespecified risk thresholds used to define low-, intermediate-, and high-risk groups were superimposed as vertical reference lines. The same modelling and visualization procedures were applied independently to the clinical-imaging and multimodal risk scores.</w:t>
      </w:r>
    </w:p>
    <w:p w14:paraId="5AE3E13D" w14:textId="77777777" w:rsidR="00C723C7" w:rsidRDefault="00C723C7">
      <w:pPr>
        <w:rPr>
          <w:rFonts w:hint="eastAsia"/>
        </w:rPr>
      </w:pPr>
    </w:p>
    <w:p w14:paraId="6EE019AF" w14:textId="77777777" w:rsidR="00C723C7" w:rsidRDefault="00000000">
      <w:pPr>
        <w:widowControl/>
        <w:jc w:val="left"/>
        <w:rPr>
          <w:rFonts w:hint="eastAsia"/>
        </w:rPr>
      </w:pPr>
      <w:r>
        <w:rPr>
          <w:rFonts w:hint="eastAsia"/>
        </w:rPr>
        <w:br w:type="page"/>
      </w:r>
    </w:p>
    <w:p w14:paraId="7639E9FF" w14:textId="359E9CDC" w:rsidR="00C723C7" w:rsidRDefault="00C723C7">
      <w:pPr>
        <w:widowControl/>
        <w:jc w:val="left"/>
        <w:rPr>
          <w:rFonts w:ascii="Times New Roman" w:hAnsi="Times New Roman" w:cs="Times New Roman"/>
        </w:rPr>
      </w:pPr>
    </w:p>
    <w:p w14:paraId="42D3F9F3" w14:textId="77777777" w:rsidR="00C723C7" w:rsidRDefault="00000000">
      <w:pPr>
        <w:rPr>
          <w:rFonts w:hint="eastAsia"/>
        </w:rPr>
      </w:pPr>
      <w:r>
        <w:rPr>
          <w:noProof/>
        </w:rPr>
        <w:drawing>
          <wp:inline distT="0" distB="0" distL="0" distR="0" wp14:anchorId="6C967670" wp14:editId="634AA278">
            <wp:extent cx="5274310" cy="3359785"/>
            <wp:effectExtent l="0" t="0" r="2540" b="0"/>
            <wp:docPr id="73407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0764" name="图片 1"/>
                    <pic:cNvPicPr>
                      <a:picLocks noChangeAspect="1"/>
                    </pic:cNvPicPr>
                  </pic:nvPicPr>
                  <pic:blipFill>
                    <a:blip r:embed="rId8"/>
                    <a:stretch>
                      <a:fillRect/>
                    </a:stretch>
                  </pic:blipFill>
                  <pic:spPr>
                    <a:xfrm>
                      <a:off x="0" y="0"/>
                      <a:ext cx="5274310" cy="3359785"/>
                    </a:xfrm>
                    <a:prstGeom prst="rect">
                      <a:avLst/>
                    </a:prstGeom>
                  </pic:spPr>
                </pic:pic>
              </a:graphicData>
            </a:graphic>
          </wp:inline>
        </w:drawing>
      </w:r>
    </w:p>
    <w:p w14:paraId="693D3F96" w14:textId="655EF678" w:rsidR="00C723C7" w:rsidRDefault="00000000">
      <w:pPr>
        <w:widowControl/>
        <w:spacing w:line="440" w:lineRule="exact"/>
        <w:rPr>
          <w:rFonts w:ascii="Times New Roman" w:hAnsi="Times New Roman" w:cs="Times New Roman"/>
        </w:rPr>
      </w:pPr>
      <w:r>
        <w:rPr>
          <w:rFonts w:ascii="Times New Roman" w:hAnsi="Times New Roman" w:cs="Times New Roman"/>
          <w:b/>
          <w:bCs/>
        </w:rPr>
        <w:t>Figure S</w:t>
      </w:r>
      <w:r w:rsidR="0076623E">
        <w:rPr>
          <w:rFonts w:ascii="Times New Roman" w:hAnsi="Times New Roman" w:cs="Times New Roman" w:hint="eastAsia"/>
          <w:b/>
          <w:bCs/>
        </w:rPr>
        <w:t>1</w:t>
      </w:r>
      <w:r>
        <w:rPr>
          <w:rFonts w:ascii="Times New Roman" w:hAnsi="Times New Roman" w:cs="Times New Roman"/>
          <w:b/>
          <w:bCs/>
        </w:rPr>
        <w:t>. Calibration performance of clinical, imaging, proteomic, and multimodal models across the training, internal test, and external validation cohorts.</w:t>
      </w:r>
      <w:r>
        <w:rPr>
          <w:rFonts w:ascii="Times New Roman" w:hAnsi="Times New Roman" w:cs="Times New Roman" w:hint="eastAsia"/>
        </w:rPr>
        <w:t xml:space="preserve"> </w:t>
      </w:r>
      <w:r w:rsidRPr="00E230D1">
        <w:rPr>
          <w:rFonts w:ascii="Times New Roman" w:hAnsi="Times New Roman" w:cs="Times New Roman"/>
          <w:b/>
          <w:bCs/>
        </w:rPr>
        <w:t xml:space="preserve">(A–C) </w:t>
      </w:r>
      <w:r>
        <w:rPr>
          <w:rFonts w:ascii="Times New Roman" w:hAnsi="Times New Roman" w:cs="Times New Roman"/>
        </w:rPr>
        <w:t>Calibration plots for the Clinical, Radiomics, Deep Learning, and Clinical</w:t>
      </w:r>
      <w:r w:rsidR="003F1A0F">
        <w:rPr>
          <w:rFonts w:ascii="Times New Roman" w:hAnsi="Times New Roman" w:cs="Times New Roman" w:hint="eastAsia"/>
        </w:rPr>
        <w:t>-</w:t>
      </w:r>
      <w:r>
        <w:rPr>
          <w:rFonts w:ascii="Times New Roman" w:hAnsi="Times New Roman" w:cs="Times New Roman"/>
        </w:rPr>
        <w:t xml:space="preserve">imaging models in the training cohort (A), internal test cohort (B), and external validation cohort (C). </w:t>
      </w:r>
      <w:r w:rsidRPr="00E230D1">
        <w:rPr>
          <w:rFonts w:ascii="Times New Roman" w:hAnsi="Times New Roman" w:cs="Times New Roman"/>
          <w:b/>
          <w:bCs/>
        </w:rPr>
        <w:t>(D–F)</w:t>
      </w:r>
      <w:r>
        <w:rPr>
          <w:rFonts w:ascii="Times New Roman" w:hAnsi="Times New Roman" w:cs="Times New Roman"/>
        </w:rPr>
        <w:t xml:space="preserve"> Calibration plots comparing the Clinical</w:t>
      </w:r>
      <w:r w:rsidR="003F1A0F">
        <w:rPr>
          <w:rFonts w:ascii="Times New Roman" w:hAnsi="Times New Roman" w:cs="Times New Roman" w:hint="eastAsia"/>
        </w:rPr>
        <w:t>-</w:t>
      </w:r>
      <w:r>
        <w:rPr>
          <w:rFonts w:ascii="Times New Roman" w:hAnsi="Times New Roman" w:cs="Times New Roman"/>
        </w:rPr>
        <w:t>imaging, Proteomic, and Multimodal models in the training cohort (D), internal test cohort (E), and external validation cohort (F). The x-axis represents the model-predicted probability of the outcome, and the y-axis represents the observed event probability. The dashed diagonal line indicates perfect calibration, with predictions closer to this line reflecting better agreement between predicted and observed risks.</w:t>
      </w:r>
    </w:p>
    <w:p w14:paraId="118FEC11" w14:textId="77777777" w:rsidR="00C723C7" w:rsidRDefault="00000000">
      <w:pPr>
        <w:widowControl/>
        <w:jc w:val="left"/>
        <w:rPr>
          <w:rFonts w:ascii="Times New Roman" w:hAnsi="Times New Roman" w:cs="Times New Roman"/>
        </w:rPr>
      </w:pPr>
      <w:r>
        <w:rPr>
          <w:rFonts w:ascii="Times New Roman" w:hAnsi="Times New Roman" w:cs="Times New Roman"/>
        </w:rPr>
        <w:br w:type="page"/>
      </w:r>
    </w:p>
    <w:p w14:paraId="4E12E78F" w14:textId="77777777" w:rsidR="00C723C7" w:rsidRDefault="00000000">
      <w:pPr>
        <w:widowControl/>
        <w:snapToGrid w:val="0"/>
        <w:spacing w:line="480" w:lineRule="auto"/>
        <w:rPr>
          <w:rFonts w:ascii="Times New Roman" w:hAnsi="Times New Roman" w:cs="Times New Roman"/>
        </w:rPr>
      </w:pPr>
      <w:r>
        <w:rPr>
          <w:rFonts w:ascii="Times New Roman" w:hAnsi="Times New Roman" w:cs="Times New Roman"/>
          <w:noProof/>
        </w:rPr>
        <w:lastRenderedPageBreak/>
        <w:drawing>
          <wp:inline distT="0" distB="0" distL="0" distR="0" wp14:anchorId="4147B221" wp14:editId="76898256">
            <wp:extent cx="5274310" cy="5909310"/>
            <wp:effectExtent l="0" t="0" r="2540" b="0"/>
            <wp:docPr id="205416249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162494" name="图片 1"/>
                    <pic:cNvPicPr>
                      <a:picLocks noChangeAspect="1"/>
                    </pic:cNvPicPr>
                  </pic:nvPicPr>
                  <pic:blipFill>
                    <a:blip r:embed="rId9"/>
                    <a:stretch>
                      <a:fillRect/>
                    </a:stretch>
                  </pic:blipFill>
                  <pic:spPr>
                    <a:xfrm>
                      <a:off x="0" y="0"/>
                      <a:ext cx="5274310" cy="5909310"/>
                    </a:xfrm>
                    <a:prstGeom prst="rect">
                      <a:avLst/>
                    </a:prstGeom>
                  </pic:spPr>
                </pic:pic>
              </a:graphicData>
            </a:graphic>
          </wp:inline>
        </w:drawing>
      </w:r>
    </w:p>
    <w:p w14:paraId="60BE287E" w14:textId="23096368" w:rsidR="00C723C7" w:rsidRDefault="00000000">
      <w:pPr>
        <w:widowControl/>
        <w:snapToGrid w:val="0"/>
        <w:spacing w:line="440" w:lineRule="exact"/>
        <w:rPr>
          <w:rFonts w:ascii="Times New Roman" w:hAnsi="Times New Roman" w:cs="Times New Roman"/>
          <w:b/>
          <w:bCs/>
        </w:rPr>
      </w:pPr>
      <w:r>
        <w:rPr>
          <w:rFonts w:ascii="Times New Roman" w:hAnsi="Times New Roman" w:cs="Times New Roman" w:hint="eastAsia"/>
          <w:b/>
          <w:bCs/>
        </w:rPr>
        <w:t>Figure S</w:t>
      </w:r>
      <w:r w:rsidR="0076623E">
        <w:rPr>
          <w:rFonts w:ascii="Times New Roman" w:hAnsi="Times New Roman" w:cs="Times New Roman" w:hint="eastAsia"/>
          <w:b/>
          <w:bCs/>
        </w:rPr>
        <w:t>2</w:t>
      </w:r>
      <w:r>
        <w:rPr>
          <w:rFonts w:ascii="Times New Roman" w:hAnsi="Times New Roman" w:cs="Times New Roman" w:hint="eastAsia"/>
          <w:b/>
          <w:bCs/>
        </w:rPr>
        <w:t xml:space="preserve">. </w:t>
      </w:r>
      <w:r w:rsidRPr="00E230D1">
        <w:rPr>
          <w:rFonts w:ascii="Times New Roman" w:hAnsi="Times New Roman" w:cs="Times New Roman"/>
          <w:b/>
          <w:bCs/>
        </w:rPr>
        <w:t>Confusion matrices of the clinical, radiomics, deep-learning, and clinical-imaging models across cohorts.</w:t>
      </w:r>
      <w:r>
        <w:rPr>
          <w:rFonts w:ascii="Times New Roman" w:hAnsi="Times New Roman" w:cs="Times New Roman"/>
        </w:rPr>
        <w:t xml:space="preserve"> Confusion matrices show the classification performance of the clinical, radiomics, deep-learning, and clinical-imaging models for 30-day mortality in the training (n=1,715), internal-test (n=326), and external-validation (n=827) cohorts. Rows represent the observed outcome and columns represent the model-predicted outcome, with 0 indicating survival and 1 indicating death within 30 days. Values within each cell indicate the number of patients classified as true negative, false positive, false negative, or true positive.</w:t>
      </w:r>
    </w:p>
    <w:p w14:paraId="08F705BD" w14:textId="77777777" w:rsidR="00C723C7" w:rsidRDefault="00000000">
      <w:pPr>
        <w:widowControl/>
        <w:jc w:val="left"/>
        <w:rPr>
          <w:rFonts w:ascii="Times New Roman" w:hAnsi="Times New Roman" w:cs="Times New Roman"/>
          <w:b/>
          <w:bCs/>
        </w:rPr>
      </w:pPr>
      <w:r>
        <w:rPr>
          <w:rFonts w:ascii="Times New Roman" w:hAnsi="Times New Roman" w:cs="Times New Roman"/>
          <w:b/>
          <w:bCs/>
        </w:rPr>
        <w:br w:type="page"/>
      </w:r>
    </w:p>
    <w:p w14:paraId="0E9B4ADA" w14:textId="77777777" w:rsidR="00C723C7" w:rsidRDefault="00000000">
      <w:pPr>
        <w:widowControl/>
        <w:snapToGrid w:val="0"/>
        <w:spacing w:line="480" w:lineRule="auto"/>
        <w:rPr>
          <w:rFonts w:ascii="Times New Roman" w:hAnsi="Times New Roman" w:cs="Times New Roman"/>
          <w:b/>
          <w:bCs/>
        </w:rPr>
      </w:pPr>
      <w:r>
        <w:rPr>
          <w:rFonts w:ascii="Times New Roman" w:hAnsi="Times New Roman" w:cs="Times New Roman"/>
          <w:b/>
          <w:bCs/>
          <w:noProof/>
        </w:rPr>
        <w:lastRenderedPageBreak/>
        <w:drawing>
          <wp:inline distT="0" distB="0" distL="0" distR="0" wp14:anchorId="145A2218" wp14:editId="60DAA824">
            <wp:extent cx="5274310" cy="4499610"/>
            <wp:effectExtent l="0" t="0" r="2540" b="0"/>
            <wp:docPr id="289107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10722" name="图片 1"/>
                    <pic:cNvPicPr>
                      <a:picLocks noChangeAspect="1"/>
                    </pic:cNvPicPr>
                  </pic:nvPicPr>
                  <pic:blipFill>
                    <a:blip r:embed="rId10"/>
                    <a:stretch>
                      <a:fillRect/>
                    </a:stretch>
                  </pic:blipFill>
                  <pic:spPr>
                    <a:xfrm>
                      <a:off x="0" y="0"/>
                      <a:ext cx="5274310" cy="4499610"/>
                    </a:xfrm>
                    <a:prstGeom prst="rect">
                      <a:avLst/>
                    </a:prstGeom>
                  </pic:spPr>
                </pic:pic>
              </a:graphicData>
            </a:graphic>
          </wp:inline>
        </w:drawing>
      </w:r>
    </w:p>
    <w:p w14:paraId="0EB5E581" w14:textId="74FF31C4" w:rsidR="00C723C7" w:rsidRDefault="00000000">
      <w:pPr>
        <w:widowControl/>
        <w:snapToGrid w:val="0"/>
        <w:spacing w:line="440" w:lineRule="exact"/>
        <w:rPr>
          <w:rFonts w:hint="eastAsia"/>
        </w:rPr>
      </w:pPr>
      <w:r>
        <w:rPr>
          <w:rFonts w:ascii="Times New Roman" w:hAnsi="Times New Roman" w:cs="Times New Roman" w:hint="eastAsia"/>
          <w:b/>
          <w:bCs/>
        </w:rPr>
        <w:t>Figure S</w:t>
      </w:r>
      <w:r w:rsidR="0076623E">
        <w:rPr>
          <w:rFonts w:ascii="Times New Roman" w:hAnsi="Times New Roman" w:cs="Times New Roman" w:hint="eastAsia"/>
          <w:b/>
          <w:bCs/>
        </w:rPr>
        <w:t>3</w:t>
      </w:r>
      <w:r>
        <w:rPr>
          <w:rFonts w:ascii="Times New Roman" w:hAnsi="Times New Roman" w:cs="Times New Roman" w:hint="eastAsia"/>
          <w:b/>
          <w:bCs/>
        </w:rPr>
        <w:t xml:space="preserve">. </w:t>
      </w:r>
      <w:r>
        <w:rPr>
          <w:rFonts w:ascii="Times New Roman" w:hAnsi="Times New Roman" w:cs="Times New Roman"/>
          <w:b/>
          <w:bCs/>
        </w:rPr>
        <w:t>Confusion matrices of the clinical-imaging, proteomic, and multimodal models in the proteomics-matched cohorts.</w:t>
      </w:r>
      <w:r>
        <w:rPr>
          <w:rFonts w:ascii="Times New Roman" w:hAnsi="Times New Roman" w:cs="Times New Roman"/>
        </w:rPr>
        <w:t xml:space="preserve"> Confusion matrices show the classification performance of the clinical-imaging, proteomic, and multimodal models for 30-day mortality among patients with matched proteomic data in the training (n=554), internal-test (n=176), and external-validation (n=149) cohorts. </w:t>
      </w:r>
    </w:p>
    <w:p w14:paraId="55F37CFE" w14:textId="77777777" w:rsidR="00C723C7" w:rsidRDefault="00000000">
      <w:pPr>
        <w:rPr>
          <w:rFonts w:hint="eastAsia"/>
        </w:rPr>
      </w:pPr>
      <w:r>
        <w:rPr>
          <w:noProof/>
        </w:rPr>
        <w:lastRenderedPageBreak/>
        <w:drawing>
          <wp:inline distT="0" distB="0" distL="0" distR="0" wp14:anchorId="3F715A79" wp14:editId="7AA8B549">
            <wp:extent cx="5274310" cy="2816225"/>
            <wp:effectExtent l="0" t="0" r="2540" b="3175"/>
            <wp:docPr id="8859647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964722" name="图片 1"/>
                    <pic:cNvPicPr>
                      <a:picLocks noChangeAspect="1"/>
                    </pic:cNvPicPr>
                  </pic:nvPicPr>
                  <pic:blipFill>
                    <a:blip r:embed="rId11"/>
                    <a:stretch>
                      <a:fillRect/>
                    </a:stretch>
                  </pic:blipFill>
                  <pic:spPr>
                    <a:xfrm>
                      <a:off x="0" y="0"/>
                      <a:ext cx="5274310" cy="2816225"/>
                    </a:xfrm>
                    <a:prstGeom prst="rect">
                      <a:avLst/>
                    </a:prstGeom>
                  </pic:spPr>
                </pic:pic>
              </a:graphicData>
            </a:graphic>
          </wp:inline>
        </w:drawing>
      </w:r>
    </w:p>
    <w:p w14:paraId="08B71136" w14:textId="1E6E4973" w:rsidR="00C723C7" w:rsidRDefault="00000000">
      <w:pPr>
        <w:widowControl/>
        <w:spacing w:line="440" w:lineRule="exact"/>
        <w:rPr>
          <w:rFonts w:ascii="Times New Roman" w:hAnsi="Times New Roman" w:cs="Times New Roman"/>
        </w:rPr>
      </w:pPr>
      <w:r>
        <w:rPr>
          <w:rFonts w:ascii="Times New Roman" w:hAnsi="Times New Roman" w:cs="Times New Roman"/>
          <w:b/>
          <w:bCs/>
        </w:rPr>
        <w:t>Figure S</w:t>
      </w:r>
      <w:r w:rsidR="0076623E">
        <w:rPr>
          <w:rFonts w:ascii="Times New Roman" w:hAnsi="Times New Roman" w:cs="Times New Roman" w:hint="eastAsia"/>
          <w:b/>
          <w:bCs/>
        </w:rPr>
        <w:t>4</w:t>
      </w:r>
      <w:r>
        <w:rPr>
          <w:rFonts w:ascii="Times New Roman" w:hAnsi="Times New Roman" w:cs="Times New Roman"/>
          <w:b/>
          <w:bCs/>
        </w:rPr>
        <w:t>. Decision curve analysis of clinical, imaging, proteomic, and multimodal models across the training, internal test, and external validation cohorts.</w:t>
      </w:r>
      <w:r>
        <w:rPr>
          <w:rFonts w:ascii="Times New Roman" w:hAnsi="Times New Roman" w:cs="Times New Roman" w:hint="eastAsia"/>
        </w:rPr>
        <w:t xml:space="preserve"> </w:t>
      </w:r>
      <w:r w:rsidRPr="00E230D1">
        <w:rPr>
          <w:rFonts w:ascii="Times New Roman" w:hAnsi="Times New Roman" w:cs="Times New Roman"/>
          <w:b/>
          <w:bCs/>
        </w:rPr>
        <w:t xml:space="preserve">(A–C) </w:t>
      </w:r>
      <w:r>
        <w:rPr>
          <w:rFonts w:ascii="Times New Roman" w:hAnsi="Times New Roman" w:cs="Times New Roman"/>
        </w:rPr>
        <w:t xml:space="preserve">Decision curve analysis comparing the Clinical, Radiomics, Deep Learning, and Clinical-imaging models in the training cohort (A), internal test cohort (B), and external validation cohort (C). </w:t>
      </w:r>
      <w:r w:rsidRPr="00E230D1">
        <w:rPr>
          <w:rFonts w:ascii="Times New Roman" w:hAnsi="Times New Roman" w:cs="Times New Roman"/>
          <w:b/>
          <w:bCs/>
        </w:rPr>
        <w:t xml:space="preserve">(D–F) </w:t>
      </w:r>
      <w:r>
        <w:rPr>
          <w:rFonts w:ascii="Times New Roman" w:hAnsi="Times New Roman" w:cs="Times New Roman"/>
        </w:rPr>
        <w:t xml:space="preserve">Decision curve analysis comparing the </w:t>
      </w:r>
      <w:r w:rsidR="000B7CCE">
        <w:rPr>
          <w:rFonts w:ascii="Times New Roman" w:hAnsi="Times New Roman" w:cs="Times New Roman" w:hint="eastAsia"/>
        </w:rPr>
        <w:t>c</w:t>
      </w:r>
      <w:r>
        <w:rPr>
          <w:rFonts w:ascii="Times New Roman" w:hAnsi="Times New Roman" w:cs="Times New Roman"/>
        </w:rPr>
        <w:t>linical-imaging, Proteomic, and Multimodal models in the training cohort (D), internal test cohort (E), and external validation cohort (F). The x-axis represents the threshold probability, and the y-axis represents the net benefit. The horizontal line represents the strategy of treating no patients, whereas the diagonal reference line represents the strategy of treating all patients. A higher net benefit across a clinically relevant range of threshold probabilities indicates greater potential clinical utility.</w:t>
      </w:r>
    </w:p>
    <w:p w14:paraId="56F4C44C" w14:textId="77777777" w:rsidR="00C723C7" w:rsidRDefault="00000000">
      <w:pPr>
        <w:widowControl/>
        <w:jc w:val="left"/>
        <w:rPr>
          <w:rFonts w:hint="eastAsia"/>
        </w:rPr>
      </w:pPr>
      <w:r>
        <w:rPr>
          <w:rFonts w:hint="eastAsia"/>
        </w:rPr>
        <w:br w:type="page"/>
      </w:r>
      <w:r>
        <w:rPr>
          <w:noProof/>
        </w:rPr>
        <w:lastRenderedPageBreak/>
        <w:drawing>
          <wp:inline distT="0" distB="0" distL="0" distR="0" wp14:anchorId="353FAFDA" wp14:editId="6749FB43">
            <wp:extent cx="4924425" cy="4695825"/>
            <wp:effectExtent l="0" t="0" r="9525" b="9525"/>
            <wp:docPr id="134608220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082203" name="图片 1"/>
                    <pic:cNvPicPr>
                      <a:picLocks noChangeAspect="1"/>
                    </pic:cNvPicPr>
                  </pic:nvPicPr>
                  <pic:blipFill>
                    <a:blip r:embed="rId12"/>
                    <a:stretch>
                      <a:fillRect/>
                    </a:stretch>
                  </pic:blipFill>
                  <pic:spPr>
                    <a:xfrm>
                      <a:off x="0" y="0"/>
                      <a:ext cx="4924461" cy="4695859"/>
                    </a:xfrm>
                    <a:prstGeom prst="rect">
                      <a:avLst/>
                    </a:prstGeom>
                  </pic:spPr>
                </pic:pic>
              </a:graphicData>
            </a:graphic>
          </wp:inline>
        </w:drawing>
      </w:r>
    </w:p>
    <w:p w14:paraId="46CD8B24" w14:textId="2ED40B10" w:rsidR="00C723C7" w:rsidRDefault="00000000">
      <w:pPr>
        <w:widowControl/>
        <w:spacing w:line="440" w:lineRule="exact"/>
        <w:rPr>
          <w:rFonts w:ascii="Times New Roman" w:hAnsi="Times New Roman" w:cs="Times New Roman"/>
        </w:rPr>
      </w:pPr>
      <w:r>
        <w:rPr>
          <w:rFonts w:ascii="Times New Roman" w:hAnsi="Times New Roman" w:cs="Times New Roman"/>
          <w:b/>
          <w:bCs/>
        </w:rPr>
        <w:t>Figure S</w:t>
      </w:r>
      <w:r w:rsidR="0076623E">
        <w:rPr>
          <w:rFonts w:ascii="Times New Roman" w:hAnsi="Times New Roman" w:cs="Times New Roman" w:hint="eastAsia"/>
          <w:b/>
          <w:bCs/>
        </w:rPr>
        <w:t>5</w:t>
      </w:r>
      <w:r>
        <w:rPr>
          <w:rFonts w:ascii="Times New Roman" w:hAnsi="Times New Roman" w:cs="Times New Roman"/>
          <w:b/>
          <w:bCs/>
        </w:rPr>
        <w:t xml:space="preserve">. ROC curves comparing the discrimination of the clinical-imaging, ChatGPT, and physicians in the internal test cohort. </w:t>
      </w:r>
      <w:r>
        <w:rPr>
          <w:rFonts w:ascii="Times New Roman" w:hAnsi="Times New Roman" w:cs="Times New Roman"/>
        </w:rPr>
        <w:t>Physician performance based on continuous probability estimates and predefined Likert-score thresholds is also shown. Likert operating points are represented by the corresponding symbols. AUCs with 95% confidence intervals are reported.</w:t>
      </w:r>
    </w:p>
    <w:p w14:paraId="42532694" w14:textId="77777777" w:rsidR="00C723C7" w:rsidRDefault="00000000">
      <w:pPr>
        <w:widowControl/>
        <w:jc w:val="left"/>
        <w:rPr>
          <w:rFonts w:hint="eastAsia"/>
        </w:rPr>
      </w:pPr>
      <w:r>
        <w:rPr>
          <w:rFonts w:hint="eastAsia"/>
        </w:rPr>
        <w:br w:type="page"/>
      </w:r>
    </w:p>
    <w:p w14:paraId="6968C3EA" w14:textId="77777777" w:rsidR="00C723C7" w:rsidRDefault="00000000">
      <w:pPr>
        <w:ind w:firstLineChars="200" w:firstLine="420"/>
        <w:rPr>
          <w:rFonts w:hint="eastAsia"/>
        </w:rPr>
      </w:pPr>
      <w:r>
        <w:rPr>
          <w:noProof/>
        </w:rPr>
        <w:lastRenderedPageBreak/>
        <w:drawing>
          <wp:inline distT="0" distB="0" distL="0" distR="0" wp14:anchorId="1C39149B" wp14:editId="54D83AED">
            <wp:extent cx="5274310" cy="2844165"/>
            <wp:effectExtent l="0" t="0" r="2540" b="0"/>
            <wp:docPr id="1909873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87313" name="图片 1"/>
                    <pic:cNvPicPr>
                      <a:picLocks noChangeAspect="1"/>
                    </pic:cNvPicPr>
                  </pic:nvPicPr>
                  <pic:blipFill>
                    <a:blip r:embed="rId13"/>
                    <a:stretch>
                      <a:fillRect/>
                    </a:stretch>
                  </pic:blipFill>
                  <pic:spPr>
                    <a:xfrm>
                      <a:off x="0" y="0"/>
                      <a:ext cx="5274310" cy="2844165"/>
                    </a:xfrm>
                    <a:prstGeom prst="rect">
                      <a:avLst/>
                    </a:prstGeom>
                  </pic:spPr>
                </pic:pic>
              </a:graphicData>
            </a:graphic>
          </wp:inline>
        </w:drawing>
      </w:r>
    </w:p>
    <w:p w14:paraId="11D9F929" w14:textId="77777777" w:rsidR="00C723C7" w:rsidRDefault="00000000">
      <w:pPr>
        <w:ind w:firstLineChars="200" w:firstLine="420"/>
        <w:rPr>
          <w:rFonts w:hint="eastAsia"/>
        </w:rPr>
      </w:pPr>
      <w:r>
        <w:rPr>
          <w:noProof/>
        </w:rPr>
        <w:drawing>
          <wp:inline distT="0" distB="0" distL="0" distR="0" wp14:anchorId="06596DEB" wp14:editId="2FDA7F5A">
            <wp:extent cx="5274310" cy="2846705"/>
            <wp:effectExtent l="0" t="0" r="2540" b="0"/>
            <wp:docPr id="62939630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396300" name="图片 1"/>
                    <pic:cNvPicPr>
                      <a:picLocks noChangeAspect="1"/>
                    </pic:cNvPicPr>
                  </pic:nvPicPr>
                  <pic:blipFill>
                    <a:blip r:embed="rId14"/>
                    <a:stretch>
                      <a:fillRect/>
                    </a:stretch>
                  </pic:blipFill>
                  <pic:spPr>
                    <a:xfrm>
                      <a:off x="0" y="0"/>
                      <a:ext cx="5274310" cy="2846705"/>
                    </a:xfrm>
                    <a:prstGeom prst="rect">
                      <a:avLst/>
                    </a:prstGeom>
                  </pic:spPr>
                </pic:pic>
              </a:graphicData>
            </a:graphic>
          </wp:inline>
        </w:drawing>
      </w:r>
    </w:p>
    <w:p w14:paraId="1D8DB8CD" w14:textId="77777777" w:rsidR="00C723C7" w:rsidRDefault="00000000">
      <w:pPr>
        <w:ind w:firstLineChars="200" w:firstLine="420"/>
        <w:rPr>
          <w:rFonts w:hint="eastAsia"/>
        </w:rPr>
      </w:pPr>
      <w:r>
        <w:rPr>
          <w:noProof/>
        </w:rPr>
        <w:drawing>
          <wp:inline distT="0" distB="0" distL="0" distR="0" wp14:anchorId="6C547543" wp14:editId="7F2375CF">
            <wp:extent cx="5274310" cy="1398905"/>
            <wp:effectExtent l="0" t="0" r="2540" b="0"/>
            <wp:docPr id="161016230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162301" name="图片 1"/>
                    <pic:cNvPicPr>
                      <a:picLocks noChangeAspect="1"/>
                    </pic:cNvPicPr>
                  </pic:nvPicPr>
                  <pic:blipFill>
                    <a:blip r:embed="rId15"/>
                    <a:stretch>
                      <a:fillRect/>
                    </a:stretch>
                  </pic:blipFill>
                  <pic:spPr>
                    <a:xfrm>
                      <a:off x="0" y="0"/>
                      <a:ext cx="5274310" cy="1398905"/>
                    </a:xfrm>
                    <a:prstGeom prst="rect">
                      <a:avLst/>
                    </a:prstGeom>
                  </pic:spPr>
                </pic:pic>
              </a:graphicData>
            </a:graphic>
          </wp:inline>
        </w:drawing>
      </w:r>
    </w:p>
    <w:p w14:paraId="7BE85E69" w14:textId="36105317" w:rsidR="00C723C7" w:rsidRDefault="00000000">
      <w:pPr>
        <w:spacing w:line="440" w:lineRule="exact"/>
        <w:rPr>
          <w:rFonts w:ascii="Times New Roman" w:hAnsi="Times New Roman" w:cs="Times New Roman"/>
        </w:rPr>
      </w:pPr>
      <w:r>
        <w:rPr>
          <w:rFonts w:ascii="Times New Roman" w:hAnsi="Times New Roman" w:cs="Times New Roman"/>
          <w:b/>
          <w:bCs/>
        </w:rPr>
        <w:t>Figure S</w:t>
      </w:r>
      <w:r w:rsidR="0076623E">
        <w:rPr>
          <w:rFonts w:ascii="Times New Roman" w:hAnsi="Times New Roman" w:cs="Times New Roman" w:hint="eastAsia"/>
          <w:b/>
          <w:bCs/>
        </w:rPr>
        <w:t>6</w:t>
      </w:r>
      <w:r>
        <w:rPr>
          <w:rFonts w:ascii="Times New Roman" w:hAnsi="Times New Roman" w:cs="Times New Roman"/>
          <w:b/>
          <w:bCs/>
        </w:rPr>
        <w:t>. Comparison of prognostic performance between the clinical-imaging model, ChatGPT, and individual readers in the reader study.</w:t>
      </w:r>
      <w:r>
        <w:rPr>
          <w:rFonts w:ascii="Times New Roman" w:hAnsi="Times New Roman" w:cs="Times New Roman"/>
        </w:rPr>
        <w:t xml:space="preserve"> Receiver operating characteristic (ROC) curves compare the </w:t>
      </w:r>
      <w:r>
        <w:rPr>
          <w:rFonts w:ascii="Times New Roman" w:hAnsi="Times New Roman" w:cs="Times New Roman" w:hint="eastAsia"/>
        </w:rPr>
        <w:t>prognostic</w:t>
      </w:r>
      <w:r>
        <w:rPr>
          <w:rFonts w:ascii="Times New Roman" w:hAnsi="Times New Roman" w:cs="Times New Roman"/>
        </w:rPr>
        <w:t xml:space="preserve"> performance of the AI model, ChatGPT, and individual readers (R1–R20). Each panel corresponds to one reader and shows the ROC curves for the clinical-imaging </w:t>
      </w:r>
      <w:r>
        <w:rPr>
          <w:rFonts w:ascii="Times New Roman" w:hAnsi="Times New Roman" w:cs="Times New Roman"/>
        </w:rPr>
        <w:lastRenderedPageBreak/>
        <w:t xml:space="preserve">model, ChatGPT, and that reader. The area under the ROC curve (AUC) is reported for each method. Pairwise comparisons of AUCs were performed using DeLong’s test, with corresponding </w:t>
      </w:r>
      <w:r>
        <w:rPr>
          <w:rFonts w:ascii="Times New Roman" w:hAnsi="Times New Roman" w:cs="Times New Roman"/>
          <w:i/>
          <w:iCs/>
        </w:rPr>
        <w:t>P</w:t>
      </w:r>
      <w:r>
        <w:rPr>
          <w:rFonts w:ascii="Times New Roman" w:hAnsi="Times New Roman" w:cs="Times New Roman"/>
        </w:rPr>
        <w:t xml:space="preserve"> values shown within each panel. The dashed diagonal line represents performance expected by chance.</w:t>
      </w:r>
      <w:r>
        <w:t xml:space="preserve"> </w:t>
      </w:r>
      <w:r>
        <w:rPr>
          <w:rFonts w:ascii="Times New Roman" w:hAnsi="Times New Roman" w:cs="Times New Roman"/>
        </w:rPr>
        <w:t>Individual-reader comparisons are shown descriptively; the prespecified primary model-versus-reader comparison was performed using the MRMC framework.</w:t>
      </w:r>
    </w:p>
    <w:p w14:paraId="7963498E" w14:textId="77777777" w:rsidR="00C723C7" w:rsidRDefault="00000000">
      <w:pPr>
        <w:widowControl/>
        <w:jc w:val="left"/>
        <w:rPr>
          <w:rFonts w:ascii="Times New Roman" w:hAnsi="Times New Roman" w:cs="Times New Roman"/>
        </w:rPr>
      </w:pPr>
      <w:r>
        <w:rPr>
          <w:rFonts w:ascii="Times New Roman" w:hAnsi="Times New Roman" w:cs="Times New Roman"/>
          <w:b/>
          <w:bCs/>
        </w:rPr>
        <w:br w:type="page"/>
      </w:r>
      <w:r>
        <w:rPr>
          <w:rFonts w:ascii="Times New Roman" w:hAnsi="Times New Roman" w:cs="Times New Roman"/>
          <w:noProof/>
        </w:rPr>
        <w:lastRenderedPageBreak/>
        <w:drawing>
          <wp:inline distT="0" distB="0" distL="0" distR="0" wp14:anchorId="0E6B8AC0" wp14:editId="4EB6A7AA">
            <wp:extent cx="5274310" cy="2493645"/>
            <wp:effectExtent l="0" t="0" r="2540" b="1905"/>
            <wp:docPr id="2087827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82713" name="图片 1"/>
                    <pic:cNvPicPr>
                      <a:picLocks noChangeAspect="1"/>
                    </pic:cNvPicPr>
                  </pic:nvPicPr>
                  <pic:blipFill>
                    <a:blip r:embed="rId16"/>
                    <a:stretch>
                      <a:fillRect/>
                    </a:stretch>
                  </pic:blipFill>
                  <pic:spPr>
                    <a:xfrm>
                      <a:off x="0" y="0"/>
                      <a:ext cx="5274310" cy="2493645"/>
                    </a:xfrm>
                    <a:prstGeom prst="rect">
                      <a:avLst/>
                    </a:prstGeom>
                  </pic:spPr>
                </pic:pic>
              </a:graphicData>
            </a:graphic>
          </wp:inline>
        </w:drawing>
      </w:r>
    </w:p>
    <w:p w14:paraId="7109D241" w14:textId="29C9B692" w:rsidR="00C723C7" w:rsidRDefault="00000000">
      <w:pPr>
        <w:widowControl/>
        <w:spacing w:line="440" w:lineRule="exact"/>
        <w:rPr>
          <w:rFonts w:ascii="Times New Roman" w:hAnsi="Times New Roman" w:cs="Times New Roman"/>
        </w:rPr>
      </w:pPr>
      <w:r>
        <w:rPr>
          <w:rFonts w:ascii="Times New Roman" w:hAnsi="Times New Roman" w:cs="Times New Roman" w:hint="eastAsia"/>
          <w:b/>
          <w:bCs/>
        </w:rPr>
        <w:t>Figure S</w:t>
      </w:r>
      <w:r w:rsidR="0076623E">
        <w:rPr>
          <w:rFonts w:ascii="Times New Roman" w:hAnsi="Times New Roman" w:cs="Times New Roman" w:hint="eastAsia"/>
          <w:b/>
          <w:bCs/>
        </w:rPr>
        <w:t>7</w:t>
      </w:r>
      <w:r>
        <w:rPr>
          <w:rFonts w:ascii="Times New Roman" w:hAnsi="Times New Roman" w:cs="Times New Roman" w:hint="eastAsia"/>
          <w:b/>
          <w:bCs/>
        </w:rPr>
        <w:t xml:space="preserve">. </w:t>
      </w:r>
      <w:r>
        <w:rPr>
          <w:rFonts w:ascii="Times New Roman" w:hAnsi="Times New Roman" w:cs="Times New Roman"/>
          <w:b/>
          <w:bCs/>
        </w:rPr>
        <w:t xml:space="preserve">Continuous interaction between model-predicted mortality risk and glucocorticoid-associated </w:t>
      </w:r>
      <w:r>
        <w:rPr>
          <w:rFonts w:ascii="Times New Roman" w:hAnsi="Times New Roman" w:cs="Times New Roman" w:hint="eastAsia"/>
          <w:b/>
          <w:bCs/>
        </w:rPr>
        <w:t>3</w:t>
      </w:r>
      <w:r>
        <w:rPr>
          <w:rFonts w:ascii="Times New Roman" w:hAnsi="Times New Roman" w:cs="Times New Roman"/>
          <w:b/>
          <w:bCs/>
        </w:rPr>
        <w:t>0-day mortality.</w:t>
      </w:r>
      <w:r>
        <w:rPr>
          <w:rFonts w:ascii="Times New Roman" w:hAnsi="Times New Roman" w:cs="Times New Roman" w:hint="eastAsia"/>
        </w:rPr>
        <w:t xml:space="preserve"> </w:t>
      </w:r>
      <w:r>
        <w:rPr>
          <w:rFonts w:ascii="Times New Roman" w:hAnsi="Times New Roman" w:cs="Times New Roman"/>
        </w:rPr>
        <w:t xml:space="preserve">(A) Clinical-imaging model. (B) Multimodal model. Solid black lines represent the estimated hazard ratio (HR) for glucocorticoid initiation across the continuous distribution of predicted </w:t>
      </w:r>
      <w:r>
        <w:rPr>
          <w:rFonts w:ascii="Times New Roman" w:hAnsi="Times New Roman" w:cs="Times New Roman" w:hint="eastAsia"/>
        </w:rPr>
        <w:t>3</w:t>
      </w:r>
      <w:r>
        <w:rPr>
          <w:rFonts w:ascii="Times New Roman" w:hAnsi="Times New Roman" w:cs="Times New Roman"/>
        </w:rPr>
        <w:t xml:space="preserve">0-day mortality risk, with shaded areas indicating 95% confidence intervals. The horizontal dashed line denotes HR = 1. Red vertical dashed lines indicate the thresholds used to define low-, intermediate-, and high-risk groups. Interaction HRs per 10-percentage-point increase in predicted risk and corresponding </w:t>
      </w:r>
      <w:r>
        <w:rPr>
          <w:rFonts w:ascii="Times New Roman" w:hAnsi="Times New Roman" w:cs="Times New Roman"/>
          <w:i/>
          <w:iCs/>
        </w:rPr>
        <w:t>P</w:t>
      </w:r>
      <w:r>
        <w:rPr>
          <w:rFonts w:ascii="Times New Roman" w:hAnsi="Times New Roman" w:cs="Times New Roman"/>
        </w:rPr>
        <w:t xml:space="preserve"> values for interaction are shown in each panel.</w:t>
      </w:r>
    </w:p>
    <w:p w14:paraId="78131F3B" w14:textId="77777777" w:rsidR="00C723C7" w:rsidRDefault="00C723C7">
      <w:pPr>
        <w:widowControl/>
        <w:spacing w:line="440" w:lineRule="exact"/>
        <w:jc w:val="left"/>
        <w:rPr>
          <w:rFonts w:ascii="Times New Roman" w:hAnsi="Times New Roman" w:cs="Times New Roman"/>
          <w:b/>
          <w:bCs/>
        </w:rPr>
      </w:pPr>
    </w:p>
    <w:p w14:paraId="6C3A4061" w14:textId="77777777" w:rsidR="00C723C7" w:rsidRDefault="00000000">
      <w:pPr>
        <w:rPr>
          <w:rFonts w:hint="eastAsia"/>
        </w:rPr>
      </w:pPr>
      <w:r>
        <w:rPr>
          <w:noProof/>
        </w:rPr>
        <w:lastRenderedPageBreak/>
        <w:drawing>
          <wp:inline distT="0" distB="0" distL="0" distR="0" wp14:anchorId="504AFC46" wp14:editId="67BCE943">
            <wp:extent cx="5274310" cy="5599430"/>
            <wp:effectExtent l="0" t="0" r="2540" b="1270"/>
            <wp:docPr id="6124435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443522" name="图片 1"/>
                    <pic:cNvPicPr>
                      <a:picLocks noChangeAspect="1"/>
                    </pic:cNvPicPr>
                  </pic:nvPicPr>
                  <pic:blipFill>
                    <a:blip r:embed="rId17"/>
                    <a:stretch>
                      <a:fillRect/>
                    </a:stretch>
                  </pic:blipFill>
                  <pic:spPr>
                    <a:xfrm>
                      <a:off x="0" y="0"/>
                      <a:ext cx="5274310" cy="5599430"/>
                    </a:xfrm>
                    <a:prstGeom prst="rect">
                      <a:avLst/>
                    </a:prstGeom>
                  </pic:spPr>
                </pic:pic>
              </a:graphicData>
            </a:graphic>
          </wp:inline>
        </w:drawing>
      </w:r>
    </w:p>
    <w:p w14:paraId="49B21059" w14:textId="32C4ED36" w:rsidR="00C723C7" w:rsidRDefault="00000000" w:rsidP="00D7197C">
      <w:pPr>
        <w:widowControl/>
        <w:spacing w:line="480" w:lineRule="auto"/>
        <w:rPr>
          <w:rFonts w:hint="eastAsia"/>
        </w:rPr>
      </w:pPr>
      <w:r>
        <w:rPr>
          <w:rFonts w:ascii="Times New Roman" w:hAnsi="Times New Roman" w:cs="Times New Roman"/>
          <w:b/>
          <w:bCs/>
        </w:rPr>
        <w:t>Figure S</w:t>
      </w:r>
      <w:r w:rsidR="0076623E">
        <w:rPr>
          <w:rFonts w:ascii="Times New Roman" w:hAnsi="Times New Roman" w:cs="Times New Roman" w:hint="eastAsia"/>
          <w:b/>
          <w:bCs/>
        </w:rPr>
        <w:t>8</w:t>
      </w:r>
      <w:r>
        <w:rPr>
          <w:rFonts w:ascii="Times New Roman" w:hAnsi="Times New Roman" w:cs="Times New Roman" w:hint="eastAsia"/>
          <w:b/>
          <w:bCs/>
        </w:rPr>
        <w:t xml:space="preserve">. </w:t>
      </w:r>
      <w:r>
        <w:rPr>
          <w:rFonts w:ascii="Times New Roman" w:hAnsi="Times New Roman" w:cs="Times New Roman"/>
          <w:b/>
          <w:bCs/>
        </w:rPr>
        <w:t xml:space="preserve">Canonical marker expression supporting major cell-type annotation in BALF scRNA-seq. </w:t>
      </w:r>
      <w:r>
        <w:rPr>
          <w:rFonts w:ascii="Times New Roman" w:hAnsi="Times New Roman" w:cs="Times New Roman"/>
        </w:rPr>
        <w:t>Feature plots display the expression of representative canonical marker genes used to annotate major immune and epithelial cell populations in BALF. Marker genes included S100A8/FCGR3B for neutrophils, C1QA/C1QB for macrophages, IL7R/LTB for CD4⁺ T cells, CD8A/CD8B for CD8⁺ T cells, NKG7/GNLY for NK cells, CD1C/CLEC10A/FCER1A/HLA-DRA for dendritic cells, EPCAM/KRT19 for epithelial cells, MKI67/TOP2A for cycling cells, and MZB1/JCHAIN for plasma cells. Color intensity indicates normalized gene expression.</w:t>
      </w:r>
      <w:r>
        <w:rPr>
          <w:rFonts w:hint="eastAsia"/>
        </w:rPr>
        <w:br w:type="page"/>
      </w:r>
      <w:r>
        <w:rPr>
          <w:noProof/>
        </w:rPr>
        <w:lastRenderedPageBreak/>
        <w:drawing>
          <wp:inline distT="0" distB="0" distL="0" distR="0" wp14:anchorId="554D9564" wp14:editId="1C69064E">
            <wp:extent cx="5274310" cy="1729105"/>
            <wp:effectExtent l="0" t="0" r="2540" b="4445"/>
            <wp:docPr id="142481737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817376" name="图片 1"/>
                    <pic:cNvPicPr>
                      <a:picLocks noChangeAspect="1"/>
                    </pic:cNvPicPr>
                  </pic:nvPicPr>
                  <pic:blipFill>
                    <a:blip r:embed="rId18"/>
                    <a:stretch>
                      <a:fillRect/>
                    </a:stretch>
                  </pic:blipFill>
                  <pic:spPr>
                    <a:xfrm>
                      <a:off x="0" y="0"/>
                      <a:ext cx="5274310" cy="1729105"/>
                    </a:xfrm>
                    <a:prstGeom prst="rect">
                      <a:avLst/>
                    </a:prstGeom>
                  </pic:spPr>
                </pic:pic>
              </a:graphicData>
            </a:graphic>
          </wp:inline>
        </w:drawing>
      </w:r>
    </w:p>
    <w:p w14:paraId="41C20426" w14:textId="1E1FF2CF" w:rsidR="00C723C7" w:rsidRDefault="00000000" w:rsidP="00C76210">
      <w:pPr>
        <w:widowControl/>
        <w:spacing w:line="440" w:lineRule="exact"/>
        <w:rPr>
          <w:rFonts w:ascii="Times New Roman" w:hAnsi="Times New Roman" w:cs="Times New Roman"/>
        </w:rPr>
      </w:pPr>
      <w:r>
        <w:rPr>
          <w:rFonts w:ascii="Times New Roman" w:hAnsi="Times New Roman" w:cs="Times New Roman"/>
          <w:b/>
          <w:bCs/>
        </w:rPr>
        <w:t>Figure S</w:t>
      </w:r>
      <w:r w:rsidR="0076623E">
        <w:rPr>
          <w:rFonts w:ascii="Times New Roman" w:hAnsi="Times New Roman" w:cs="Times New Roman" w:hint="eastAsia"/>
          <w:b/>
          <w:bCs/>
        </w:rPr>
        <w:t>9</w:t>
      </w:r>
      <w:r>
        <w:rPr>
          <w:rFonts w:ascii="Times New Roman" w:hAnsi="Times New Roman" w:cs="Times New Roman"/>
          <w:b/>
          <w:bCs/>
        </w:rPr>
        <w:t>. Gene set enrichment analysis of epithelial cells and macrophages across risk groups.</w:t>
      </w:r>
      <w:r>
        <w:rPr>
          <w:rFonts w:ascii="Times New Roman" w:hAnsi="Times New Roman" w:cs="Times New Roman"/>
        </w:rPr>
        <w:t xml:space="preserve"> Gene set enrichment analysis (GSEA) was performed to identify differentially enriched KEGG pathways between the high-risk and low-risk groups within major BALF cell populations. (A) Enriched pathways in epithelial cells. (B) Enriched pathways in macrophages. Bars represent the normalized enrichment score (NES), with positive NES values indicating pathway enrichment in the high-risk group and negative values indicating enrichment in the low-risk group. Bar color represents statistical significance based on −log10</w:t>
      </w:r>
      <w:r>
        <w:rPr>
          <w:rFonts w:ascii="Times New Roman" w:hAnsi="Times New Roman" w:cs="Times New Roman" w:hint="eastAsia"/>
        </w:rPr>
        <w:t xml:space="preserve"> </w:t>
      </w:r>
      <w:r>
        <w:rPr>
          <w:rFonts w:ascii="Times New Roman" w:hAnsi="Times New Roman" w:cs="Times New Roman"/>
        </w:rPr>
        <w:t>(</w:t>
      </w:r>
      <w:r>
        <w:rPr>
          <w:rFonts w:ascii="Times New Roman" w:hAnsi="Times New Roman" w:cs="Times New Roman" w:hint="eastAsia"/>
        </w:rPr>
        <w:t xml:space="preserve">adjusted </w:t>
      </w:r>
      <w:r>
        <w:rPr>
          <w:rFonts w:ascii="Times New Roman" w:hAnsi="Times New Roman" w:cs="Times New Roman"/>
          <w:i/>
          <w:iCs/>
        </w:rPr>
        <w:t>P</w:t>
      </w:r>
      <w:r>
        <w:rPr>
          <w:rFonts w:ascii="Times New Roman" w:hAnsi="Times New Roman" w:cs="Times New Roman"/>
        </w:rPr>
        <w:t xml:space="preserve"> value), with greater color intensity indicating stronger significance.</w:t>
      </w:r>
    </w:p>
    <w:p w14:paraId="20F46650" w14:textId="77777777" w:rsidR="000E615E" w:rsidRDefault="00000000" w:rsidP="000E615E">
      <w:pPr>
        <w:widowControl/>
        <w:jc w:val="left"/>
        <w:rPr>
          <w:rFonts w:hint="eastAsia"/>
        </w:rPr>
      </w:pPr>
      <w:r>
        <w:rPr>
          <w:rFonts w:ascii="Times New Roman" w:hAnsi="Times New Roman" w:cs="Times New Roman"/>
        </w:rPr>
        <w:br w:type="page"/>
      </w:r>
      <w:r w:rsidR="000E615E">
        <w:rPr>
          <w:noProof/>
        </w:rPr>
        <w:lastRenderedPageBreak/>
        <w:drawing>
          <wp:inline distT="0" distB="0" distL="0" distR="0" wp14:anchorId="409EF8F1" wp14:editId="2DC11D67">
            <wp:extent cx="5274310" cy="1898015"/>
            <wp:effectExtent l="0" t="0" r="2540" b="698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9"/>
                    <a:stretch>
                      <a:fillRect/>
                    </a:stretch>
                  </pic:blipFill>
                  <pic:spPr>
                    <a:xfrm>
                      <a:off x="0" y="0"/>
                      <a:ext cx="5274310" cy="1898015"/>
                    </a:xfrm>
                    <a:prstGeom prst="rect">
                      <a:avLst/>
                    </a:prstGeom>
                  </pic:spPr>
                </pic:pic>
              </a:graphicData>
            </a:graphic>
          </wp:inline>
        </w:drawing>
      </w:r>
    </w:p>
    <w:p w14:paraId="5B05BBFD" w14:textId="4AB2C0DF" w:rsidR="000E615E" w:rsidRDefault="000E615E" w:rsidP="000E615E">
      <w:pPr>
        <w:widowControl/>
        <w:spacing w:line="440" w:lineRule="exact"/>
        <w:rPr>
          <w:rFonts w:ascii="Times New Roman" w:hAnsi="Times New Roman" w:cs="Times New Roman"/>
        </w:rPr>
      </w:pPr>
      <w:r>
        <w:rPr>
          <w:rFonts w:ascii="Times New Roman" w:hAnsi="Times New Roman" w:cs="Times New Roman"/>
          <w:b/>
          <w:bCs/>
        </w:rPr>
        <w:t>Figure S1</w:t>
      </w:r>
      <w:r w:rsidR="0076623E">
        <w:rPr>
          <w:rFonts w:ascii="Times New Roman" w:hAnsi="Times New Roman" w:cs="Times New Roman" w:hint="eastAsia"/>
          <w:b/>
          <w:bCs/>
        </w:rPr>
        <w:t>0</w:t>
      </w:r>
      <w:r>
        <w:rPr>
          <w:rFonts w:ascii="Times New Roman" w:hAnsi="Times New Roman" w:cs="Times New Roman"/>
          <w:b/>
          <w:bCs/>
        </w:rPr>
        <w:t>. Comparison of candidate machine-learning algorithms for the clinical-imaging model.</w:t>
      </w:r>
      <w:r>
        <w:rPr>
          <w:rFonts w:ascii="Times New Roman" w:hAnsi="Times New Roman" w:cs="Times New Roman" w:hint="eastAsia"/>
        </w:rPr>
        <w:t xml:space="preserve"> </w:t>
      </w:r>
      <w:r>
        <w:rPr>
          <w:rFonts w:ascii="Times New Roman" w:hAnsi="Times New Roman" w:cs="Times New Roman"/>
        </w:rPr>
        <w:t>Receiver operating characteristic (ROC) curves show the discriminative performance of five candidate algorithms, including decision tree, random forest, stochastic gradient descent (SGD), support vector machine (SVM), and logistic regression, in the training cohort (A), internal test cohort (B), and external validation cohort (C).</w:t>
      </w:r>
    </w:p>
    <w:p w14:paraId="2C841F83" w14:textId="0609CA35" w:rsidR="00C723C7" w:rsidRPr="000E615E" w:rsidRDefault="00C723C7">
      <w:pPr>
        <w:widowControl/>
        <w:jc w:val="left"/>
        <w:rPr>
          <w:rFonts w:ascii="Times New Roman" w:hAnsi="Times New Roman" w:cs="Times New Roman"/>
          <w:b/>
          <w:bCs/>
        </w:rPr>
      </w:pPr>
    </w:p>
    <w:p w14:paraId="385F94BA" w14:textId="77777777" w:rsidR="001E1F5E" w:rsidRDefault="001E1F5E">
      <w:pPr>
        <w:widowControl/>
        <w:jc w:val="left"/>
        <w:rPr>
          <w:rFonts w:ascii="Times New Roman" w:hAnsi="Times New Roman" w:cs="Times New Roman"/>
          <w:b/>
          <w:bCs/>
        </w:rPr>
      </w:pPr>
      <w:r>
        <w:rPr>
          <w:rFonts w:ascii="Times New Roman" w:hAnsi="Times New Roman" w:cs="Times New Roman"/>
          <w:b/>
          <w:bCs/>
        </w:rPr>
        <w:br w:type="page"/>
      </w:r>
    </w:p>
    <w:p w14:paraId="053AF298" w14:textId="1563FFF8" w:rsidR="00230863" w:rsidRDefault="00230863" w:rsidP="00230863">
      <w:pPr>
        <w:widowControl/>
        <w:jc w:val="left"/>
        <w:rPr>
          <w:rFonts w:ascii="Times New Roman" w:hAnsi="Times New Roman" w:cs="Times New Roman"/>
          <w:b/>
          <w:bCs/>
        </w:rPr>
      </w:pPr>
      <w:r>
        <w:rPr>
          <w:rFonts w:ascii="Times New Roman" w:hAnsi="Times New Roman" w:cs="Times New Roman"/>
          <w:b/>
          <w:bCs/>
        </w:rPr>
        <w:lastRenderedPageBreak/>
        <w:t>Table S</w:t>
      </w:r>
      <w:r w:rsidR="00ED3BE8">
        <w:rPr>
          <w:rFonts w:ascii="Times New Roman" w:hAnsi="Times New Roman" w:cs="Times New Roman" w:hint="eastAsia"/>
          <w:b/>
          <w:bCs/>
        </w:rPr>
        <w:t>1</w:t>
      </w:r>
      <w:r>
        <w:rPr>
          <w:rFonts w:ascii="Times New Roman" w:hAnsi="Times New Roman" w:cs="Times New Roman"/>
          <w:b/>
          <w:bCs/>
        </w:rPr>
        <w:t>. Model performance across cohorts</w:t>
      </w:r>
      <w:r>
        <w:rPr>
          <w:rFonts w:ascii="Times New Roman" w:hAnsi="Times New Roman" w:cs="Times New Roman" w:hint="eastAsia"/>
          <w:b/>
          <w:bCs/>
        </w:rPr>
        <w:t>.</w:t>
      </w:r>
    </w:p>
    <w:tbl>
      <w:tblPr>
        <w:tblW w:w="8789" w:type="dxa"/>
        <w:tblLook w:val="04A0" w:firstRow="1" w:lastRow="0" w:firstColumn="1" w:lastColumn="0" w:noHBand="0" w:noVBand="1"/>
      </w:tblPr>
      <w:tblGrid>
        <w:gridCol w:w="1500"/>
        <w:gridCol w:w="2020"/>
        <w:gridCol w:w="1020"/>
        <w:gridCol w:w="1020"/>
        <w:gridCol w:w="1020"/>
        <w:gridCol w:w="1020"/>
        <w:gridCol w:w="1189"/>
      </w:tblGrid>
      <w:tr w:rsidR="00230863" w14:paraId="636E515C" w14:textId="77777777" w:rsidTr="00B7003B">
        <w:trPr>
          <w:trHeight w:val="293"/>
        </w:trPr>
        <w:tc>
          <w:tcPr>
            <w:tcW w:w="1500" w:type="dxa"/>
            <w:tcBorders>
              <w:top w:val="nil"/>
              <w:left w:val="nil"/>
              <w:bottom w:val="single" w:sz="8" w:space="0" w:color="27408B"/>
              <w:right w:val="nil"/>
            </w:tcBorders>
            <w:shd w:val="clear" w:color="000000" w:fill="4472C4"/>
            <w:noWrap/>
            <w:vAlign w:val="center"/>
          </w:tcPr>
          <w:p w14:paraId="41795EC7" w14:textId="77777777" w:rsidR="00230863" w:rsidRDefault="00230863" w:rsidP="00B7003B">
            <w:pPr>
              <w:widowControl/>
              <w:jc w:val="center"/>
              <w:rPr>
                <w:rFonts w:ascii="Times New Roman" w:eastAsia="等线" w:hAnsi="Times New Roman" w:cs="Times New Roman"/>
                <w:b/>
                <w:bCs/>
                <w:color w:val="FFFFFF"/>
                <w:kern w:val="0"/>
                <w:sz w:val="22"/>
              </w:rPr>
            </w:pPr>
            <w:r>
              <w:rPr>
                <w:rFonts w:ascii="Times New Roman" w:eastAsia="等线" w:hAnsi="Times New Roman" w:cs="Times New Roman"/>
                <w:b/>
                <w:bCs/>
                <w:color w:val="FFFFFF"/>
                <w:kern w:val="0"/>
                <w:sz w:val="22"/>
              </w:rPr>
              <w:t>Cohort</w:t>
            </w:r>
          </w:p>
        </w:tc>
        <w:tc>
          <w:tcPr>
            <w:tcW w:w="2020" w:type="dxa"/>
            <w:tcBorders>
              <w:top w:val="nil"/>
              <w:left w:val="nil"/>
              <w:bottom w:val="single" w:sz="8" w:space="0" w:color="27408B"/>
              <w:right w:val="nil"/>
            </w:tcBorders>
            <w:shd w:val="clear" w:color="000000" w:fill="4472C4"/>
            <w:noWrap/>
            <w:vAlign w:val="center"/>
          </w:tcPr>
          <w:p w14:paraId="6835BC8D" w14:textId="77777777" w:rsidR="00230863" w:rsidRDefault="00230863" w:rsidP="00B7003B">
            <w:pPr>
              <w:widowControl/>
              <w:jc w:val="center"/>
              <w:rPr>
                <w:rFonts w:ascii="Times New Roman" w:eastAsia="等线" w:hAnsi="Times New Roman" w:cs="Times New Roman"/>
                <w:b/>
                <w:bCs/>
                <w:color w:val="FFFFFF"/>
                <w:kern w:val="0"/>
                <w:sz w:val="22"/>
              </w:rPr>
            </w:pPr>
            <w:r>
              <w:rPr>
                <w:rFonts w:ascii="Times New Roman" w:eastAsia="等线" w:hAnsi="Times New Roman" w:cs="Times New Roman"/>
                <w:b/>
                <w:bCs/>
                <w:color w:val="FFFFFF"/>
                <w:kern w:val="0"/>
                <w:sz w:val="22"/>
              </w:rPr>
              <w:t>Model</w:t>
            </w:r>
          </w:p>
        </w:tc>
        <w:tc>
          <w:tcPr>
            <w:tcW w:w="1020" w:type="dxa"/>
            <w:tcBorders>
              <w:top w:val="nil"/>
              <w:left w:val="nil"/>
              <w:bottom w:val="single" w:sz="8" w:space="0" w:color="27408B"/>
              <w:right w:val="nil"/>
            </w:tcBorders>
            <w:shd w:val="clear" w:color="000000" w:fill="4472C4"/>
            <w:noWrap/>
            <w:vAlign w:val="center"/>
          </w:tcPr>
          <w:p w14:paraId="708F5944" w14:textId="77777777" w:rsidR="00230863" w:rsidRDefault="00230863" w:rsidP="00B7003B">
            <w:pPr>
              <w:widowControl/>
              <w:jc w:val="center"/>
              <w:rPr>
                <w:rFonts w:ascii="Times New Roman" w:eastAsia="等线" w:hAnsi="Times New Roman" w:cs="Times New Roman"/>
                <w:b/>
                <w:bCs/>
                <w:color w:val="FFFFFF"/>
                <w:kern w:val="0"/>
                <w:sz w:val="22"/>
              </w:rPr>
            </w:pPr>
            <w:r>
              <w:rPr>
                <w:rFonts w:ascii="Times New Roman" w:eastAsia="等线" w:hAnsi="Times New Roman" w:cs="Times New Roman"/>
                <w:b/>
                <w:bCs/>
                <w:color w:val="FFFFFF"/>
                <w:kern w:val="0"/>
                <w:sz w:val="22"/>
              </w:rPr>
              <w:t>SEN</w:t>
            </w:r>
          </w:p>
        </w:tc>
        <w:tc>
          <w:tcPr>
            <w:tcW w:w="1020" w:type="dxa"/>
            <w:tcBorders>
              <w:top w:val="nil"/>
              <w:left w:val="nil"/>
              <w:bottom w:val="single" w:sz="8" w:space="0" w:color="27408B"/>
              <w:right w:val="nil"/>
            </w:tcBorders>
            <w:shd w:val="clear" w:color="000000" w:fill="4472C4"/>
            <w:noWrap/>
            <w:vAlign w:val="center"/>
          </w:tcPr>
          <w:p w14:paraId="4660830F" w14:textId="77777777" w:rsidR="00230863" w:rsidRDefault="00230863" w:rsidP="00B7003B">
            <w:pPr>
              <w:widowControl/>
              <w:jc w:val="center"/>
              <w:rPr>
                <w:rFonts w:ascii="Times New Roman" w:eastAsia="等线" w:hAnsi="Times New Roman" w:cs="Times New Roman"/>
                <w:b/>
                <w:bCs/>
                <w:color w:val="FFFFFF"/>
                <w:kern w:val="0"/>
                <w:sz w:val="22"/>
              </w:rPr>
            </w:pPr>
            <w:r>
              <w:rPr>
                <w:rFonts w:ascii="Times New Roman" w:eastAsia="等线" w:hAnsi="Times New Roman" w:cs="Times New Roman"/>
                <w:b/>
                <w:bCs/>
                <w:color w:val="FFFFFF"/>
                <w:kern w:val="0"/>
                <w:sz w:val="22"/>
              </w:rPr>
              <w:t>SPE</w:t>
            </w:r>
          </w:p>
        </w:tc>
        <w:tc>
          <w:tcPr>
            <w:tcW w:w="1020" w:type="dxa"/>
            <w:tcBorders>
              <w:top w:val="nil"/>
              <w:left w:val="nil"/>
              <w:bottom w:val="single" w:sz="8" w:space="0" w:color="27408B"/>
              <w:right w:val="nil"/>
            </w:tcBorders>
            <w:shd w:val="clear" w:color="000000" w:fill="4472C4"/>
            <w:noWrap/>
            <w:vAlign w:val="center"/>
          </w:tcPr>
          <w:p w14:paraId="7F90ABF0" w14:textId="77777777" w:rsidR="00230863" w:rsidRDefault="00230863" w:rsidP="00B7003B">
            <w:pPr>
              <w:widowControl/>
              <w:jc w:val="center"/>
              <w:rPr>
                <w:rFonts w:ascii="Times New Roman" w:eastAsia="等线" w:hAnsi="Times New Roman" w:cs="Times New Roman"/>
                <w:b/>
                <w:bCs/>
                <w:color w:val="FFFFFF"/>
                <w:kern w:val="0"/>
                <w:sz w:val="22"/>
              </w:rPr>
            </w:pPr>
            <w:r>
              <w:rPr>
                <w:rFonts w:ascii="Times New Roman" w:eastAsia="等线" w:hAnsi="Times New Roman" w:cs="Times New Roman"/>
                <w:b/>
                <w:bCs/>
                <w:color w:val="FFFFFF"/>
                <w:kern w:val="0"/>
                <w:sz w:val="22"/>
              </w:rPr>
              <w:t>PPV</w:t>
            </w:r>
          </w:p>
        </w:tc>
        <w:tc>
          <w:tcPr>
            <w:tcW w:w="1020" w:type="dxa"/>
            <w:tcBorders>
              <w:top w:val="nil"/>
              <w:left w:val="nil"/>
              <w:bottom w:val="single" w:sz="8" w:space="0" w:color="27408B"/>
              <w:right w:val="nil"/>
            </w:tcBorders>
            <w:shd w:val="clear" w:color="000000" w:fill="4472C4"/>
            <w:noWrap/>
            <w:vAlign w:val="center"/>
          </w:tcPr>
          <w:p w14:paraId="6C21200E" w14:textId="77777777" w:rsidR="00230863" w:rsidRDefault="00230863" w:rsidP="00B7003B">
            <w:pPr>
              <w:widowControl/>
              <w:jc w:val="center"/>
              <w:rPr>
                <w:rFonts w:ascii="Times New Roman" w:eastAsia="等线" w:hAnsi="Times New Roman" w:cs="Times New Roman"/>
                <w:b/>
                <w:bCs/>
                <w:color w:val="FFFFFF"/>
                <w:kern w:val="0"/>
                <w:sz w:val="22"/>
              </w:rPr>
            </w:pPr>
            <w:r>
              <w:rPr>
                <w:rFonts w:ascii="Times New Roman" w:eastAsia="等线" w:hAnsi="Times New Roman" w:cs="Times New Roman"/>
                <w:b/>
                <w:bCs/>
                <w:color w:val="FFFFFF"/>
                <w:kern w:val="0"/>
                <w:sz w:val="22"/>
              </w:rPr>
              <w:t>NPV</w:t>
            </w:r>
          </w:p>
        </w:tc>
        <w:tc>
          <w:tcPr>
            <w:tcW w:w="1189" w:type="dxa"/>
            <w:tcBorders>
              <w:top w:val="nil"/>
              <w:left w:val="nil"/>
              <w:bottom w:val="single" w:sz="8" w:space="0" w:color="27408B"/>
              <w:right w:val="nil"/>
            </w:tcBorders>
            <w:shd w:val="clear" w:color="000000" w:fill="4472C4"/>
            <w:noWrap/>
            <w:vAlign w:val="center"/>
          </w:tcPr>
          <w:p w14:paraId="4DD79B51" w14:textId="77777777" w:rsidR="00230863" w:rsidRDefault="00230863" w:rsidP="00B7003B">
            <w:pPr>
              <w:widowControl/>
              <w:jc w:val="center"/>
              <w:rPr>
                <w:rFonts w:ascii="Times New Roman" w:eastAsia="等线" w:hAnsi="Times New Roman" w:cs="Times New Roman"/>
                <w:b/>
                <w:bCs/>
                <w:color w:val="FFFFFF"/>
                <w:kern w:val="0"/>
                <w:sz w:val="22"/>
              </w:rPr>
            </w:pPr>
            <w:r>
              <w:rPr>
                <w:rFonts w:ascii="Times New Roman" w:eastAsia="等线" w:hAnsi="Times New Roman" w:cs="Times New Roman"/>
                <w:b/>
                <w:bCs/>
                <w:color w:val="FFFFFF"/>
                <w:kern w:val="0"/>
                <w:sz w:val="22"/>
              </w:rPr>
              <w:t>ACC</w:t>
            </w:r>
          </w:p>
        </w:tc>
      </w:tr>
      <w:tr w:rsidR="00230863" w14:paraId="1B9FF93A" w14:textId="77777777" w:rsidTr="00B7003B">
        <w:trPr>
          <w:trHeight w:val="285"/>
        </w:trPr>
        <w:tc>
          <w:tcPr>
            <w:tcW w:w="1500" w:type="dxa"/>
            <w:tcBorders>
              <w:top w:val="nil"/>
              <w:left w:val="nil"/>
              <w:bottom w:val="single" w:sz="4" w:space="0" w:color="D9E1F2"/>
              <w:right w:val="nil"/>
            </w:tcBorders>
            <w:shd w:val="clear" w:color="000000" w:fill="F7F9FC"/>
            <w:noWrap/>
            <w:vAlign w:val="center"/>
          </w:tcPr>
          <w:p w14:paraId="1A341595" w14:textId="77777777" w:rsidR="00230863" w:rsidRDefault="00230863" w:rsidP="00B7003B">
            <w:pPr>
              <w:widowControl/>
              <w:jc w:val="left"/>
              <w:rPr>
                <w:rFonts w:ascii="Times New Roman" w:eastAsia="等线" w:hAnsi="Times New Roman" w:cs="Times New Roman"/>
                <w:color w:val="1F1F1F"/>
                <w:kern w:val="0"/>
                <w:sz w:val="22"/>
              </w:rPr>
            </w:pPr>
            <w:r>
              <w:rPr>
                <w:rFonts w:ascii="Times New Roman" w:eastAsia="等线" w:hAnsi="Times New Roman" w:cs="Times New Roman"/>
                <w:color w:val="1F1F1F"/>
                <w:kern w:val="0"/>
                <w:sz w:val="22"/>
              </w:rPr>
              <w:t>Train</w:t>
            </w:r>
          </w:p>
        </w:tc>
        <w:tc>
          <w:tcPr>
            <w:tcW w:w="2020" w:type="dxa"/>
            <w:tcBorders>
              <w:top w:val="nil"/>
              <w:left w:val="nil"/>
              <w:bottom w:val="single" w:sz="4" w:space="0" w:color="D9E1F2"/>
              <w:right w:val="nil"/>
            </w:tcBorders>
            <w:shd w:val="clear" w:color="000000" w:fill="F7F9FC"/>
            <w:noWrap/>
            <w:vAlign w:val="center"/>
          </w:tcPr>
          <w:p w14:paraId="5B2CC2D4" w14:textId="77777777" w:rsidR="00230863" w:rsidRDefault="00230863" w:rsidP="00B7003B">
            <w:pPr>
              <w:widowControl/>
              <w:jc w:val="left"/>
              <w:rPr>
                <w:rFonts w:ascii="Times New Roman" w:eastAsia="等线" w:hAnsi="Times New Roman" w:cs="Times New Roman"/>
                <w:color w:val="1F1F1F"/>
                <w:kern w:val="0"/>
                <w:sz w:val="22"/>
              </w:rPr>
            </w:pPr>
            <w:r>
              <w:rPr>
                <w:rFonts w:ascii="Times New Roman" w:eastAsia="等线" w:hAnsi="Times New Roman" w:cs="Times New Roman"/>
                <w:color w:val="1F1F1F"/>
                <w:kern w:val="0"/>
                <w:sz w:val="22"/>
              </w:rPr>
              <w:t>Clinical</w:t>
            </w:r>
          </w:p>
        </w:tc>
        <w:tc>
          <w:tcPr>
            <w:tcW w:w="1020" w:type="dxa"/>
            <w:tcBorders>
              <w:top w:val="nil"/>
              <w:left w:val="nil"/>
              <w:bottom w:val="single" w:sz="4" w:space="0" w:color="D9E1F2"/>
              <w:right w:val="nil"/>
            </w:tcBorders>
            <w:shd w:val="clear" w:color="000000" w:fill="F7F9FC"/>
            <w:noWrap/>
            <w:vAlign w:val="center"/>
          </w:tcPr>
          <w:p w14:paraId="5F3B26B7"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0.630 </w:t>
            </w:r>
          </w:p>
        </w:tc>
        <w:tc>
          <w:tcPr>
            <w:tcW w:w="1020" w:type="dxa"/>
            <w:tcBorders>
              <w:top w:val="nil"/>
              <w:left w:val="nil"/>
              <w:bottom w:val="single" w:sz="4" w:space="0" w:color="D9E1F2"/>
              <w:right w:val="nil"/>
            </w:tcBorders>
            <w:shd w:val="clear" w:color="000000" w:fill="F7F9FC"/>
            <w:noWrap/>
            <w:vAlign w:val="center"/>
          </w:tcPr>
          <w:p w14:paraId="7B49234D"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0.708 </w:t>
            </w:r>
          </w:p>
        </w:tc>
        <w:tc>
          <w:tcPr>
            <w:tcW w:w="1020" w:type="dxa"/>
            <w:tcBorders>
              <w:top w:val="nil"/>
              <w:left w:val="nil"/>
              <w:bottom w:val="single" w:sz="4" w:space="0" w:color="D9E1F2"/>
              <w:right w:val="nil"/>
            </w:tcBorders>
            <w:shd w:val="clear" w:color="000000" w:fill="F7F9FC"/>
            <w:noWrap/>
            <w:vAlign w:val="center"/>
          </w:tcPr>
          <w:p w14:paraId="3FDC4599"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0.570 </w:t>
            </w:r>
          </w:p>
        </w:tc>
        <w:tc>
          <w:tcPr>
            <w:tcW w:w="1020" w:type="dxa"/>
            <w:tcBorders>
              <w:top w:val="nil"/>
              <w:left w:val="nil"/>
              <w:bottom w:val="single" w:sz="4" w:space="0" w:color="D9E1F2"/>
              <w:right w:val="nil"/>
            </w:tcBorders>
            <w:shd w:val="clear" w:color="000000" w:fill="F7F9FC"/>
            <w:noWrap/>
            <w:vAlign w:val="center"/>
          </w:tcPr>
          <w:p w14:paraId="0066C58B"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0.758 </w:t>
            </w:r>
          </w:p>
        </w:tc>
        <w:tc>
          <w:tcPr>
            <w:tcW w:w="1189" w:type="dxa"/>
            <w:tcBorders>
              <w:top w:val="nil"/>
              <w:left w:val="nil"/>
              <w:bottom w:val="single" w:sz="4" w:space="0" w:color="D9E1F2"/>
              <w:right w:val="nil"/>
            </w:tcBorders>
            <w:shd w:val="clear" w:color="000000" w:fill="F7F9FC"/>
            <w:noWrap/>
            <w:vAlign w:val="center"/>
          </w:tcPr>
          <w:p w14:paraId="01B51980"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0.679 </w:t>
            </w:r>
          </w:p>
        </w:tc>
      </w:tr>
      <w:tr w:rsidR="00230863" w14:paraId="6FE7FB42" w14:textId="77777777" w:rsidTr="00B7003B">
        <w:trPr>
          <w:trHeight w:val="285"/>
        </w:trPr>
        <w:tc>
          <w:tcPr>
            <w:tcW w:w="1500" w:type="dxa"/>
            <w:tcBorders>
              <w:top w:val="nil"/>
              <w:left w:val="nil"/>
              <w:bottom w:val="single" w:sz="4" w:space="0" w:color="D9E1F2"/>
              <w:right w:val="nil"/>
            </w:tcBorders>
            <w:shd w:val="clear" w:color="000000" w:fill="F7F9FC"/>
            <w:noWrap/>
            <w:vAlign w:val="center"/>
          </w:tcPr>
          <w:p w14:paraId="6328F0FC" w14:textId="77777777" w:rsidR="00230863" w:rsidRDefault="00230863" w:rsidP="00B7003B">
            <w:pPr>
              <w:widowControl/>
              <w:jc w:val="left"/>
              <w:rPr>
                <w:rFonts w:ascii="Times New Roman" w:eastAsia="等线" w:hAnsi="Times New Roman" w:cs="Times New Roman"/>
                <w:color w:val="1F1F1F"/>
                <w:kern w:val="0"/>
                <w:sz w:val="22"/>
              </w:rPr>
            </w:pPr>
            <w:r>
              <w:rPr>
                <w:rFonts w:ascii="Times New Roman" w:eastAsia="等线" w:hAnsi="Times New Roman" w:cs="Times New Roman"/>
                <w:color w:val="1F1F1F"/>
                <w:kern w:val="0"/>
                <w:sz w:val="22"/>
              </w:rPr>
              <w:t>Train</w:t>
            </w:r>
          </w:p>
        </w:tc>
        <w:tc>
          <w:tcPr>
            <w:tcW w:w="2020" w:type="dxa"/>
            <w:tcBorders>
              <w:top w:val="nil"/>
              <w:left w:val="nil"/>
              <w:bottom w:val="single" w:sz="4" w:space="0" w:color="D9E1F2"/>
              <w:right w:val="nil"/>
            </w:tcBorders>
            <w:shd w:val="clear" w:color="000000" w:fill="F7F9FC"/>
            <w:noWrap/>
            <w:vAlign w:val="center"/>
          </w:tcPr>
          <w:p w14:paraId="34B1E613" w14:textId="77777777" w:rsidR="00230863" w:rsidRDefault="00230863" w:rsidP="00B7003B">
            <w:pPr>
              <w:widowControl/>
              <w:jc w:val="left"/>
              <w:rPr>
                <w:rFonts w:ascii="Times New Roman" w:eastAsia="等线" w:hAnsi="Times New Roman" w:cs="Times New Roman"/>
                <w:color w:val="1F1F1F"/>
                <w:kern w:val="0"/>
                <w:sz w:val="22"/>
              </w:rPr>
            </w:pPr>
            <w:r>
              <w:rPr>
                <w:rFonts w:ascii="Times New Roman" w:eastAsia="等线" w:hAnsi="Times New Roman" w:cs="Times New Roman"/>
                <w:color w:val="1F1F1F"/>
                <w:kern w:val="0"/>
                <w:sz w:val="22"/>
              </w:rPr>
              <w:t>Radiomics</w:t>
            </w:r>
          </w:p>
        </w:tc>
        <w:tc>
          <w:tcPr>
            <w:tcW w:w="1020" w:type="dxa"/>
            <w:tcBorders>
              <w:top w:val="nil"/>
              <w:left w:val="nil"/>
              <w:bottom w:val="single" w:sz="4" w:space="0" w:color="D9E1F2"/>
              <w:right w:val="nil"/>
            </w:tcBorders>
            <w:shd w:val="clear" w:color="000000" w:fill="F7F9FC"/>
            <w:noWrap/>
            <w:vAlign w:val="center"/>
          </w:tcPr>
          <w:p w14:paraId="27D44610"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0.673 </w:t>
            </w:r>
          </w:p>
        </w:tc>
        <w:tc>
          <w:tcPr>
            <w:tcW w:w="1020" w:type="dxa"/>
            <w:tcBorders>
              <w:top w:val="nil"/>
              <w:left w:val="nil"/>
              <w:bottom w:val="single" w:sz="4" w:space="0" w:color="D9E1F2"/>
              <w:right w:val="nil"/>
            </w:tcBorders>
            <w:shd w:val="clear" w:color="000000" w:fill="F7F9FC"/>
            <w:noWrap/>
            <w:vAlign w:val="center"/>
          </w:tcPr>
          <w:p w14:paraId="1590A184"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0.547 </w:t>
            </w:r>
          </w:p>
        </w:tc>
        <w:tc>
          <w:tcPr>
            <w:tcW w:w="1020" w:type="dxa"/>
            <w:tcBorders>
              <w:top w:val="nil"/>
              <w:left w:val="nil"/>
              <w:bottom w:val="single" w:sz="4" w:space="0" w:color="D9E1F2"/>
              <w:right w:val="nil"/>
            </w:tcBorders>
            <w:shd w:val="clear" w:color="000000" w:fill="F7F9FC"/>
            <w:noWrap/>
            <w:vAlign w:val="center"/>
          </w:tcPr>
          <w:p w14:paraId="6891064A"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0.477 </w:t>
            </w:r>
          </w:p>
        </w:tc>
        <w:tc>
          <w:tcPr>
            <w:tcW w:w="1020" w:type="dxa"/>
            <w:tcBorders>
              <w:top w:val="nil"/>
              <w:left w:val="nil"/>
              <w:bottom w:val="single" w:sz="4" w:space="0" w:color="D9E1F2"/>
              <w:right w:val="nil"/>
            </w:tcBorders>
            <w:shd w:val="clear" w:color="000000" w:fill="F7F9FC"/>
            <w:noWrap/>
            <w:vAlign w:val="center"/>
          </w:tcPr>
          <w:p w14:paraId="1EAB2DB6"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0.732 </w:t>
            </w:r>
          </w:p>
        </w:tc>
        <w:tc>
          <w:tcPr>
            <w:tcW w:w="1189" w:type="dxa"/>
            <w:tcBorders>
              <w:top w:val="nil"/>
              <w:left w:val="nil"/>
              <w:bottom w:val="single" w:sz="4" w:space="0" w:color="D9E1F2"/>
              <w:right w:val="nil"/>
            </w:tcBorders>
            <w:shd w:val="clear" w:color="000000" w:fill="F7F9FC"/>
            <w:noWrap/>
            <w:vAlign w:val="center"/>
          </w:tcPr>
          <w:p w14:paraId="28055704"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0.595 </w:t>
            </w:r>
          </w:p>
        </w:tc>
      </w:tr>
      <w:tr w:rsidR="00230863" w14:paraId="7BF208F1" w14:textId="77777777" w:rsidTr="00B7003B">
        <w:trPr>
          <w:trHeight w:val="285"/>
        </w:trPr>
        <w:tc>
          <w:tcPr>
            <w:tcW w:w="1500" w:type="dxa"/>
            <w:tcBorders>
              <w:top w:val="nil"/>
              <w:left w:val="nil"/>
              <w:bottom w:val="single" w:sz="4" w:space="0" w:color="D9E1F2"/>
              <w:right w:val="nil"/>
            </w:tcBorders>
            <w:shd w:val="clear" w:color="000000" w:fill="F7F9FC"/>
            <w:noWrap/>
            <w:vAlign w:val="center"/>
          </w:tcPr>
          <w:p w14:paraId="319F05C5" w14:textId="77777777" w:rsidR="00230863" w:rsidRDefault="00230863" w:rsidP="00B7003B">
            <w:pPr>
              <w:widowControl/>
              <w:jc w:val="left"/>
              <w:rPr>
                <w:rFonts w:ascii="Times New Roman" w:eastAsia="等线" w:hAnsi="Times New Roman" w:cs="Times New Roman"/>
                <w:color w:val="1F1F1F"/>
                <w:kern w:val="0"/>
                <w:sz w:val="22"/>
              </w:rPr>
            </w:pPr>
            <w:r>
              <w:rPr>
                <w:rFonts w:ascii="Times New Roman" w:eastAsia="等线" w:hAnsi="Times New Roman" w:cs="Times New Roman"/>
                <w:color w:val="1F1F1F"/>
                <w:kern w:val="0"/>
                <w:sz w:val="22"/>
              </w:rPr>
              <w:t>Train</w:t>
            </w:r>
          </w:p>
        </w:tc>
        <w:tc>
          <w:tcPr>
            <w:tcW w:w="2020" w:type="dxa"/>
            <w:tcBorders>
              <w:top w:val="nil"/>
              <w:left w:val="nil"/>
              <w:bottom w:val="single" w:sz="4" w:space="0" w:color="D9E1F2"/>
              <w:right w:val="nil"/>
            </w:tcBorders>
            <w:shd w:val="clear" w:color="000000" w:fill="F7F9FC"/>
            <w:noWrap/>
            <w:vAlign w:val="center"/>
          </w:tcPr>
          <w:p w14:paraId="3CAD1488" w14:textId="77777777" w:rsidR="00230863" w:rsidRDefault="00230863" w:rsidP="00B7003B">
            <w:pPr>
              <w:widowControl/>
              <w:jc w:val="left"/>
              <w:rPr>
                <w:rFonts w:ascii="Times New Roman" w:eastAsia="等线" w:hAnsi="Times New Roman" w:cs="Times New Roman"/>
                <w:color w:val="1F1F1F"/>
                <w:kern w:val="0"/>
                <w:sz w:val="22"/>
              </w:rPr>
            </w:pPr>
            <w:r>
              <w:rPr>
                <w:rFonts w:ascii="Times New Roman" w:eastAsia="等线" w:hAnsi="Times New Roman" w:cs="Times New Roman"/>
                <w:color w:val="1F1F1F"/>
                <w:kern w:val="0"/>
                <w:sz w:val="22"/>
              </w:rPr>
              <w:t>Deep learning</w:t>
            </w:r>
          </w:p>
        </w:tc>
        <w:tc>
          <w:tcPr>
            <w:tcW w:w="1020" w:type="dxa"/>
            <w:tcBorders>
              <w:top w:val="nil"/>
              <w:left w:val="nil"/>
              <w:bottom w:val="single" w:sz="4" w:space="0" w:color="D9E1F2"/>
              <w:right w:val="nil"/>
            </w:tcBorders>
            <w:shd w:val="clear" w:color="000000" w:fill="F7F9FC"/>
            <w:noWrap/>
            <w:vAlign w:val="center"/>
          </w:tcPr>
          <w:p w14:paraId="56F98790"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0.727 </w:t>
            </w:r>
          </w:p>
        </w:tc>
        <w:tc>
          <w:tcPr>
            <w:tcW w:w="1020" w:type="dxa"/>
            <w:tcBorders>
              <w:top w:val="nil"/>
              <w:left w:val="nil"/>
              <w:bottom w:val="single" w:sz="4" w:space="0" w:color="D9E1F2"/>
              <w:right w:val="nil"/>
            </w:tcBorders>
            <w:shd w:val="clear" w:color="000000" w:fill="F7F9FC"/>
            <w:noWrap/>
            <w:vAlign w:val="center"/>
          </w:tcPr>
          <w:p w14:paraId="3DD27734"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0.713 </w:t>
            </w:r>
          </w:p>
        </w:tc>
        <w:tc>
          <w:tcPr>
            <w:tcW w:w="1020" w:type="dxa"/>
            <w:tcBorders>
              <w:top w:val="nil"/>
              <w:left w:val="nil"/>
              <w:bottom w:val="single" w:sz="4" w:space="0" w:color="D9E1F2"/>
              <w:right w:val="nil"/>
            </w:tcBorders>
            <w:shd w:val="clear" w:color="000000" w:fill="F7F9FC"/>
            <w:noWrap/>
            <w:vAlign w:val="center"/>
          </w:tcPr>
          <w:p w14:paraId="4E33E234"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0.608 </w:t>
            </w:r>
          </w:p>
        </w:tc>
        <w:tc>
          <w:tcPr>
            <w:tcW w:w="1020" w:type="dxa"/>
            <w:tcBorders>
              <w:top w:val="nil"/>
              <w:left w:val="nil"/>
              <w:bottom w:val="single" w:sz="4" w:space="0" w:color="D9E1F2"/>
              <w:right w:val="nil"/>
            </w:tcBorders>
            <w:shd w:val="clear" w:color="000000" w:fill="F7F9FC"/>
            <w:noWrap/>
            <w:vAlign w:val="center"/>
          </w:tcPr>
          <w:p w14:paraId="3779B657"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0.810 </w:t>
            </w:r>
          </w:p>
        </w:tc>
        <w:tc>
          <w:tcPr>
            <w:tcW w:w="1189" w:type="dxa"/>
            <w:tcBorders>
              <w:top w:val="nil"/>
              <w:left w:val="nil"/>
              <w:bottom w:val="single" w:sz="4" w:space="0" w:color="D9E1F2"/>
              <w:right w:val="nil"/>
            </w:tcBorders>
            <w:shd w:val="clear" w:color="000000" w:fill="F7F9FC"/>
            <w:noWrap/>
            <w:vAlign w:val="center"/>
          </w:tcPr>
          <w:p w14:paraId="5354EC17"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0.718 </w:t>
            </w:r>
          </w:p>
        </w:tc>
      </w:tr>
      <w:tr w:rsidR="00230863" w14:paraId="7331F5B7" w14:textId="77777777" w:rsidTr="00B7003B">
        <w:trPr>
          <w:trHeight w:val="285"/>
        </w:trPr>
        <w:tc>
          <w:tcPr>
            <w:tcW w:w="1500" w:type="dxa"/>
            <w:tcBorders>
              <w:top w:val="nil"/>
              <w:left w:val="nil"/>
              <w:bottom w:val="single" w:sz="4" w:space="0" w:color="D9E1F2"/>
              <w:right w:val="nil"/>
            </w:tcBorders>
            <w:shd w:val="clear" w:color="000000" w:fill="F7F9FC"/>
            <w:noWrap/>
            <w:vAlign w:val="center"/>
          </w:tcPr>
          <w:p w14:paraId="0F4DF68C" w14:textId="77777777" w:rsidR="00230863" w:rsidRDefault="00230863" w:rsidP="00B7003B">
            <w:pPr>
              <w:widowControl/>
              <w:jc w:val="left"/>
              <w:rPr>
                <w:rFonts w:ascii="Times New Roman" w:eastAsia="等线" w:hAnsi="Times New Roman" w:cs="Times New Roman"/>
                <w:color w:val="1F1F1F"/>
                <w:kern w:val="0"/>
                <w:sz w:val="22"/>
              </w:rPr>
            </w:pPr>
            <w:r>
              <w:rPr>
                <w:rFonts w:ascii="Times New Roman" w:eastAsia="等线" w:hAnsi="Times New Roman" w:cs="Times New Roman"/>
                <w:color w:val="1F1F1F"/>
                <w:kern w:val="0"/>
                <w:sz w:val="22"/>
              </w:rPr>
              <w:t>Train</w:t>
            </w:r>
          </w:p>
        </w:tc>
        <w:tc>
          <w:tcPr>
            <w:tcW w:w="2020" w:type="dxa"/>
            <w:tcBorders>
              <w:top w:val="nil"/>
              <w:left w:val="nil"/>
              <w:bottom w:val="single" w:sz="4" w:space="0" w:color="D9E1F2"/>
              <w:right w:val="nil"/>
            </w:tcBorders>
            <w:shd w:val="clear" w:color="000000" w:fill="F7F9FC"/>
            <w:noWrap/>
            <w:vAlign w:val="center"/>
          </w:tcPr>
          <w:p w14:paraId="3CF8090A" w14:textId="77777777" w:rsidR="00230863" w:rsidRDefault="00230863" w:rsidP="00B7003B">
            <w:pPr>
              <w:widowControl/>
              <w:jc w:val="left"/>
              <w:rPr>
                <w:rFonts w:ascii="Times New Roman" w:eastAsia="等线" w:hAnsi="Times New Roman" w:cs="Times New Roman"/>
                <w:color w:val="1F1F1F"/>
                <w:kern w:val="0"/>
                <w:sz w:val="22"/>
              </w:rPr>
            </w:pPr>
            <w:r>
              <w:rPr>
                <w:rFonts w:ascii="Times New Roman" w:eastAsia="等线" w:hAnsi="Times New Roman" w:cs="Times New Roman"/>
                <w:color w:val="1F1F1F"/>
                <w:kern w:val="0"/>
                <w:sz w:val="22"/>
              </w:rPr>
              <w:t>Clinical</w:t>
            </w:r>
            <w:r>
              <w:rPr>
                <w:rFonts w:ascii="Times New Roman" w:eastAsia="等线" w:hAnsi="Times New Roman" w:cs="Times New Roman" w:hint="eastAsia"/>
                <w:color w:val="1F1F1F"/>
                <w:kern w:val="0"/>
                <w:sz w:val="22"/>
              </w:rPr>
              <w:t>-</w:t>
            </w:r>
            <w:r>
              <w:rPr>
                <w:rFonts w:ascii="Times New Roman" w:eastAsia="等线" w:hAnsi="Times New Roman" w:cs="Times New Roman"/>
                <w:color w:val="1F1F1F"/>
                <w:kern w:val="0"/>
                <w:sz w:val="22"/>
              </w:rPr>
              <w:t>imaging</w:t>
            </w:r>
          </w:p>
        </w:tc>
        <w:tc>
          <w:tcPr>
            <w:tcW w:w="1020" w:type="dxa"/>
            <w:tcBorders>
              <w:top w:val="nil"/>
              <w:left w:val="nil"/>
              <w:bottom w:val="single" w:sz="4" w:space="0" w:color="D9E1F2"/>
              <w:right w:val="nil"/>
            </w:tcBorders>
            <w:shd w:val="clear" w:color="000000" w:fill="F7F9FC"/>
            <w:noWrap/>
            <w:vAlign w:val="center"/>
          </w:tcPr>
          <w:p w14:paraId="127F969C"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0.683 </w:t>
            </w:r>
          </w:p>
        </w:tc>
        <w:tc>
          <w:tcPr>
            <w:tcW w:w="1020" w:type="dxa"/>
            <w:tcBorders>
              <w:top w:val="nil"/>
              <w:left w:val="nil"/>
              <w:bottom w:val="single" w:sz="4" w:space="0" w:color="D9E1F2"/>
              <w:right w:val="nil"/>
            </w:tcBorders>
            <w:shd w:val="clear" w:color="000000" w:fill="F7F9FC"/>
            <w:noWrap/>
            <w:vAlign w:val="center"/>
          </w:tcPr>
          <w:p w14:paraId="43C18735"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0.835 </w:t>
            </w:r>
          </w:p>
        </w:tc>
        <w:tc>
          <w:tcPr>
            <w:tcW w:w="1020" w:type="dxa"/>
            <w:tcBorders>
              <w:top w:val="nil"/>
              <w:left w:val="nil"/>
              <w:bottom w:val="single" w:sz="4" w:space="0" w:color="D9E1F2"/>
              <w:right w:val="nil"/>
            </w:tcBorders>
            <w:shd w:val="clear" w:color="000000" w:fill="F7F9FC"/>
            <w:noWrap/>
            <w:vAlign w:val="center"/>
          </w:tcPr>
          <w:p w14:paraId="726CE05B"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0.718 </w:t>
            </w:r>
          </w:p>
        </w:tc>
        <w:tc>
          <w:tcPr>
            <w:tcW w:w="1020" w:type="dxa"/>
            <w:tcBorders>
              <w:top w:val="nil"/>
              <w:left w:val="nil"/>
              <w:bottom w:val="single" w:sz="4" w:space="0" w:color="D9E1F2"/>
              <w:right w:val="nil"/>
            </w:tcBorders>
            <w:shd w:val="clear" w:color="000000" w:fill="F7F9FC"/>
            <w:noWrap/>
            <w:vAlign w:val="center"/>
          </w:tcPr>
          <w:p w14:paraId="55E7F6AC"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0.811 </w:t>
            </w:r>
          </w:p>
        </w:tc>
        <w:tc>
          <w:tcPr>
            <w:tcW w:w="1189" w:type="dxa"/>
            <w:tcBorders>
              <w:top w:val="nil"/>
              <w:left w:val="nil"/>
              <w:bottom w:val="single" w:sz="4" w:space="0" w:color="D9E1F2"/>
              <w:right w:val="nil"/>
            </w:tcBorders>
            <w:shd w:val="clear" w:color="000000" w:fill="F7F9FC"/>
            <w:noWrap/>
            <w:vAlign w:val="center"/>
          </w:tcPr>
          <w:p w14:paraId="3EEF08D0"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0.777 </w:t>
            </w:r>
          </w:p>
        </w:tc>
      </w:tr>
      <w:tr w:rsidR="00230863" w14:paraId="0DEB5DEB" w14:textId="77777777" w:rsidTr="00B7003B">
        <w:trPr>
          <w:trHeight w:val="285"/>
        </w:trPr>
        <w:tc>
          <w:tcPr>
            <w:tcW w:w="1500" w:type="dxa"/>
            <w:tcBorders>
              <w:top w:val="single" w:sz="8" w:space="0" w:color="7F8C8D"/>
              <w:left w:val="nil"/>
              <w:bottom w:val="single" w:sz="4" w:space="0" w:color="D9E1F2"/>
              <w:right w:val="nil"/>
            </w:tcBorders>
            <w:shd w:val="clear" w:color="000000" w:fill="F7F9FC"/>
            <w:noWrap/>
            <w:vAlign w:val="center"/>
          </w:tcPr>
          <w:p w14:paraId="5EAC6BBC" w14:textId="77777777" w:rsidR="00230863" w:rsidRDefault="00230863" w:rsidP="00B7003B">
            <w:pPr>
              <w:widowControl/>
              <w:jc w:val="left"/>
              <w:rPr>
                <w:rFonts w:ascii="Times New Roman" w:eastAsia="等线" w:hAnsi="Times New Roman" w:cs="Times New Roman"/>
                <w:color w:val="1F1F1F"/>
                <w:kern w:val="0"/>
                <w:sz w:val="22"/>
              </w:rPr>
            </w:pPr>
            <w:r>
              <w:rPr>
                <w:rFonts w:ascii="Times New Roman" w:eastAsia="等线" w:hAnsi="Times New Roman" w:cs="Times New Roman"/>
                <w:color w:val="1F1F1F"/>
                <w:kern w:val="0"/>
                <w:sz w:val="22"/>
              </w:rPr>
              <w:t>Test</w:t>
            </w:r>
          </w:p>
        </w:tc>
        <w:tc>
          <w:tcPr>
            <w:tcW w:w="2020" w:type="dxa"/>
            <w:tcBorders>
              <w:top w:val="single" w:sz="8" w:space="0" w:color="7F8C8D"/>
              <w:left w:val="nil"/>
              <w:bottom w:val="single" w:sz="4" w:space="0" w:color="D9E1F2"/>
              <w:right w:val="nil"/>
            </w:tcBorders>
            <w:shd w:val="clear" w:color="000000" w:fill="F7F9FC"/>
            <w:noWrap/>
            <w:vAlign w:val="center"/>
          </w:tcPr>
          <w:p w14:paraId="17ADE7B0" w14:textId="77777777" w:rsidR="00230863" w:rsidRDefault="00230863" w:rsidP="00B7003B">
            <w:pPr>
              <w:widowControl/>
              <w:jc w:val="left"/>
              <w:rPr>
                <w:rFonts w:ascii="Times New Roman" w:eastAsia="等线" w:hAnsi="Times New Roman" w:cs="Times New Roman"/>
                <w:color w:val="1F1F1F"/>
                <w:kern w:val="0"/>
                <w:sz w:val="22"/>
              </w:rPr>
            </w:pPr>
            <w:r>
              <w:rPr>
                <w:rFonts w:ascii="Times New Roman" w:eastAsia="等线" w:hAnsi="Times New Roman" w:cs="Times New Roman"/>
                <w:color w:val="1F1F1F"/>
                <w:kern w:val="0"/>
                <w:sz w:val="22"/>
              </w:rPr>
              <w:t>Clinical</w:t>
            </w:r>
          </w:p>
        </w:tc>
        <w:tc>
          <w:tcPr>
            <w:tcW w:w="1020" w:type="dxa"/>
            <w:tcBorders>
              <w:top w:val="single" w:sz="8" w:space="0" w:color="7F8C8D"/>
              <w:left w:val="nil"/>
              <w:bottom w:val="single" w:sz="4" w:space="0" w:color="D9E1F2"/>
              <w:right w:val="nil"/>
            </w:tcBorders>
            <w:shd w:val="clear" w:color="000000" w:fill="F7F9FC"/>
            <w:noWrap/>
            <w:vAlign w:val="center"/>
          </w:tcPr>
          <w:p w14:paraId="059DFCFE"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0.626 </w:t>
            </w:r>
          </w:p>
        </w:tc>
        <w:tc>
          <w:tcPr>
            <w:tcW w:w="1020" w:type="dxa"/>
            <w:tcBorders>
              <w:top w:val="single" w:sz="8" w:space="0" w:color="7F8C8D"/>
              <w:left w:val="nil"/>
              <w:bottom w:val="single" w:sz="4" w:space="0" w:color="D9E1F2"/>
              <w:right w:val="nil"/>
            </w:tcBorders>
            <w:shd w:val="clear" w:color="000000" w:fill="F7F9FC"/>
            <w:noWrap/>
            <w:vAlign w:val="center"/>
          </w:tcPr>
          <w:p w14:paraId="18FF5CA4"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0.668 </w:t>
            </w:r>
          </w:p>
        </w:tc>
        <w:tc>
          <w:tcPr>
            <w:tcW w:w="1020" w:type="dxa"/>
            <w:tcBorders>
              <w:top w:val="single" w:sz="8" w:space="0" w:color="7F8C8D"/>
              <w:left w:val="nil"/>
              <w:bottom w:val="single" w:sz="4" w:space="0" w:color="D9E1F2"/>
              <w:right w:val="nil"/>
            </w:tcBorders>
            <w:shd w:val="clear" w:color="000000" w:fill="F7F9FC"/>
            <w:noWrap/>
            <w:vAlign w:val="center"/>
          </w:tcPr>
          <w:p w14:paraId="1791B42E"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0.507 </w:t>
            </w:r>
          </w:p>
        </w:tc>
        <w:tc>
          <w:tcPr>
            <w:tcW w:w="1020" w:type="dxa"/>
            <w:tcBorders>
              <w:top w:val="single" w:sz="8" w:space="0" w:color="7F8C8D"/>
              <w:left w:val="nil"/>
              <w:bottom w:val="single" w:sz="4" w:space="0" w:color="D9E1F2"/>
              <w:right w:val="nil"/>
            </w:tcBorders>
            <w:shd w:val="clear" w:color="000000" w:fill="F7F9FC"/>
            <w:noWrap/>
            <w:vAlign w:val="center"/>
          </w:tcPr>
          <w:p w14:paraId="4BBA0FD1"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0.766 </w:t>
            </w:r>
          </w:p>
        </w:tc>
        <w:tc>
          <w:tcPr>
            <w:tcW w:w="1189" w:type="dxa"/>
            <w:tcBorders>
              <w:top w:val="single" w:sz="8" w:space="0" w:color="7F8C8D"/>
              <w:left w:val="nil"/>
              <w:bottom w:val="single" w:sz="4" w:space="0" w:color="D9E1F2"/>
              <w:right w:val="nil"/>
            </w:tcBorders>
            <w:shd w:val="clear" w:color="000000" w:fill="F7F9FC"/>
            <w:noWrap/>
            <w:vAlign w:val="center"/>
          </w:tcPr>
          <w:p w14:paraId="3BFDAD3A"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0.653 </w:t>
            </w:r>
          </w:p>
        </w:tc>
      </w:tr>
      <w:tr w:rsidR="00230863" w14:paraId="215A6223" w14:textId="77777777" w:rsidTr="00B7003B">
        <w:trPr>
          <w:trHeight w:val="285"/>
        </w:trPr>
        <w:tc>
          <w:tcPr>
            <w:tcW w:w="1500" w:type="dxa"/>
            <w:tcBorders>
              <w:top w:val="nil"/>
              <w:left w:val="nil"/>
              <w:bottom w:val="single" w:sz="4" w:space="0" w:color="D9E1F2"/>
              <w:right w:val="nil"/>
            </w:tcBorders>
            <w:shd w:val="clear" w:color="000000" w:fill="F7F9FC"/>
            <w:noWrap/>
            <w:vAlign w:val="center"/>
          </w:tcPr>
          <w:p w14:paraId="197EBDAA" w14:textId="77777777" w:rsidR="00230863" w:rsidRDefault="00230863" w:rsidP="00B7003B">
            <w:pPr>
              <w:widowControl/>
              <w:jc w:val="left"/>
              <w:rPr>
                <w:rFonts w:ascii="Times New Roman" w:eastAsia="等线" w:hAnsi="Times New Roman" w:cs="Times New Roman"/>
                <w:color w:val="1F1F1F"/>
                <w:kern w:val="0"/>
                <w:sz w:val="22"/>
              </w:rPr>
            </w:pPr>
            <w:r>
              <w:rPr>
                <w:rFonts w:ascii="Times New Roman" w:eastAsia="等线" w:hAnsi="Times New Roman" w:cs="Times New Roman"/>
                <w:color w:val="1F1F1F"/>
                <w:kern w:val="0"/>
                <w:sz w:val="22"/>
              </w:rPr>
              <w:t>Test</w:t>
            </w:r>
          </w:p>
        </w:tc>
        <w:tc>
          <w:tcPr>
            <w:tcW w:w="2020" w:type="dxa"/>
            <w:tcBorders>
              <w:top w:val="nil"/>
              <w:left w:val="nil"/>
              <w:bottom w:val="single" w:sz="4" w:space="0" w:color="D9E1F2"/>
              <w:right w:val="nil"/>
            </w:tcBorders>
            <w:shd w:val="clear" w:color="000000" w:fill="F7F9FC"/>
            <w:noWrap/>
            <w:vAlign w:val="center"/>
          </w:tcPr>
          <w:p w14:paraId="2E3EEC90" w14:textId="77777777" w:rsidR="00230863" w:rsidRDefault="00230863" w:rsidP="00B7003B">
            <w:pPr>
              <w:widowControl/>
              <w:jc w:val="left"/>
              <w:rPr>
                <w:rFonts w:ascii="Times New Roman" w:eastAsia="等线" w:hAnsi="Times New Roman" w:cs="Times New Roman"/>
                <w:color w:val="1F1F1F"/>
                <w:kern w:val="0"/>
                <w:sz w:val="22"/>
              </w:rPr>
            </w:pPr>
            <w:r>
              <w:rPr>
                <w:rFonts w:ascii="Times New Roman" w:eastAsia="等线" w:hAnsi="Times New Roman" w:cs="Times New Roman"/>
                <w:color w:val="1F1F1F"/>
                <w:kern w:val="0"/>
                <w:sz w:val="22"/>
              </w:rPr>
              <w:t>Radiomics</w:t>
            </w:r>
          </w:p>
        </w:tc>
        <w:tc>
          <w:tcPr>
            <w:tcW w:w="1020" w:type="dxa"/>
            <w:tcBorders>
              <w:top w:val="nil"/>
              <w:left w:val="nil"/>
              <w:bottom w:val="single" w:sz="4" w:space="0" w:color="D9E1F2"/>
              <w:right w:val="nil"/>
            </w:tcBorders>
            <w:shd w:val="clear" w:color="000000" w:fill="F7F9FC"/>
            <w:noWrap/>
            <w:vAlign w:val="center"/>
          </w:tcPr>
          <w:p w14:paraId="3F0626EE"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0.626 </w:t>
            </w:r>
          </w:p>
        </w:tc>
        <w:tc>
          <w:tcPr>
            <w:tcW w:w="1020" w:type="dxa"/>
            <w:tcBorders>
              <w:top w:val="nil"/>
              <w:left w:val="nil"/>
              <w:bottom w:val="single" w:sz="4" w:space="0" w:color="D9E1F2"/>
              <w:right w:val="nil"/>
            </w:tcBorders>
            <w:shd w:val="clear" w:color="000000" w:fill="F7F9FC"/>
            <w:noWrap/>
            <w:vAlign w:val="center"/>
          </w:tcPr>
          <w:p w14:paraId="6A105166"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0.555 </w:t>
            </w:r>
          </w:p>
        </w:tc>
        <w:tc>
          <w:tcPr>
            <w:tcW w:w="1020" w:type="dxa"/>
            <w:tcBorders>
              <w:top w:val="nil"/>
              <w:left w:val="nil"/>
              <w:bottom w:val="single" w:sz="4" w:space="0" w:color="D9E1F2"/>
              <w:right w:val="nil"/>
            </w:tcBorders>
            <w:shd w:val="clear" w:color="000000" w:fill="F7F9FC"/>
            <w:noWrap/>
            <w:vAlign w:val="center"/>
          </w:tcPr>
          <w:p w14:paraId="0F0FA733"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0.434 </w:t>
            </w:r>
          </w:p>
        </w:tc>
        <w:tc>
          <w:tcPr>
            <w:tcW w:w="1020" w:type="dxa"/>
            <w:tcBorders>
              <w:top w:val="nil"/>
              <w:left w:val="nil"/>
              <w:bottom w:val="single" w:sz="4" w:space="0" w:color="D9E1F2"/>
              <w:right w:val="nil"/>
            </w:tcBorders>
            <w:shd w:val="clear" w:color="000000" w:fill="F7F9FC"/>
            <w:noWrap/>
            <w:vAlign w:val="center"/>
          </w:tcPr>
          <w:p w14:paraId="668E0DA4"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0.731 </w:t>
            </w:r>
          </w:p>
        </w:tc>
        <w:tc>
          <w:tcPr>
            <w:tcW w:w="1189" w:type="dxa"/>
            <w:tcBorders>
              <w:top w:val="nil"/>
              <w:left w:val="nil"/>
              <w:bottom w:val="single" w:sz="4" w:space="0" w:color="D9E1F2"/>
              <w:right w:val="nil"/>
            </w:tcBorders>
            <w:shd w:val="clear" w:color="000000" w:fill="F7F9FC"/>
            <w:noWrap/>
            <w:vAlign w:val="center"/>
          </w:tcPr>
          <w:p w14:paraId="72AE3CAB"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0.580 </w:t>
            </w:r>
          </w:p>
        </w:tc>
      </w:tr>
      <w:tr w:rsidR="00230863" w14:paraId="42DF850B" w14:textId="77777777" w:rsidTr="00B7003B">
        <w:trPr>
          <w:trHeight w:val="285"/>
        </w:trPr>
        <w:tc>
          <w:tcPr>
            <w:tcW w:w="1500" w:type="dxa"/>
            <w:tcBorders>
              <w:top w:val="nil"/>
              <w:left w:val="nil"/>
              <w:bottom w:val="single" w:sz="4" w:space="0" w:color="D9E1F2"/>
              <w:right w:val="nil"/>
            </w:tcBorders>
            <w:shd w:val="clear" w:color="000000" w:fill="F7F9FC"/>
            <w:noWrap/>
            <w:vAlign w:val="center"/>
          </w:tcPr>
          <w:p w14:paraId="23738F7D" w14:textId="77777777" w:rsidR="00230863" w:rsidRDefault="00230863" w:rsidP="00B7003B">
            <w:pPr>
              <w:widowControl/>
              <w:jc w:val="left"/>
              <w:rPr>
                <w:rFonts w:ascii="Times New Roman" w:eastAsia="等线" w:hAnsi="Times New Roman" w:cs="Times New Roman"/>
                <w:color w:val="1F1F1F"/>
                <w:kern w:val="0"/>
                <w:sz w:val="22"/>
              </w:rPr>
            </w:pPr>
            <w:r>
              <w:rPr>
                <w:rFonts w:ascii="Times New Roman" w:eastAsia="等线" w:hAnsi="Times New Roman" w:cs="Times New Roman"/>
                <w:color w:val="1F1F1F"/>
                <w:kern w:val="0"/>
                <w:sz w:val="22"/>
              </w:rPr>
              <w:t>Test</w:t>
            </w:r>
          </w:p>
        </w:tc>
        <w:tc>
          <w:tcPr>
            <w:tcW w:w="2020" w:type="dxa"/>
            <w:tcBorders>
              <w:top w:val="nil"/>
              <w:left w:val="nil"/>
              <w:bottom w:val="single" w:sz="4" w:space="0" w:color="D9E1F2"/>
              <w:right w:val="nil"/>
            </w:tcBorders>
            <w:shd w:val="clear" w:color="000000" w:fill="F7F9FC"/>
            <w:noWrap/>
            <w:vAlign w:val="center"/>
          </w:tcPr>
          <w:p w14:paraId="23547FC9" w14:textId="77777777" w:rsidR="00230863" w:rsidRDefault="00230863" w:rsidP="00B7003B">
            <w:pPr>
              <w:widowControl/>
              <w:jc w:val="left"/>
              <w:rPr>
                <w:rFonts w:ascii="Times New Roman" w:eastAsia="等线" w:hAnsi="Times New Roman" w:cs="Times New Roman"/>
                <w:color w:val="1F1F1F"/>
                <w:kern w:val="0"/>
                <w:sz w:val="22"/>
              </w:rPr>
            </w:pPr>
            <w:r>
              <w:rPr>
                <w:rFonts w:ascii="Times New Roman" w:eastAsia="等线" w:hAnsi="Times New Roman" w:cs="Times New Roman"/>
                <w:color w:val="1F1F1F"/>
                <w:kern w:val="0"/>
                <w:sz w:val="22"/>
              </w:rPr>
              <w:t>Deep learning</w:t>
            </w:r>
          </w:p>
        </w:tc>
        <w:tc>
          <w:tcPr>
            <w:tcW w:w="1020" w:type="dxa"/>
            <w:tcBorders>
              <w:top w:val="nil"/>
              <w:left w:val="nil"/>
              <w:bottom w:val="single" w:sz="4" w:space="0" w:color="D9E1F2"/>
              <w:right w:val="nil"/>
            </w:tcBorders>
            <w:shd w:val="clear" w:color="000000" w:fill="F7F9FC"/>
            <w:noWrap/>
            <w:vAlign w:val="center"/>
          </w:tcPr>
          <w:p w14:paraId="7BB6FF88"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0.878 </w:t>
            </w:r>
          </w:p>
        </w:tc>
        <w:tc>
          <w:tcPr>
            <w:tcW w:w="1020" w:type="dxa"/>
            <w:tcBorders>
              <w:top w:val="nil"/>
              <w:left w:val="nil"/>
              <w:bottom w:val="single" w:sz="4" w:space="0" w:color="D9E1F2"/>
              <w:right w:val="nil"/>
            </w:tcBorders>
            <w:shd w:val="clear" w:color="000000" w:fill="F7F9FC"/>
            <w:noWrap/>
            <w:vAlign w:val="center"/>
          </w:tcPr>
          <w:p w14:paraId="3676097B"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0.417 </w:t>
            </w:r>
          </w:p>
        </w:tc>
        <w:tc>
          <w:tcPr>
            <w:tcW w:w="1020" w:type="dxa"/>
            <w:tcBorders>
              <w:top w:val="nil"/>
              <w:left w:val="nil"/>
              <w:bottom w:val="single" w:sz="4" w:space="0" w:color="D9E1F2"/>
              <w:right w:val="nil"/>
            </w:tcBorders>
            <w:shd w:val="clear" w:color="000000" w:fill="F7F9FC"/>
            <w:noWrap/>
            <w:vAlign w:val="center"/>
          </w:tcPr>
          <w:p w14:paraId="69567DEF"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0.451 </w:t>
            </w:r>
          </w:p>
        </w:tc>
        <w:tc>
          <w:tcPr>
            <w:tcW w:w="1020" w:type="dxa"/>
            <w:tcBorders>
              <w:top w:val="nil"/>
              <w:left w:val="nil"/>
              <w:bottom w:val="single" w:sz="4" w:space="0" w:color="D9E1F2"/>
              <w:right w:val="nil"/>
            </w:tcBorders>
            <w:shd w:val="clear" w:color="000000" w:fill="F7F9FC"/>
            <w:noWrap/>
            <w:vAlign w:val="center"/>
          </w:tcPr>
          <w:p w14:paraId="362A3A41"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0.863 </w:t>
            </w:r>
          </w:p>
        </w:tc>
        <w:tc>
          <w:tcPr>
            <w:tcW w:w="1189" w:type="dxa"/>
            <w:tcBorders>
              <w:top w:val="nil"/>
              <w:left w:val="nil"/>
              <w:bottom w:val="single" w:sz="4" w:space="0" w:color="D9E1F2"/>
              <w:right w:val="nil"/>
            </w:tcBorders>
            <w:shd w:val="clear" w:color="000000" w:fill="F7F9FC"/>
            <w:noWrap/>
            <w:vAlign w:val="center"/>
          </w:tcPr>
          <w:p w14:paraId="0D098FD5"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0.580 </w:t>
            </w:r>
          </w:p>
        </w:tc>
      </w:tr>
      <w:tr w:rsidR="00230863" w14:paraId="021231C5" w14:textId="77777777" w:rsidTr="00B7003B">
        <w:trPr>
          <w:trHeight w:val="285"/>
        </w:trPr>
        <w:tc>
          <w:tcPr>
            <w:tcW w:w="1500" w:type="dxa"/>
            <w:tcBorders>
              <w:top w:val="nil"/>
              <w:left w:val="nil"/>
              <w:bottom w:val="single" w:sz="4" w:space="0" w:color="D9E1F2"/>
              <w:right w:val="nil"/>
            </w:tcBorders>
            <w:shd w:val="clear" w:color="000000" w:fill="F7F9FC"/>
            <w:noWrap/>
            <w:vAlign w:val="center"/>
          </w:tcPr>
          <w:p w14:paraId="13FFC659" w14:textId="77777777" w:rsidR="00230863" w:rsidRDefault="00230863" w:rsidP="00B7003B">
            <w:pPr>
              <w:widowControl/>
              <w:jc w:val="left"/>
              <w:rPr>
                <w:rFonts w:ascii="Times New Roman" w:eastAsia="等线" w:hAnsi="Times New Roman" w:cs="Times New Roman"/>
                <w:color w:val="1F1F1F"/>
                <w:kern w:val="0"/>
                <w:sz w:val="22"/>
              </w:rPr>
            </w:pPr>
            <w:r>
              <w:rPr>
                <w:rFonts w:ascii="Times New Roman" w:eastAsia="等线" w:hAnsi="Times New Roman" w:cs="Times New Roman"/>
                <w:color w:val="1F1F1F"/>
                <w:kern w:val="0"/>
                <w:sz w:val="22"/>
              </w:rPr>
              <w:t>Test</w:t>
            </w:r>
          </w:p>
        </w:tc>
        <w:tc>
          <w:tcPr>
            <w:tcW w:w="2020" w:type="dxa"/>
            <w:tcBorders>
              <w:top w:val="nil"/>
              <w:left w:val="nil"/>
              <w:bottom w:val="single" w:sz="4" w:space="0" w:color="D9E1F2"/>
              <w:right w:val="nil"/>
            </w:tcBorders>
            <w:shd w:val="clear" w:color="000000" w:fill="F7F9FC"/>
            <w:noWrap/>
            <w:vAlign w:val="center"/>
          </w:tcPr>
          <w:p w14:paraId="56690585" w14:textId="77777777" w:rsidR="00230863" w:rsidRDefault="00230863" w:rsidP="00B7003B">
            <w:pPr>
              <w:widowControl/>
              <w:jc w:val="left"/>
              <w:rPr>
                <w:rFonts w:ascii="Times New Roman" w:eastAsia="等线" w:hAnsi="Times New Roman" w:cs="Times New Roman"/>
                <w:color w:val="1F1F1F"/>
                <w:kern w:val="0"/>
                <w:sz w:val="22"/>
              </w:rPr>
            </w:pPr>
            <w:r>
              <w:rPr>
                <w:rFonts w:ascii="Times New Roman" w:eastAsia="等线" w:hAnsi="Times New Roman" w:cs="Times New Roman"/>
                <w:color w:val="1F1F1F"/>
                <w:kern w:val="0"/>
                <w:sz w:val="22"/>
              </w:rPr>
              <w:t>Clinical</w:t>
            </w:r>
            <w:r>
              <w:rPr>
                <w:rFonts w:ascii="Times New Roman" w:eastAsia="等线" w:hAnsi="Times New Roman" w:cs="Times New Roman" w:hint="eastAsia"/>
                <w:color w:val="1F1F1F"/>
                <w:kern w:val="0"/>
                <w:sz w:val="22"/>
              </w:rPr>
              <w:t>-</w:t>
            </w:r>
            <w:r>
              <w:rPr>
                <w:rFonts w:ascii="Times New Roman" w:eastAsia="等线" w:hAnsi="Times New Roman" w:cs="Times New Roman"/>
                <w:color w:val="1F1F1F"/>
                <w:kern w:val="0"/>
                <w:sz w:val="22"/>
              </w:rPr>
              <w:t>imaging</w:t>
            </w:r>
          </w:p>
        </w:tc>
        <w:tc>
          <w:tcPr>
            <w:tcW w:w="1020" w:type="dxa"/>
            <w:tcBorders>
              <w:top w:val="nil"/>
              <w:left w:val="nil"/>
              <w:bottom w:val="single" w:sz="4" w:space="0" w:color="D9E1F2"/>
              <w:right w:val="nil"/>
            </w:tcBorders>
            <w:shd w:val="clear" w:color="000000" w:fill="F7F9FC"/>
            <w:noWrap/>
            <w:vAlign w:val="center"/>
          </w:tcPr>
          <w:p w14:paraId="16059A35"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0.817 </w:t>
            </w:r>
          </w:p>
        </w:tc>
        <w:tc>
          <w:tcPr>
            <w:tcW w:w="1020" w:type="dxa"/>
            <w:tcBorders>
              <w:top w:val="nil"/>
              <w:left w:val="nil"/>
              <w:bottom w:val="single" w:sz="4" w:space="0" w:color="D9E1F2"/>
              <w:right w:val="nil"/>
            </w:tcBorders>
            <w:shd w:val="clear" w:color="000000" w:fill="F7F9FC"/>
            <w:noWrap/>
            <w:vAlign w:val="center"/>
          </w:tcPr>
          <w:p w14:paraId="6FF9A364"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0.616 </w:t>
            </w:r>
          </w:p>
        </w:tc>
        <w:tc>
          <w:tcPr>
            <w:tcW w:w="1020" w:type="dxa"/>
            <w:tcBorders>
              <w:top w:val="nil"/>
              <w:left w:val="nil"/>
              <w:bottom w:val="single" w:sz="4" w:space="0" w:color="D9E1F2"/>
              <w:right w:val="nil"/>
            </w:tcBorders>
            <w:shd w:val="clear" w:color="000000" w:fill="F7F9FC"/>
            <w:noWrap/>
            <w:vAlign w:val="center"/>
          </w:tcPr>
          <w:p w14:paraId="56FE1FC0"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0.537 </w:t>
            </w:r>
          </w:p>
        </w:tc>
        <w:tc>
          <w:tcPr>
            <w:tcW w:w="1020" w:type="dxa"/>
            <w:tcBorders>
              <w:top w:val="nil"/>
              <w:left w:val="nil"/>
              <w:bottom w:val="single" w:sz="4" w:space="0" w:color="D9E1F2"/>
              <w:right w:val="nil"/>
            </w:tcBorders>
            <w:shd w:val="clear" w:color="000000" w:fill="F7F9FC"/>
            <w:noWrap/>
            <w:vAlign w:val="center"/>
          </w:tcPr>
          <w:p w14:paraId="6E14DC4B"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0.861 </w:t>
            </w:r>
          </w:p>
        </w:tc>
        <w:tc>
          <w:tcPr>
            <w:tcW w:w="1189" w:type="dxa"/>
            <w:tcBorders>
              <w:top w:val="nil"/>
              <w:left w:val="nil"/>
              <w:bottom w:val="single" w:sz="4" w:space="0" w:color="D9E1F2"/>
              <w:right w:val="nil"/>
            </w:tcBorders>
            <w:shd w:val="clear" w:color="000000" w:fill="F7F9FC"/>
            <w:noWrap/>
            <w:vAlign w:val="center"/>
          </w:tcPr>
          <w:p w14:paraId="31541764"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0.687 </w:t>
            </w:r>
          </w:p>
        </w:tc>
      </w:tr>
      <w:tr w:rsidR="00230863" w14:paraId="77746320" w14:textId="77777777" w:rsidTr="00B7003B">
        <w:trPr>
          <w:trHeight w:val="285"/>
        </w:trPr>
        <w:tc>
          <w:tcPr>
            <w:tcW w:w="1500" w:type="dxa"/>
            <w:tcBorders>
              <w:top w:val="single" w:sz="8" w:space="0" w:color="7F8C8D"/>
              <w:left w:val="nil"/>
              <w:bottom w:val="single" w:sz="4" w:space="0" w:color="D9E1F2"/>
              <w:right w:val="nil"/>
            </w:tcBorders>
            <w:shd w:val="clear" w:color="000000" w:fill="F7F9FC"/>
            <w:noWrap/>
            <w:vAlign w:val="center"/>
          </w:tcPr>
          <w:p w14:paraId="0F0C0F43" w14:textId="77777777" w:rsidR="00230863" w:rsidRDefault="00230863" w:rsidP="00B7003B">
            <w:pPr>
              <w:widowControl/>
              <w:jc w:val="left"/>
              <w:rPr>
                <w:rFonts w:ascii="Times New Roman" w:eastAsia="等线" w:hAnsi="Times New Roman" w:cs="Times New Roman"/>
                <w:color w:val="1F1F1F"/>
                <w:kern w:val="0"/>
                <w:sz w:val="22"/>
              </w:rPr>
            </w:pPr>
            <w:r>
              <w:rPr>
                <w:rFonts w:ascii="Times New Roman" w:eastAsia="等线" w:hAnsi="Times New Roman" w:cs="Times New Roman"/>
                <w:color w:val="1F1F1F"/>
                <w:kern w:val="0"/>
                <w:sz w:val="22"/>
              </w:rPr>
              <w:t>Validation</w:t>
            </w:r>
          </w:p>
        </w:tc>
        <w:tc>
          <w:tcPr>
            <w:tcW w:w="2020" w:type="dxa"/>
            <w:tcBorders>
              <w:top w:val="single" w:sz="8" w:space="0" w:color="7F8C8D"/>
              <w:left w:val="nil"/>
              <w:bottom w:val="single" w:sz="4" w:space="0" w:color="D9E1F2"/>
              <w:right w:val="nil"/>
            </w:tcBorders>
            <w:shd w:val="clear" w:color="000000" w:fill="F7F9FC"/>
            <w:noWrap/>
            <w:vAlign w:val="center"/>
          </w:tcPr>
          <w:p w14:paraId="5CB235C3" w14:textId="77777777" w:rsidR="00230863" w:rsidRDefault="00230863" w:rsidP="00B7003B">
            <w:pPr>
              <w:widowControl/>
              <w:jc w:val="left"/>
              <w:rPr>
                <w:rFonts w:ascii="Times New Roman" w:eastAsia="等线" w:hAnsi="Times New Roman" w:cs="Times New Roman"/>
                <w:color w:val="1F1F1F"/>
                <w:kern w:val="0"/>
                <w:sz w:val="22"/>
              </w:rPr>
            </w:pPr>
            <w:r>
              <w:rPr>
                <w:rFonts w:ascii="Times New Roman" w:eastAsia="等线" w:hAnsi="Times New Roman" w:cs="Times New Roman"/>
                <w:color w:val="1F1F1F"/>
                <w:kern w:val="0"/>
                <w:sz w:val="22"/>
              </w:rPr>
              <w:t>Clinical</w:t>
            </w:r>
          </w:p>
        </w:tc>
        <w:tc>
          <w:tcPr>
            <w:tcW w:w="1020" w:type="dxa"/>
            <w:tcBorders>
              <w:top w:val="single" w:sz="8" w:space="0" w:color="7F8C8D"/>
              <w:left w:val="nil"/>
              <w:bottom w:val="single" w:sz="4" w:space="0" w:color="D9E1F2"/>
              <w:right w:val="nil"/>
            </w:tcBorders>
            <w:shd w:val="clear" w:color="000000" w:fill="F7F9FC"/>
            <w:noWrap/>
            <w:vAlign w:val="center"/>
          </w:tcPr>
          <w:p w14:paraId="3BC56211"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0.432 </w:t>
            </w:r>
          </w:p>
        </w:tc>
        <w:tc>
          <w:tcPr>
            <w:tcW w:w="1020" w:type="dxa"/>
            <w:tcBorders>
              <w:top w:val="single" w:sz="8" w:space="0" w:color="7F8C8D"/>
              <w:left w:val="nil"/>
              <w:bottom w:val="single" w:sz="4" w:space="0" w:color="D9E1F2"/>
              <w:right w:val="nil"/>
            </w:tcBorders>
            <w:shd w:val="clear" w:color="000000" w:fill="F7F9FC"/>
            <w:noWrap/>
            <w:vAlign w:val="center"/>
          </w:tcPr>
          <w:p w14:paraId="1E4FF30E"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0.850 </w:t>
            </w:r>
          </w:p>
        </w:tc>
        <w:tc>
          <w:tcPr>
            <w:tcW w:w="1020" w:type="dxa"/>
            <w:tcBorders>
              <w:top w:val="single" w:sz="8" w:space="0" w:color="7F8C8D"/>
              <w:left w:val="nil"/>
              <w:bottom w:val="single" w:sz="4" w:space="0" w:color="D9E1F2"/>
              <w:right w:val="nil"/>
            </w:tcBorders>
            <w:shd w:val="clear" w:color="000000" w:fill="F7F9FC"/>
            <w:noWrap/>
            <w:vAlign w:val="center"/>
          </w:tcPr>
          <w:p w14:paraId="7C2C217F"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0.596 </w:t>
            </w:r>
          </w:p>
        </w:tc>
        <w:tc>
          <w:tcPr>
            <w:tcW w:w="1020" w:type="dxa"/>
            <w:tcBorders>
              <w:top w:val="single" w:sz="8" w:space="0" w:color="7F8C8D"/>
              <w:left w:val="nil"/>
              <w:bottom w:val="single" w:sz="4" w:space="0" w:color="D9E1F2"/>
              <w:right w:val="nil"/>
            </w:tcBorders>
            <w:shd w:val="clear" w:color="000000" w:fill="F7F9FC"/>
            <w:noWrap/>
            <w:vAlign w:val="center"/>
          </w:tcPr>
          <w:p w14:paraId="440DF4EE"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0.745 </w:t>
            </w:r>
          </w:p>
        </w:tc>
        <w:tc>
          <w:tcPr>
            <w:tcW w:w="1189" w:type="dxa"/>
            <w:tcBorders>
              <w:top w:val="single" w:sz="8" w:space="0" w:color="7F8C8D"/>
              <w:left w:val="nil"/>
              <w:bottom w:val="single" w:sz="4" w:space="0" w:color="D9E1F2"/>
              <w:right w:val="nil"/>
            </w:tcBorders>
            <w:shd w:val="clear" w:color="000000" w:fill="F7F9FC"/>
            <w:noWrap/>
            <w:vAlign w:val="center"/>
          </w:tcPr>
          <w:p w14:paraId="667A2899"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0.709 </w:t>
            </w:r>
          </w:p>
        </w:tc>
      </w:tr>
      <w:tr w:rsidR="00230863" w14:paraId="55D7666C" w14:textId="77777777" w:rsidTr="00B7003B">
        <w:trPr>
          <w:trHeight w:val="285"/>
        </w:trPr>
        <w:tc>
          <w:tcPr>
            <w:tcW w:w="1500" w:type="dxa"/>
            <w:tcBorders>
              <w:top w:val="nil"/>
              <w:left w:val="nil"/>
              <w:bottom w:val="single" w:sz="4" w:space="0" w:color="D9E1F2"/>
              <w:right w:val="nil"/>
            </w:tcBorders>
            <w:shd w:val="clear" w:color="000000" w:fill="F7F9FC"/>
            <w:noWrap/>
            <w:vAlign w:val="center"/>
          </w:tcPr>
          <w:p w14:paraId="470BB1E5" w14:textId="77777777" w:rsidR="00230863" w:rsidRDefault="00230863" w:rsidP="00B7003B">
            <w:pPr>
              <w:widowControl/>
              <w:jc w:val="left"/>
              <w:rPr>
                <w:rFonts w:ascii="Times New Roman" w:eastAsia="等线" w:hAnsi="Times New Roman" w:cs="Times New Roman"/>
                <w:color w:val="1F1F1F"/>
                <w:kern w:val="0"/>
                <w:sz w:val="22"/>
              </w:rPr>
            </w:pPr>
            <w:r>
              <w:rPr>
                <w:rFonts w:ascii="Times New Roman" w:eastAsia="等线" w:hAnsi="Times New Roman" w:cs="Times New Roman"/>
                <w:color w:val="1F1F1F"/>
                <w:kern w:val="0"/>
                <w:sz w:val="22"/>
              </w:rPr>
              <w:t>Validation</w:t>
            </w:r>
          </w:p>
        </w:tc>
        <w:tc>
          <w:tcPr>
            <w:tcW w:w="2020" w:type="dxa"/>
            <w:tcBorders>
              <w:top w:val="nil"/>
              <w:left w:val="nil"/>
              <w:bottom w:val="single" w:sz="4" w:space="0" w:color="D9E1F2"/>
              <w:right w:val="nil"/>
            </w:tcBorders>
            <w:shd w:val="clear" w:color="000000" w:fill="F7F9FC"/>
            <w:noWrap/>
            <w:vAlign w:val="center"/>
          </w:tcPr>
          <w:p w14:paraId="26B46DFE" w14:textId="77777777" w:rsidR="00230863" w:rsidRDefault="00230863" w:rsidP="00B7003B">
            <w:pPr>
              <w:widowControl/>
              <w:jc w:val="left"/>
              <w:rPr>
                <w:rFonts w:ascii="Times New Roman" w:eastAsia="等线" w:hAnsi="Times New Roman" w:cs="Times New Roman"/>
                <w:color w:val="1F1F1F"/>
                <w:kern w:val="0"/>
                <w:sz w:val="22"/>
              </w:rPr>
            </w:pPr>
            <w:r>
              <w:rPr>
                <w:rFonts w:ascii="Times New Roman" w:eastAsia="等线" w:hAnsi="Times New Roman" w:cs="Times New Roman"/>
                <w:color w:val="1F1F1F"/>
                <w:kern w:val="0"/>
                <w:sz w:val="22"/>
              </w:rPr>
              <w:t>Radiomics</w:t>
            </w:r>
          </w:p>
        </w:tc>
        <w:tc>
          <w:tcPr>
            <w:tcW w:w="1020" w:type="dxa"/>
            <w:tcBorders>
              <w:top w:val="nil"/>
              <w:left w:val="nil"/>
              <w:bottom w:val="single" w:sz="4" w:space="0" w:color="D9E1F2"/>
              <w:right w:val="nil"/>
            </w:tcBorders>
            <w:shd w:val="clear" w:color="000000" w:fill="F7F9FC"/>
            <w:noWrap/>
            <w:vAlign w:val="center"/>
          </w:tcPr>
          <w:p w14:paraId="72EC6DE8"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0.729 </w:t>
            </w:r>
          </w:p>
        </w:tc>
        <w:tc>
          <w:tcPr>
            <w:tcW w:w="1020" w:type="dxa"/>
            <w:tcBorders>
              <w:top w:val="nil"/>
              <w:left w:val="nil"/>
              <w:bottom w:val="single" w:sz="4" w:space="0" w:color="D9E1F2"/>
              <w:right w:val="nil"/>
            </w:tcBorders>
            <w:shd w:val="clear" w:color="000000" w:fill="F7F9FC"/>
            <w:noWrap/>
            <w:vAlign w:val="center"/>
          </w:tcPr>
          <w:p w14:paraId="734145CE"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0.470 </w:t>
            </w:r>
          </w:p>
        </w:tc>
        <w:tc>
          <w:tcPr>
            <w:tcW w:w="1020" w:type="dxa"/>
            <w:tcBorders>
              <w:top w:val="nil"/>
              <w:left w:val="nil"/>
              <w:bottom w:val="single" w:sz="4" w:space="0" w:color="D9E1F2"/>
              <w:right w:val="nil"/>
            </w:tcBorders>
            <w:shd w:val="clear" w:color="000000" w:fill="F7F9FC"/>
            <w:noWrap/>
            <w:vAlign w:val="center"/>
          </w:tcPr>
          <w:p w14:paraId="2A1FD8AA"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0.413 </w:t>
            </w:r>
          </w:p>
        </w:tc>
        <w:tc>
          <w:tcPr>
            <w:tcW w:w="1020" w:type="dxa"/>
            <w:tcBorders>
              <w:top w:val="nil"/>
              <w:left w:val="nil"/>
              <w:bottom w:val="single" w:sz="4" w:space="0" w:color="D9E1F2"/>
              <w:right w:val="nil"/>
            </w:tcBorders>
            <w:shd w:val="clear" w:color="000000" w:fill="F7F9FC"/>
            <w:noWrap/>
            <w:vAlign w:val="center"/>
          </w:tcPr>
          <w:p w14:paraId="22C7A9BB"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0.772 </w:t>
            </w:r>
          </w:p>
        </w:tc>
        <w:tc>
          <w:tcPr>
            <w:tcW w:w="1189" w:type="dxa"/>
            <w:tcBorders>
              <w:top w:val="nil"/>
              <w:left w:val="nil"/>
              <w:bottom w:val="single" w:sz="4" w:space="0" w:color="D9E1F2"/>
              <w:right w:val="nil"/>
            </w:tcBorders>
            <w:shd w:val="clear" w:color="000000" w:fill="F7F9FC"/>
            <w:noWrap/>
            <w:vAlign w:val="center"/>
          </w:tcPr>
          <w:p w14:paraId="60C738B5"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0.557 </w:t>
            </w:r>
          </w:p>
        </w:tc>
      </w:tr>
      <w:tr w:rsidR="00230863" w14:paraId="5206E0D0" w14:textId="77777777" w:rsidTr="00B7003B">
        <w:trPr>
          <w:trHeight w:val="285"/>
        </w:trPr>
        <w:tc>
          <w:tcPr>
            <w:tcW w:w="1500" w:type="dxa"/>
            <w:tcBorders>
              <w:top w:val="nil"/>
              <w:left w:val="nil"/>
              <w:bottom w:val="single" w:sz="4" w:space="0" w:color="D9E1F2"/>
              <w:right w:val="nil"/>
            </w:tcBorders>
            <w:shd w:val="clear" w:color="000000" w:fill="F7F9FC"/>
            <w:noWrap/>
            <w:vAlign w:val="center"/>
          </w:tcPr>
          <w:p w14:paraId="438121F0" w14:textId="77777777" w:rsidR="00230863" w:rsidRDefault="00230863" w:rsidP="00B7003B">
            <w:pPr>
              <w:widowControl/>
              <w:jc w:val="left"/>
              <w:rPr>
                <w:rFonts w:ascii="Times New Roman" w:eastAsia="等线" w:hAnsi="Times New Roman" w:cs="Times New Roman"/>
                <w:color w:val="1F1F1F"/>
                <w:kern w:val="0"/>
                <w:sz w:val="22"/>
              </w:rPr>
            </w:pPr>
            <w:r>
              <w:rPr>
                <w:rFonts w:ascii="Times New Roman" w:eastAsia="等线" w:hAnsi="Times New Roman" w:cs="Times New Roman"/>
                <w:color w:val="1F1F1F"/>
                <w:kern w:val="0"/>
                <w:sz w:val="22"/>
              </w:rPr>
              <w:t>Validation</w:t>
            </w:r>
          </w:p>
        </w:tc>
        <w:tc>
          <w:tcPr>
            <w:tcW w:w="2020" w:type="dxa"/>
            <w:tcBorders>
              <w:top w:val="nil"/>
              <w:left w:val="nil"/>
              <w:bottom w:val="single" w:sz="4" w:space="0" w:color="D9E1F2"/>
              <w:right w:val="nil"/>
            </w:tcBorders>
            <w:shd w:val="clear" w:color="000000" w:fill="F7F9FC"/>
            <w:noWrap/>
            <w:vAlign w:val="center"/>
          </w:tcPr>
          <w:p w14:paraId="4BFFD2D2" w14:textId="77777777" w:rsidR="00230863" w:rsidRDefault="00230863" w:rsidP="00B7003B">
            <w:pPr>
              <w:widowControl/>
              <w:jc w:val="left"/>
              <w:rPr>
                <w:rFonts w:ascii="Times New Roman" w:eastAsia="等线" w:hAnsi="Times New Roman" w:cs="Times New Roman"/>
                <w:color w:val="1F1F1F"/>
                <w:kern w:val="0"/>
                <w:sz w:val="22"/>
              </w:rPr>
            </w:pPr>
            <w:r>
              <w:rPr>
                <w:rFonts w:ascii="Times New Roman" w:eastAsia="等线" w:hAnsi="Times New Roman" w:cs="Times New Roman"/>
                <w:color w:val="1F1F1F"/>
                <w:kern w:val="0"/>
                <w:sz w:val="22"/>
              </w:rPr>
              <w:t>Deep learning</w:t>
            </w:r>
          </w:p>
        </w:tc>
        <w:tc>
          <w:tcPr>
            <w:tcW w:w="1020" w:type="dxa"/>
            <w:tcBorders>
              <w:top w:val="nil"/>
              <w:left w:val="nil"/>
              <w:bottom w:val="single" w:sz="4" w:space="0" w:color="D9E1F2"/>
              <w:right w:val="nil"/>
            </w:tcBorders>
            <w:shd w:val="clear" w:color="000000" w:fill="F7F9FC"/>
            <w:noWrap/>
            <w:vAlign w:val="center"/>
          </w:tcPr>
          <w:p w14:paraId="3047ABF0"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0.871 </w:t>
            </w:r>
          </w:p>
        </w:tc>
        <w:tc>
          <w:tcPr>
            <w:tcW w:w="1020" w:type="dxa"/>
            <w:tcBorders>
              <w:top w:val="nil"/>
              <w:left w:val="nil"/>
              <w:bottom w:val="single" w:sz="4" w:space="0" w:color="D9E1F2"/>
              <w:right w:val="nil"/>
            </w:tcBorders>
            <w:shd w:val="clear" w:color="000000" w:fill="F7F9FC"/>
            <w:noWrap/>
            <w:vAlign w:val="center"/>
          </w:tcPr>
          <w:p w14:paraId="489BF45F"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0.422 </w:t>
            </w:r>
          </w:p>
        </w:tc>
        <w:tc>
          <w:tcPr>
            <w:tcW w:w="1020" w:type="dxa"/>
            <w:tcBorders>
              <w:top w:val="nil"/>
              <w:left w:val="nil"/>
              <w:bottom w:val="single" w:sz="4" w:space="0" w:color="D9E1F2"/>
              <w:right w:val="nil"/>
            </w:tcBorders>
            <w:shd w:val="clear" w:color="000000" w:fill="F7F9FC"/>
            <w:noWrap/>
            <w:vAlign w:val="center"/>
          </w:tcPr>
          <w:p w14:paraId="21FAC6B7"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0.436 </w:t>
            </w:r>
          </w:p>
        </w:tc>
        <w:tc>
          <w:tcPr>
            <w:tcW w:w="1020" w:type="dxa"/>
            <w:tcBorders>
              <w:top w:val="nil"/>
              <w:left w:val="nil"/>
              <w:bottom w:val="single" w:sz="4" w:space="0" w:color="D9E1F2"/>
              <w:right w:val="nil"/>
            </w:tcBorders>
            <w:shd w:val="clear" w:color="000000" w:fill="F7F9FC"/>
            <w:noWrap/>
            <w:vAlign w:val="center"/>
          </w:tcPr>
          <w:p w14:paraId="2CA62B08"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0.865 </w:t>
            </w:r>
          </w:p>
        </w:tc>
        <w:tc>
          <w:tcPr>
            <w:tcW w:w="1189" w:type="dxa"/>
            <w:tcBorders>
              <w:top w:val="nil"/>
              <w:left w:val="nil"/>
              <w:bottom w:val="single" w:sz="4" w:space="0" w:color="D9E1F2"/>
              <w:right w:val="nil"/>
            </w:tcBorders>
            <w:shd w:val="clear" w:color="000000" w:fill="F7F9FC"/>
            <w:noWrap/>
            <w:vAlign w:val="center"/>
          </w:tcPr>
          <w:p w14:paraId="7DCD8F7E"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0.574 </w:t>
            </w:r>
          </w:p>
        </w:tc>
      </w:tr>
      <w:tr w:rsidR="00230863" w14:paraId="106EFB88" w14:textId="77777777" w:rsidTr="00B7003B">
        <w:trPr>
          <w:trHeight w:val="285"/>
        </w:trPr>
        <w:tc>
          <w:tcPr>
            <w:tcW w:w="1500" w:type="dxa"/>
            <w:tcBorders>
              <w:top w:val="nil"/>
              <w:left w:val="nil"/>
              <w:bottom w:val="single" w:sz="4" w:space="0" w:color="D9E1F2"/>
              <w:right w:val="nil"/>
            </w:tcBorders>
            <w:shd w:val="clear" w:color="000000" w:fill="F7F9FC"/>
            <w:noWrap/>
            <w:vAlign w:val="center"/>
          </w:tcPr>
          <w:p w14:paraId="6CEB7822" w14:textId="77777777" w:rsidR="00230863" w:rsidRDefault="00230863" w:rsidP="00B7003B">
            <w:pPr>
              <w:widowControl/>
              <w:jc w:val="left"/>
              <w:rPr>
                <w:rFonts w:ascii="Times New Roman" w:eastAsia="等线" w:hAnsi="Times New Roman" w:cs="Times New Roman"/>
                <w:color w:val="1F1F1F"/>
                <w:kern w:val="0"/>
                <w:sz w:val="22"/>
              </w:rPr>
            </w:pPr>
            <w:r>
              <w:rPr>
                <w:rFonts w:ascii="Times New Roman" w:eastAsia="等线" w:hAnsi="Times New Roman" w:cs="Times New Roman"/>
                <w:color w:val="1F1F1F"/>
                <w:kern w:val="0"/>
                <w:sz w:val="22"/>
              </w:rPr>
              <w:t>Validation</w:t>
            </w:r>
          </w:p>
        </w:tc>
        <w:tc>
          <w:tcPr>
            <w:tcW w:w="2020" w:type="dxa"/>
            <w:tcBorders>
              <w:top w:val="nil"/>
              <w:left w:val="nil"/>
              <w:bottom w:val="single" w:sz="4" w:space="0" w:color="D9E1F2"/>
              <w:right w:val="nil"/>
            </w:tcBorders>
            <w:shd w:val="clear" w:color="000000" w:fill="F7F9FC"/>
            <w:noWrap/>
            <w:vAlign w:val="center"/>
          </w:tcPr>
          <w:p w14:paraId="206C91C3" w14:textId="77777777" w:rsidR="00230863" w:rsidRDefault="00230863" w:rsidP="00B7003B">
            <w:pPr>
              <w:widowControl/>
              <w:jc w:val="left"/>
              <w:rPr>
                <w:rFonts w:ascii="Times New Roman" w:eastAsia="等线" w:hAnsi="Times New Roman" w:cs="Times New Roman"/>
                <w:color w:val="1F1F1F"/>
                <w:kern w:val="0"/>
                <w:sz w:val="22"/>
              </w:rPr>
            </w:pPr>
            <w:r>
              <w:rPr>
                <w:rFonts w:ascii="Times New Roman" w:eastAsia="等线" w:hAnsi="Times New Roman" w:cs="Times New Roman"/>
                <w:color w:val="1F1F1F"/>
                <w:kern w:val="0"/>
                <w:sz w:val="22"/>
              </w:rPr>
              <w:t>Clinical</w:t>
            </w:r>
            <w:r>
              <w:rPr>
                <w:rFonts w:ascii="Times New Roman" w:eastAsia="等线" w:hAnsi="Times New Roman" w:cs="Times New Roman" w:hint="eastAsia"/>
                <w:color w:val="1F1F1F"/>
                <w:kern w:val="0"/>
                <w:sz w:val="22"/>
              </w:rPr>
              <w:t>-</w:t>
            </w:r>
            <w:r>
              <w:rPr>
                <w:rFonts w:ascii="Times New Roman" w:eastAsia="等线" w:hAnsi="Times New Roman" w:cs="Times New Roman"/>
                <w:color w:val="1F1F1F"/>
                <w:kern w:val="0"/>
                <w:sz w:val="22"/>
              </w:rPr>
              <w:t>imaging</w:t>
            </w:r>
          </w:p>
        </w:tc>
        <w:tc>
          <w:tcPr>
            <w:tcW w:w="1020" w:type="dxa"/>
            <w:tcBorders>
              <w:top w:val="nil"/>
              <w:left w:val="nil"/>
              <w:bottom w:val="single" w:sz="4" w:space="0" w:color="D9E1F2"/>
              <w:right w:val="nil"/>
            </w:tcBorders>
            <w:shd w:val="clear" w:color="000000" w:fill="F7F9FC"/>
            <w:noWrap/>
            <w:vAlign w:val="center"/>
          </w:tcPr>
          <w:p w14:paraId="00209E6A"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0.621 </w:t>
            </w:r>
          </w:p>
        </w:tc>
        <w:tc>
          <w:tcPr>
            <w:tcW w:w="1020" w:type="dxa"/>
            <w:tcBorders>
              <w:top w:val="nil"/>
              <w:left w:val="nil"/>
              <w:bottom w:val="single" w:sz="4" w:space="0" w:color="D9E1F2"/>
              <w:right w:val="nil"/>
            </w:tcBorders>
            <w:shd w:val="clear" w:color="000000" w:fill="F7F9FC"/>
            <w:noWrap/>
            <w:vAlign w:val="center"/>
          </w:tcPr>
          <w:p w14:paraId="7E6A014D"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0.793 </w:t>
            </w:r>
          </w:p>
        </w:tc>
        <w:tc>
          <w:tcPr>
            <w:tcW w:w="1020" w:type="dxa"/>
            <w:tcBorders>
              <w:top w:val="nil"/>
              <w:left w:val="nil"/>
              <w:bottom w:val="single" w:sz="4" w:space="0" w:color="D9E1F2"/>
              <w:right w:val="nil"/>
            </w:tcBorders>
            <w:shd w:val="clear" w:color="000000" w:fill="F7F9FC"/>
            <w:noWrap/>
            <w:vAlign w:val="center"/>
          </w:tcPr>
          <w:p w14:paraId="43C0DB0A"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0.606 </w:t>
            </w:r>
          </w:p>
        </w:tc>
        <w:tc>
          <w:tcPr>
            <w:tcW w:w="1020" w:type="dxa"/>
            <w:tcBorders>
              <w:top w:val="nil"/>
              <w:left w:val="nil"/>
              <w:bottom w:val="single" w:sz="4" w:space="0" w:color="D9E1F2"/>
              <w:right w:val="nil"/>
            </w:tcBorders>
            <w:shd w:val="clear" w:color="000000" w:fill="F7F9FC"/>
            <w:noWrap/>
            <w:vAlign w:val="center"/>
          </w:tcPr>
          <w:p w14:paraId="589FDE6E"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0.804 </w:t>
            </w:r>
          </w:p>
        </w:tc>
        <w:tc>
          <w:tcPr>
            <w:tcW w:w="1189" w:type="dxa"/>
            <w:tcBorders>
              <w:top w:val="nil"/>
              <w:left w:val="nil"/>
              <w:bottom w:val="single" w:sz="4" w:space="0" w:color="D9E1F2"/>
              <w:right w:val="nil"/>
            </w:tcBorders>
            <w:shd w:val="clear" w:color="000000" w:fill="F7F9FC"/>
            <w:noWrap/>
            <w:vAlign w:val="center"/>
          </w:tcPr>
          <w:p w14:paraId="08250CF6" w14:textId="77777777" w:rsidR="00230863" w:rsidRDefault="00230863" w:rsidP="00B7003B">
            <w:pPr>
              <w:widowControl/>
              <w:jc w:val="center"/>
              <w:rPr>
                <w:rFonts w:ascii="Times New Roman" w:eastAsia="等线" w:hAnsi="Times New Roman" w:cs="Times New Roman"/>
                <w:color w:val="1F1F1F"/>
                <w:kern w:val="0"/>
                <w:sz w:val="22"/>
              </w:rPr>
            </w:pPr>
            <w:r>
              <w:rPr>
                <w:rFonts w:ascii="Times New Roman" w:eastAsia="等线" w:hAnsi="Times New Roman" w:cs="Times New Roman" w:hint="eastAsia"/>
                <w:color w:val="1F1F1F"/>
                <w:kern w:val="0"/>
                <w:sz w:val="22"/>
              </w:rPr>
              <w:t xml:space="preserve">0.735 </w:t>
            </w:r>
          </w:p>
        </w:tc>
      </w:tr>
      <w:tr w:rsidR="00230863" w14:paraId="7CD90D09" w14:textId="77777777" w:rsidTr="00B7003B">
        <w:trPr>
          <w:trHeight w:val="720"/>
        </w:trPr>
        <w:tc>
          <w:tcPr>
            <w:tcW w:w="8789" w:type="dxa"/>
            <w:gridSpan w:val="7"/>
            <w:tcBorders>
              <w:top w:val="nil"/>
              <w:left w:val="nil"/>
              <w:bottom w:val="nil"/>
              <w:right w:val="nil"/>
            </w:tcBorders>
            <w:shd w:val="clear" w:color="000000" w:fill="FFF2CC"/>
            <w:vAlign w:val="center"/>
          </w:tcPr>
          <w:p w14:paraId="0CB452CC" w14:textId="77777777" w:rsidR="00230863" w:rsidRDefault="00230863" w:rsidP="00B7003B">
            <w:pPr>
              <w:widowControl/>
              <w:jc w:val="left"/>
              <w:rPr>
                <w:rFonts w:ascii="Times New Roman" w:eastAsia="等线" w:hAnsi="Times New Roman" w:cs="Times New Roman"/>
                <w:i/>
                <w:iCs/>
                <w:color w:val="595959"/>
                <w:kern w:val="0"/>
                <w:sz w:val="20"/>
                <w:szCs w:val="20"/>
              </w:rPr>
            </w:pPr>
            <w:r>
              <w:rPr>
                <w:rFonts w:ascii="Times New Roman" w:eastAsia="等线" w:hAnsi="Times New Roman" w:cs="Times New Roman"/>
                <w:i/>
                <w:iCs/>
                <w:color w:val="595959"/>
                <w:kern w:val="0"/>
                <w:sz w:val="20"/>
                <w:szCs w:val="20"/>
              </w:rPr>
              <w:t xml:space="preserve">SEN: sensitivity; SPE: specificity; PPV: positive predictive value; NPV: negative predictive value; ACC: accuracy. </w:t>
            </w:r>
          </w:p>
        </w:tc>
      </w:tr>
    </w:tbl>
    <w:p w14:paraId="2DD60390" w14:textId="77777777" w:rsidR="00230863" w:rsidRDefault="00230863" w:rsidP="00230863">
      <w:pPr>
        <w:rPr>
          <w:rFonts w:ascii="Times New Roman" w:hAnsi="Times New Roman" w:cs="Times New Roman"/>
        </w:rPr>
      </w:pPr>
      <w:r>
        <w:rPr>
          <w:rFonts w:ascii="Times New Roman" w:hAnsi="Times New Roman" w:cs="Times New Roman"/>
        </w:rPr>
        <w:t>Classification metrics were calculated using model-specific probability thresholds determined by maximizing the Youden index in the corresponding training dataset; thresholds were fixed and applied unchanged to the internal-test and external-validation cohorts.</w:t>
      </w:r>
    </w:p>
    <w:p w14:paraId="0653775E" w14:textId="77777777" w:rsidR="00230863" w:rsidRDefault="00230863" w:rsidP="00230863">
      <w:pPr>
        <w:widowControl/>
        <w:jc w:val="left"/>
        <w:rPr>
          <w:rFonts w:hint="eastAsia"/>
        </w:rPr>
      </w:pPr>
      <w:r>
        <w:rPr>
          <w:rFonts w:hint="eastAsia"/>
        </w:rPr>
        <w:br w:type="page"/>
      </w:r>
    </w:p>
    <w:p w14:paraId="4B1712A3" w14:textId="21F2FD95" w:rsidR="00230863" w:rsidRDefault="00230863" w:rsidP="00230863">
      <w:pPr>
        <w:rPr>
          <w:rFonts w:ascii="Times New Roman" w:hAnsi="Times New Roman" w:cs="Times New Roman"/>
          <w:b/>
          <w:bCs/>
        </w:rPr>
      </w:pPr>
      <w:r>
        <w:rPr>
          <w:rFonts w:ascii="Times New Roman" w:hAnsi="Times New Roman" w:cs="Times New Roman"/>
          <w:b/>
          <w:bCs/>
        </w:rPr>
        <w:lastRenderedPageBreak/>
        <w:t xml:space="preserve">Table </w:t>
      </w:r>
      <w:r>
        <w:rPr>
          <w:rFonts w:ascii="Times New Roman" w:hAnsi="Times New Roman" w:cs="Times New Roman" w:hint="eastAsia"/>
          <w:b/>
          <w:bCs/>
        </w:rPr>
        <w:t>S</w:t>
      </w:r>
      <w:r w:rsidR="00ED3BE8">
        <w:rPr>
          <w:rFonts w:ascii="Times New Roman" w:hAnsi="Times New Roman" w:cs="Times New Roman" w:hint="eastAsia"/>
          <w:b/>
          <w:bCs/>
        </w:rPr>
        <w:t>2</w:t>
      </w:r>
      <w:r>
        <w:rPr>
          <w:rFonts w:ascii="Times New Roman" w:hAnsi="Times New Roman" w:cs="Times New Roman"/>
          <w:b/>
          <w:bCs/>
        </w:rPr>
        <w:t>. Calibration performance of prediction models in the training, internal test, and external validation cohorts.</w:t>
      </w:r>
    </w:p>
    <w:p w14:paraId="4F32C79D" w14:textId="77777777" w:rsidR="00230863" w:rsidRDefault="00230863" w:rsidP="00230863">
      <w:pPr>
        <w:rPr>
          <w:rFonts w:hint="eastAsia"/>
        </w:rPr>
      </w:pPr>
      <w:r>
        <w:rPr>
          <w:noProof/>
        </w:rPr>
        <w:drawing>
          <wp:inline distT="0" distB="0" distL="0" distR="0" wp14:anchorId="57EABA1E" wp14:editId="62F2EDBC">
            <wp:extent cx="5274310" cy="3709670"/>
            <wp:effectExtent l="0" t="0" r="2540" b="5080"/>
            <wp:docPr id="18581628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498790" name="图片 1"/>
                    <pic:cNvPicPr>
                      <a:picLocks noChangeAspect="1"/>
                    </pic:cNvPicPr>
                  </pic:nvPicPr>
                  <pic:blipFill>
                    <a:blip r:embed="rId20"/>
                    <a:stretch>
                      <a:fillRect/>
                    </a:stretch>
                  </pic:blipFill>
                  <pic:spPr>
                    <a:xfrm>
                      <a:off x="0" y="0"/>
                      <a:ext cx="5274310" cy="3709670"/>
                    </a:xfrm>
                    <a:prstGeom prst="rect">
                      <a:avLst/>
                    </a:prstGeom>
                  </pic:spPr>
                </pic:pic>
              </a:graphicData>
            </a:graphic>
          </wp:inline>
        </w:drawing>
      </w:r>
    </w:p>
    <w:p w14:paraId="6A20A80D" w14:textId="77777777" w:rsidR="00230863" w:rsidRDefault="00230863" w:rsidP="00230863">
      <w:pPr>
        <w:rPr>
          <w:rFonts w:hint="eastAsia"/>
        </w:rPr>
      </w:pPr>
    </w:p>
    <w:p w14:paraId="01DBE8A6" w14:textId="77777777" w:rsidR="00230863" w:rsidRDefault="00230863" w:rsidP="00230863">
      <w:pPr>
        <w:widowControl/>
        <w:jc w:val="left"/>
        <w:rPr>
          <w:rFonts w:hint="eastAsia"/>
        </w:rPr>
      </w:pPr>
      <w:r>
        <w:rPr>
          <w:rFonts w:hint="eastAsia"/>
        </w:rPr>
        <w:br w:type="page"/>
      </w:r>
    </w:p>
    <w:p w14:paraId="6C78C753" w14:textId="7C30DCAE" w:rsidR="00230863" w:rsidRDefault="00230863" w:rsidP="00230863">
      <w:pPr>
        <w:rPr>
          <w:rFonts w:ascii="Times New Roman" w:hAnsi="Times New Roman" w:cs="Times New Roman"/>
          <w:b/>
          <w:bCs/>
        </w:rPr>
      </w:pPr>
      <w:r>
        <w:rPr>
          <w:rFonts w:ascii="Times New Roman" w:hAnsi="Times New Roman" w:cs="Times New Roman"/>
          <w:b/>
          <w:bCs/>
        </w:rPr>
        <w:lastRenderedPageBreak/>
        <w:t>Table S</w:t>
      </w:r>
      <w:r w:rsidR="00ED3BE8">
        <w:rPr>
          <w:rFonts w:ascii="Times New Roman" w:hAnsi="Times New Roman" w:cs="Times New Roman" w:hint="eastAsia"/>
          <w:b/>
          <w:bCs/>
        </w:rPr>
        <w:t>3</w:t>
      </w:r>
      <w:r>
        <w:rPr>
          <w:rFonts w:ascii="Times New Roman" w:hAnsi="Times New Roman" w:cs="Times New Roman"/>
          <w:b/>
          <w:bCs/>
        </w:rPr>
        <w:t>. Calibration performance of the clinical-imaging, proteomic, and multimodal models across the training, internal test, and external validation cohorts.</w:t>
      </w:r>
    </w:p>
    <w:p w14:paraId="70839CA2" w14:textId="77777777" w:rsidR="00230863" w:rsidRDefault="00230863" w:rsidP="00230863">
      <w:pPr>
        <w:rPr>
          <w:rFonts w:hint="eastAsia"/>
        </w:rPr>
      </w:pPr>
      <w:r>
        <w:rPr>
          <w:noProof/>
        </w:rPr>
        <w:drawing>
          <wp:inline distT="0" distB="0" distL="0" distR="0" wp14:anchorId="1C972129" wp14:editId="6CDFEFE4">
            <wp:extent cx="5274310" cy="3581400"/>
            <wp:effectExtent l="0" t="0" r="2540" b="0"/>
            <wp:docPr id="11506660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256057" name="图片 1"/>
                    <pic:cNvPicPr>
                      <a:picLocks noChangeAspect="1"/>
                    </pic:cNvPicPr>
                  </pic:nvPicPr>
                  <pic:blipFill>
                    <a:blip r:embed="rId21"/>
                    <a:stretch>
                      <a:fillRect/>
                    </a:stretch>
                  </pic:blipFill>
                  <pic:spPr>
                    <a:xfrm>
                      <a:off x="0" y="0"/>
                      <a:ext cx="5274310" cy="3581400"/>
                    </a:xfrm>
                    <a:prstGeom prst="rect">
                      <a:avLst/>
                    </a:prstGeom>
                  </pic:spPr>
                </pic:pic>
              </a:graphicData>
            </a:graphic>
          </wp:inline>
        </w:drawing>
      </w:r>
    </w:p>
    <w:p w14:paraId="041CEFC3" w14:textId="77777777" w:rsidR="00230863" w:rsidRDefault="00230863" w:rsidP="00230863">
      <w:pPr>
        <w:rPr>
          <w:rFonts w:hint="eastAsia"/>
        </w:rPr>
      </w:pPr>
    </w:p>
    <w:p w14:paraId="6526B785" w14:textId="77777777" w:rsidR="00230863" w:rsidRDefault="00230863" w:rsidP="00230863">
      <w:pPr>
        <w:widowControl/>
        <w:jc w:val="left"/>
        <w:rPr>
          <w:rFonts w:ascii="Times New Roman" w:hAnsi="Times New Roman" w:cs="Times New Roman"/>
          <w:b/>
          <w:bCs/>
        </w:rPr>
      </w:pPr>
      <w:r>
        <w:rPr>
          <w:rFonts w:ascii="Times New Roman" w:hAnsi="Times New Roman" w:cs="Times New Roman"/>
          <w:b/>
          <w:bCs/>
        </w:rPr>
        <w:br w:type="page"/>
      </w:r>
    </w:p>
    <w:p w14:paraId="195B658D" w14:textId="1B23A43E" w:rsidR="00230863" w:rsidRDefault="00230863" w:rsidP="00230863">
      <w:pPr>
        <w:rPr>
          <w:rFonts w:ascii="Times New Roman" w:hAnsi="Times New Roman" w:cs="Times New Roman"/>
          <w:b/>
          <w:bCs/>
        </w:rPr>
      </w:pPr>
      <w:r>
        <w:rPr>
          <w:rFonts w:ascii="Times New Roman" w:hAnsi="Times New Roman" w:cs="Times New Roman" w:hint="eastAsia"/>
          <w:b/>
          <w:bCs/>
        </w:rPr>
        <w:lastRenderedPageBreak/>
        <w:t>Table S</w:t>
      </w:r>
      <w:r w:rsidR="00ED3BE8">
        <w:rPr>
          <w:rFonts w:ascii="Times New Roman" w:hAnsi="Times New Roman" w:cs="Times New Roman" w:hint="eastAsia"/>
          <w:b/>
          <w:bCs/>
        </w:rPr>
        <w:t>4</w:t>
      </w:r>
      <w:r>
        <w:rPr>
          <w:rFonts w:ascii="Times New Roman" w:hAnsi="Times New Roman" w:cs="Times New Roman" w:hint="eastAsia"/>
          <w:b/>
          <w:bCs/>
        </w:rPr>
        <w:t>.</w:t>
      </w:r>
      <w:r>
        <w:t xml:space="preserve"> </w:t>
      </w:r>
      <w:r>
        <w:rPr>
          <w:rFonts w:ascii="Times New Roman" w:hAnsi="Times New Roman" w:cs="Times New Roman" w:hint="eastAsia"/>
          <w:b/>
          <w:bCs/>
        </w:rPr>
        <w:t>C</w:t>
      </w:r>
      <w:r>
        <w:rPr>
          <w:rFonts w:ascii="Times New Roman" w:hAnsi="Times New Roman" w:cs="Times New Roman"/>
          <w:b/>
          <w:bCs/>
        </w:rPr>
        <w:t>lassification performance of the clinical-imaging, proteomic, and multimodal models in patients with matched proteomic data across the training, internal test, and external validation cohorts.</w:t>
      </w:r>
    </w:p>
    <w:tbl>
      <w:tblPr>
        <w:tblW w:w="8505" w:type="dxa"/>
        <w:tblLook w:val="04A0" w:firstRow="1" w:lastRow="0" w:firstColumn="1" w:lastColumn="0" w:noHBand="0" w:noVBand="1"/>
      </w:tblPr>
      <w:tblGrid>
        <w:gridCol w:w="1278"/>
        <w:gridCol w:w="2124"/>
        <w:gridCol w:w="1100"/>
        <w:gridCol w:w="1168"/>
        <w:gridCol w:w="993"/>
        <w:gridCol w:w="992"/>
        <w:gridCol w:w="850"/>
      </w:tblGrid>
      <w:tr w:rsidR="00230863" w14:paraId="4091C5C9" w14:textId="77777777" w:rsidTr="00B7003B">
        <w:trPr>
          <w:trHeight w:val="584"/>
        </w:trPr>
        <w:tc>
          <w:tcPr>
            <w:tcW w:w="1278" w:type="dxa"/>
            <w:tcBorders>
              <w:top w:val="nil"/>
              <w:left w:val="nil"/>
              <w:bottom w:val="single" w:sz="8" w:space="0" w:color="27408B"/>
              <w:right w:val="nil"/>
            </w:tcBorders>
            <w:shd w:val="clear" w:color="000000" w:fill="4472C4"/>
            <w:noWrap/>
            <w:vAlign w:val="center"/>
          </w:tcPr>
          <w:p w14:paraId="62538BD7" w14:textId="77777777" w:rsidR="00230863" w:rsidRDefault="00230863" w:rsidP="00B7003B">
            <w:pPr>
              <w:widowControl/>
              <w:jc w:val="center"/>
              <w:rPr>
                <w:rFonts w:ascii="Times New Roman" w:eastAsia="等线" w:hAnsi="Times New Roman" w:cs="Times New Roman"/>
                <w:b/>
                <w:bCs/>
                <w:color w:val="FFFFFF"/>
                <w:kern w:val="0"/>
                <w:szCs w:val="21"/>
              </w:rPr>
            </w:pPr>
            <w:r>
              <w:rPr>
                <w:rFonts w:ascii="Times New Roman" w:eastAsia="等线" w:hAnsi="Times New Roman" w:cs="Times New Roman"/>
                <w:b/>
                <w:bCs/>
                <w:color w:val="FFFFFF"/>
                <w:kern w:val="0"/>
                <w:szCs w:val="21"/>
              </w:rPr>
              <w:t>Cohort</w:t>
            </w:r>
          </w:p>
        </w:tc>
        <w:tc>
          <w:tcPr>
            <w:tcW w:w="2124" w:type="dxa"/>
            <w:tcBorders>
              <w:top w:val="nil"/>
              <w:left w:val="nil"/>
              <w:bottom w:val="single" w:sz="8" w:space="0" w:color="27408B"/>
              <w:right w:val="nil"/>
            </w:tcBorders>
            <w:shd w:val="clear" w:color="000000" w:fill="4472C4"/>
            <w:noWrap/>
            <w:vAlign w:val="center"/>
          </w:tcPr>
          <w:p w14:paraId="3A28AB18" w14:textId="77777777" w:rsidR="00230863" w:rsidRDefault="00230863" w:rsidP="00B7003B">
            <w:pPr>
              <w:widowControl/>
              <w:jc w:val="center"/>
              <w:rPr>
                <w:rFonts w:ascii="Times New Roman" w:eastAsia="等线" w:hAnsi="Times New Roman" w:cs="Times New Roman"/>
                <w:b/>
                <w:bCs/>
                <w:color w:val="FFFFFF"/>
                <w:kern w:val="0"/>
                <w:szCs w:val="21"/>
              </w:rPr>
            </w:pPr>
            <w:r>
              <w:rPr>
                <w:rFonts w:ascii="Times New Roman" w:eastAsia="等线" w:hAnsi="Times New Roman" w:cs="Times New Roman"/>
                <w:b/>
                <w:bCs/>
                <w:color w:val="FFFFFF"/>
                <w:kern w:val="0"/>
                <w:szCs w:val="21"/>
              </w:rPr>
              <w:t>Model</w:t>
            </w:r>
          </w:p>
        </w:tc>
        <w:tc>
          <w:tcPr>
            <w:tcW w:w="1100" w:type="dxa"/>
            <w:tcBorders>
              <w:top w:val="nil"/>
              <w:left w:val="nil"/>
              <w:bottom w:val="single" w:sz="8" w:space="0" w:color="27408B"/>
              <w:right w:val="nil"/>
            </w:tcBorders>
            <w:shd w:val="clear" w:color="000000" w:fill="4472C4"/>
            <w:noWrap/>
            <w:vAlign w:val="center"/>
          </w:tcPr>
          <w:p w14:paraId="45389874" w14:textId="77777777" w:rsidR="00230863" w:rsidRDefault="00230863" w:rsidP="00B7003B">
            <w:pPr>
              <w:widowControl/>
              <w:rPr>
                <w:rFonts w:ascii="Times New Roman" w:eastAsia="等线" w:hAnsi="Times New Roman" w:cs="Times New Roman"/>
                <w:b/>
                <w:bCs/>
                <w:color w:val="FFFFFF"/>
                <w:kern w:val="0"/>
                <w:szCs w:val="21"/>
              </w:rPr>
            </w:pPr>
            <w:r>
              <w:rPr>
                <w:rFonts w:ascii="Times New Roman" w:eastAsia="等线" w:hAnsi="Times New Roman" w:cs="Times New Roman"/>
                <w:b/>
                <w:bCs/>
                <w:color w:val="FFFFFF"/>
                <w:kern w:val="0"/>
                <w:szCs w:val="21"/>
              </w:rPr>
              <w:t>SEN</w:t>
            </w:r>
          </w:p>
        </w:tc>
        <w:tc>
          <w:tcPr>
            <w:tcW w:w="1168" w:type="dxa"/>
            <w:tcBorders>
              <w:top w:val="nil"/>
              <w:left w:val="nil"/>
              <w:bottom w:val="single" w:sz="8" w:space="0" w:color="27408B"/>
              <w:right w:val="nil"/>
            </w:tcBorders>
            <w:shd w:val="clear" w:color="000000" w:fill="4472C4"/>
            <w:noWrap/>
            <w:vAlign w:val="center"/>
          </w:tcPr>
          <w:p w14:paraId="273D60BA" w14:textId="77777777" w:rsidR="00230863" w:rsidRDefault="00230863" w:rsidP="00B7003B">
            <w:pPr>
              <w:widowControl/>
              <w:rPr>
                <w:rFonts w:ascii="Times New Roman" w:eastAsia="等线" w:hAnsi="Times New Roman" w:cs="Times New Roman"/>
                <w:b/>
                <w:bCs/>
                <w:color w:val="FFFFFF"/>
                <w:kern w:val="0"/>
                <w:szCs w:val="21"/>
              </w:rPr>
            </w:pPr>
            <w:r>
              <w:rPr>
                <w:rFonts w:ascii="Times New Roman" w:eastAsia="等线" w:hAnsi="Times New Roman" w:cs="Times New Roman"/>
                <w:b/>
                <w:bCs/>
                <w:color w:val="FFFFFF"/>
                <w:kern w:val="0"/>
                <w:szCs w:val="21"/>
              </w:rPr>
              <w:t>SPE</w:t>
            </w:r>
          </w:p>
        </w:tc>
        <w:tc>
          <w:tcPr>
            <w:tcW w:w="993" w:type="dxa"/>
            <w:tcBorders>
              <w:top w:val="nil"/>
              <w:left w:val="nil"/>
              <w:bottom w:val="single" w:sz="8" w:space="0" w:color="27408B"/>
              <w:right w:val="nil"/>
            </w:tcBorders>
            <w:shd w:val="clear" w:color="000000" w:fill="4472C4"/>
            <w:noWrap/>
            <w:vAlign w:val="center"/>
          </w:tcPr>
          <w:p w14:paraId="78B47717" w14:textId="77777777" w:rsidR="00230863" w:rsidRDefault="00230863" w:rsidP="00B7003B">
            <w:pPr>
              <w:widowControl/>
              <w:rPr>
                <w:rFonts w:ascii="Times New Roman" w:eastAsia="等线" w:hAnsi="Times New Roman" w:cs="Times New Roman"/>
                <w:b/>
                <w:bCs/>
                <w:color w:val="FFFFFF"/>
                <w:kern w:val="0"/>
                <w:szCs w:val="21"/>
              </w:rPr>
            </w:pPr>
            <w:r>
              <w:rPr>
                <w:rFonts w:ascii="Times New Roman" w:eastAsia="等线" w:hAnsi="Times New Roman" w:cs="Times New Roman"/>
                <w:b/>
                <w:bCs/>
                <w:color w:val="FFFFFF"/>
                <w:kern w:val="0"/>
                <w:szCs w:val="21"/>
              </w:rPr>
              <w:t>PPV</w:t>
            </w:r>
          </w:p>
        </w:tc>
        <w:tc>
          <w:tcPr>
            <w:tcW w:w="992" w:type="dxa"/>
            <w:tcBorders>
              <w:top w:val="nil"/>
              <w:left w:val="nil"/>
              <w:bottom w:val="single" w:sz="8" w:space="0" w:color="27408B"/>
              <w:right w:val="nil"/>
            </w:tcBorders>
            <w:shd w:val="clear" w:color="000000" w:fill="4472C4"/>
            <w:noWrap/>
            <w:vAlign w:val="center"/>
          </w:tcPr>
          <w:p w14:paraId="3E499E0C" w14:textId="77777777" w:rsidR="00230863" w:rsidRDefault="00230863" w:rsidP="00B7003B">
            <w:pPr>
              <w:widowControl/>
              <w:rPr>
                <w:rFonts w:ascii="Times New Roman" w:eastAsia="等线" w:hAnsi="Times New Roman" w:cs="Times New Roman"/>
                <w:b/>
                <w:bCs/>
                <w:color w:val="FFFFFF"/>
                <w:kern w:val="0"/>
                <w:szCs w:val="21"/>
              </w:rPr>
            </w:pPr>
            <w:r>
              <w:rPr>
                <w:rFonts w:ascii="Times New Roman" w:eastAsia="等线" w:hAnsi="Times New Roman" w:cs="Times New Roman"/>
                <w:b/>
                <w:bCs/>
                <w:color w:val="FFFFFF"/>
                <w:kern w:val="0"/>
                <w:szCs w:val="21"/>
              </w:rPr>
              <w:t>NPV</w:t>
            </w:r>
          </w:p>
        </w:tc>
        <w:tc>
          <w:tcPr>
            <w:tcW w:w="850" w:type="dxa"/>
            <w:tcBorders>
              <w:top w:val="nil"/>
              <w:left w:val="nil"/>
              <w:bottom w:val="single" w:sz="8" w:space="0" w:color="27408B"/>
              <w:right w:val="nil"/>
            </w:tcBorders>
            <w:shd w:val="clear" w:color="000000" w:fill="4472C4"/>
            <w:noWrap/>
            <w:vAlign w:val="center"/>
          </w:tcPr>
          <w:p w14:paraId="29411365" w14:textId="77777777" w:rsidR="00230863" w:rsidRDefault="00230863" w:rsidP="00B7003B">
            <w:pPr>
              <w:widowControl/>
              <w:rPr>
                <w:rFonts w:ascii="Times New Roman" w:eastAsia="等线" w:hAnsi="Times New Roman" w:cs="Times New Roman"/>
                <w:b/>
                <w:bCs/>
                <w:color w:val="FFFFFF"/>
                <w:kern w:val="0"/>
                <w:szCs w:val="21"/>
              </w:rPr>
            </w:pPr>
            <w:r>
              <w:rPr>
                <w:rFonts w:ascii="Times New Roman" w:eastAsia="等线" w:hAnsi="Times New Roman" w:cs="Times New Roman"/>
                <w:b/>
                <w:bCs/>
                <w:color w:val="FFFFFF"/>
                <w:kern w:val="0"/>
                <w:szCs w:val="21"/>
              </w:rPr>
              <w:t>ACC</w:t>
            </w:r>
          </w:p>
        </w:tc>
      </w:tr>
      <w:tr w:rsidR="00230863" w14:paraId="6BFD3F37" w14:textId="77777777" w:rsidTr="00B7003B">
        <w:trPr>
          <w:trHeight w:val="274"/>
        </w:trPr>
        <w:tc>
          <w:tcPr>
            <w:tcW w:w="1278" w:type="dxa"/>
            <w:tcBorders>
              <w:top w:val="nil"/>
              <w:left w:val="nil"/>
              <w:bottom w:val="single" w:sz="4" w:space="0" w:color="D9E1F2"/>
              <w:right w:val="nil"/>
            </w:tcBorders>
            <w:shd w:val="clear" w:color="000000" w:fill="F7F9FC"/>
            <w:noWrap/>
            <w:vAlign w:val="center"/>
          </w:tcPr>
          <w:p w14:paraId="335D7D6C"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color w:val="1F1F1F"/>
                <w:kern w:val="0"/>
                <w:szCs w:val="21"/>
              </w:rPr>
              <w:t>Train</w:t>
            </w:r>
          </w:p>
        </w:tc>
        <w:tc>
          <w:tcPr>
            <w:tcW w:w="2124" w:type="dxa"/>
            <w:tcBorders>
              <w:top w:val="nil"/>
              <w:left w:val="nil"/>
              <w:bottom w:val="single" w:sz="4" w:space="0" w:color="D9E1F2"/>
              <w:right w:val="nil"/>
            </w:tcBorders>
            <w:shd w:val="clear" w:color="000000" w:fill="F7F9FC"/>
            <w:noWrap/>
            <w:vAlign w:val="center"/>
          </w:tcPr>
          <w:p w14:paraId="24A16410"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color w:val="1F1F1F"/>
                <w:kern w:val="0"/>
                <w:szCs w:val="21"/>
              </w:rPr>
              <w:t>Clinical-imaging</w:t>
            </w:r>
          </w:p>
        </w:tc>
        <w:tc>
          <w:tcPr>
            <w:tcW w:w="1100" w:type="dxa"/>
            <w:tcBorders>
              <w:top w:val="single" w:sz="4" w:space="0" w:color="D9E1F2"/>
              <w:left w:val="nil"/>
              <w:bottom w:val="single" w:sz="4" w:space="0" w:color="D9E1F2"/>
              <w:right w:val="nil"/>
            </w:tcBorders>
            <w:shd w:val="clear" w:color="000000" w:fill="F7F9FC"/>
            <w:noWrap/>
            <w:vAlign w:val="center"/>
          </w:tcPr>
          <w:p w14:paraId="5E888CC2"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hint="eastAsia"/>
                <w:color w:val="1F1F1F"/>
                <w:kern w:val="0"/>
                <w:szCs w:val="21"/>
              </w:rPr>
              <w:t xml:space="preserve">0.656 </w:t>
            </w:r>
          </w:p>
        </w:tc>
        <w:tc>
          <w:tcPr>
            <w:tcW w:w="1168" w:type="dxa"/>
            <w:tcBorders>
              <w:top w:val="single" w:sz="4" w:space="0" w:color="D9E1F2"/>
              <w:left w:val="nil"/>
              <w:bottom w:val="single" w:sz="4" w:space="0" w:color="D9E1F2"/>
              <w:right w:val="nil"/>
            </w:tcBorders>
            <w:shd w:val="clear" w:color="000000" w:fill="F7F9FC"/>
            <w:noWrap/>
            <w:vAlign w:val="center"/>
          </w:tcPr>
          <w:p w14:paraId="378CCB3D"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hint="eastAsia"/>
                <w:color w:val="1F1F1F"/>
                <w:kern w:val="0"/>
                <w:szCs w:val="21"/>
              </w:rPr>
              <w:t xml:space="preserve">0.873 </w:t>
            </w:r>
          </w:p>
        </w:tc>
        <w:tc>
          <w:tcPr>
            <w:tcW w:w="993" w:type="dxa"/>
            <w:tcBorders>
              <w:top w:val="single" w:sz="4" w:space="0" w:color="D9E1F2"/>
              <w:left w:val="nil"/>
              <w:bottom w:val="single" w:sz="4" w:space="0" w:color="D9E1F2"/>
              <w:right w:val="nil"/>
            </w:tcBorders>
            <w:shd w:val="clear" w:color="000000" w:fill="F7F9FC"/>
            <w:noWrap/>
            <w:vAlign w:val="center"/>
          </w:tcPr>
          <w:p w14:paraId="2F5DB80E"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hint="eastAsia"/>
                <w:color w:val="1F1F1F"/>
                <w:kern w:val="0"/>
                <w:szCs w:val="21"/>
              </w:rPr>
              <w:t xml:space="preserve">0.733 </w:t>
            </w:r>
          </w:p>
        </w:tc>
        <w:tc>
          <w:tcPr>
            <w:tcW w:w="992" w:type="dxa"/>
            <w:tcBorders>
              <w:top w:val="single" w:sz="4" w:space="0" w:color="D9E1F2"/>
              <w:left w:val="nil"/>
              <w:bottom w:val="single" w:sz="4" w:space="0" w:color="D9E1F2"/>
              <w:right w:val="nil"/>
            </w:tcBorders>
            <w:shd w:val="clear" w:color="000000" w:fill="F7F9FC"/>
            <w:noWrap/>
            <w:vAlign w:val="center"/>
          </w:tcPr>
          <w:p w14:paraId="396AC335"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hint="eastAsia"/>
                <w:color w:val="1F1F1F"/>
                <w:kern w:val="0"/>
                <w:szCs w:val="21"/>
              </w:rPr>
              <w:t xml:space="preserve">0.827 </w:t>
            </w:r>
          </w:p>
        </w:tc>
        <w:tc>
          <w:tcPr>
            <w:tcW w:w="850" w:type="dxa"/>
            <w:tcBorders>
              <w:top w:val="single" w:sz="4" w:space="0" w:color="D9E1F2"/>
              <w:left w:val="nil"/>
              <w:bottom w:val="single" w:sz="4" w:space="0" w:color="D9E1F2"/>
              <w:right w:val="nil"/>
            </w:tcBorders>
            <w:shd w:val="clear" w:color="000000" w:fill="F7F9FC"/>
            <w:noWrap/>
            <w:vAlign w:val="center"/>
          </w:tcPr>
          <w:p w14:paraId="4FCFA517"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hint="eastAsia"/>
                <w:color w:val="1F1F1F"/>
                <w:kern w:val="0"/>
                <w:szCs w:val="21"/>
              </w:rPr>
              <w:t xml:space="preserve">0.798 </w:t>
            </w:r>
          </w:p>
        </w:tc>
      </w:tr>
      <w:tr w:rsidR="00230863" w14:paraId="2D99B079" w14:textId="77777777" w:rsidTr="00B7003B">
        <w:trPr>
          <w:trHeight w:val="274"/>
        </w:trPr>
        <w:tc>
          <w:tcPr>
            <w:tcW w:w="1278" w:type="dxa"/>
            <w:tcBorders>
              <w:top w:val="nil"/>
              <w:left w:val="nil"/>
              <w:bottom w:val="single" w:sz="4" w:space="0" w:color="D9E1F2"/>
              <w:right w:val="nil"/>
            </w:tcBorders>
            <w:shd w:val="clear" w:color="000000" w:fill="F7F9FC"/>
            <w:noWrap/>
            <w:vAlign w:val="center"/>
          </w:tcPr>
          <w:p w14:paraId="6D6F1557"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color w:val="1F1F1F"/>
                <w:kern w:val="0"/>
                <w:szCs w:val="21"/>
              </w:rPr>
              <w:t>Train</w:t>
            </w:r>
          </w:p>
        </w:tc>
        <w:tc>
          <w:tcPr>
            <w:tcW w:w="2124" w:type="dxa"/>
            <w:tcBorders>
              <w:top w:val="nil"/>
              <w:left w:val="nil"/>
              <w:bottom w:val="single" w:sz="4" w:space="0" w:color="D9E1F2"/>
              <w:right w:val="nil"/>
            </w:tcBorders>
            <w:shd w:val="clear" w:color="000000" w:fill="F7F9FC"/>
            <w:noWrap/>
            <w:vAlign w:val="center"/>
          </w:tcPr>
          <w:p w14:paraId="5992AE41"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color w:val="1F1F1F"/>
                <w:kern w:val="0"/>
                <w:szCs w:val="21"/>
              </w:rPr>
              <w:t>Proteomic</w:t>
            </w:r>
          </w:p>
        </w:tc>
        <w:tc>
          <w:tcPr>
            <w:tcW w:w="1100" w:type="dxa"/>
            <w:tcBorders>
              <w:top w:val="nil"/>
              <w:left w:val="nil"/>
              <w:bottom w:val="single" w:sz="4" w:space="0" w:color="D9E1F2"/>
              <w:right w:val="nil"/>
            </w:tcBorders>
            <w:shd w:val="clear" w:color="000000" w:fill="F7F9FC"/>
            <w:noWrap/>
            <w:vAlign w:val="center"/>
          </w:tcPr>
          <w:p w14:paraId="6B33D2FF"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hint="eastAsia"/>
                <w:color w:val="1F1F1F"/>
                <w:kern w:val="0"/>
                <w:szCs w:val="21"/>
              </w:rPr>
              <w:t xml:space="preserve">0.635 </w:t>
            </w:r>
          </w:p>
        </w:tc>
        <w:tc>
          <w:tcPr>
            <w:tcW w:w="1168" w:type="dxa"/>
            <w:tcBorders>
              <w:top w:val="nil"/>
              <w:left w:val="nil"/>
              <w:bottom w:val="single" w:sz="4" w:space="0" w:color="D9E1F2"/>
              <w:right w:val="nil"/>
            </w:tcBorders>
            <w:shd w:val="clear" w:color="000000" w:fill="F7F9FC"/>
            <w:noWrap/>
            <w:vAlign w:val="center"/>
          </w:tcPr>
          <w:p w14:paraId="3E32633E"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hint="eastAsia"/>
                <w:color w:val="1F1F1F"/>
                <w:kern w:val="0"/>
                <w:szCs w:val="21"/>
              </w:rPr>
              <w:t xml:space="preserve">0.878 </w:t>
            </w:r>
          </w:p>
        </w:tc>
        <w:tc>
          <w:tcPr>
            <w:tcW w:w="993" w:type="dxa"/>
            <w:tcBorders>
              <w:top w:val="nil"/>
              <w:left w:val="nil"/>
              <w:bottom w:val="single" w:sz="4" w:space="0" w:color="D9E1F2"/>
              <w:right w:val="nil"/>
            </w:tcBorders>
            <w:shd w:val="clear" w:color="000000" w:fill="F7F9FC"/>
            <w:noWrap/>
            <w:vAlign w:val="center"/>
          </w:tcPr>
          <w:p w14:paraId="2E161CDD"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hint="eastAsia"/>
                <w:color w:val="1F1F1F"/>
                <w:kern w:val="0"/>
                <w:szCs w:val="21"/>
              </w:rPr>
              <w:t xml:space="preserve">0.735 </w:t>
            </w:r>
          </w:p>
        </w:tc>
        <w:tc>
          <w:tcPr>
            <w:tcW w:w="992" w:type="dxa"/>
            <w:tcBorders>
              <w:top w:val="nil"/>
              <w:left w:val="nil"/>
              <w:bottom w:val="single" w:sz="4" w:space="0" w:color="D9E1F2"/>
              <w:right w:val="nil"/>
            </w:tcBorders>
            <w:shd w:val="clear" w:color="000000" w:fill="F7F9FC"/>
            <w:noWrap/>
            <w:vAlign w:val="center"/>
          </w:tcPr>
          <w:p w14:paraId="215E0DDF"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hint="eastAsia"/>
                <w:color w:val="1F1F1F"/>
                <w:kern w:val="0"/>
                <w:szCs w:val="21"/>
              </w:rPr>
              <w:t xml:space="preserve">0.820 </w:t>
            </w:r>
          </w:p>
        </w:tc>
        <w:tc>
          <w:tcPr>
            <w:tcW w:w="850" w:type="dxa"/>
            <w:tcBorders>
              <w:top w:val="nil"/>
              <w:left w:val="nil"/>
              <w:bottom w:val="single" w:sz="4" w:space="0" w:color="D9E1F2"/>
              <w:right w:val="nil"/>
            </w:tcBorders>
            <w:shd w:val="clear" w:color="000000" w:fill="F7F9FC"/>
            <w:noWrap/>
            <w:vAlign w:val="center"/>
          </w:tcPr>
          <w:p w14:paraId="3046F7B5"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hint="eastAsia"/>
                <w:color w:val="1F1F1F"/>
                <w:kern w:val="0"/>
                <w:szCs w:val="21"/>
              </w:rPr>
              <w:t xml:space="preserve">0.794 </w:t>
            </w:r>
          </w:p>
        </w:tc>
      </w:tr>
      <w:tr w:rsidR="00230863" w14:paraId="51C4BEF3" w14:textId="77777777" w:rsidTr="00B7003B">
        <w:trPr>
          <w:trHeight w:val="274"/>
        </w:trPr>
        <w:tc>
          <w:tcPr>
            <w:tcW w:w="1278" w:type="dxa"/>
            <w:tcBorders>
              <w:top w:val="nil"/>
              <w:left w:val="nil"/>
              <w:bottom w:val="single" w:sz="4" w:space="0" w:color="auto"/>
              <w:right w:val="nil"/>
            </w:tcBorders>
            <w:shd w:val="clear" w:color="000000" w:fill="F7F9FC"/>
            <w:noWrap/>
            <w:vAlign w:val="center"/>
          </w:tcPr>
          <w:p w14:paraId="7C13E400"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color w:val="1F1F1F"/>
                <w:kern w:val="0"/>
                <w:szCs w:val="21"/>
              </w:rPr>
              <w:t>Train</w:t>
            </w:r>
          </w:p>
        </w:tc>
        <w:tc>
          <w:tcPr>
            <w:tcW w:w="2124" w:type="dxa"/>
            <w:tcBorders>
              <w:top w:val="nil"/>
              <w:left w:val="nil"/>
              <w:bottom w:val="single" w:sz="4" w:space="0" w:color="auto"/>
              <w:right w:val="nil"/>
            </w:tcBorders>
            <w:shd w:val="clear" w:color="000000" w:fill="F7F9FC"/>
            <w:noWrap/>
            <w:vAlign w:val="center"/>
          </w:tcPr>
          <w:p w14:paraId="221ED03C"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color w:val="1F1F1F"/>
                <w:kern w:val="0"/>
                <w:szCs w:val="21"/>
              </w:rPr>
              <w:t>Multimodal</w:t>
            </w:r>
          </w:p>
        </w:tc>
        <w:tc>
          <w:tcPr>
            <w:tcW w:w="1100" w:type="dxa"/>
            <w:tcBorders>
              <w:top w:val="nil"/>
              <w:left w:val="nil"/>
              <w:bottom w:val="single" w:sz="4" w:space="0" w:color="auto"/>
              <w:right w:val="nil"/>
            </w:tcBorders>
            <w:shd w:val="clear" w:color="000000" w:fill="F7F9FC"/>
            <w:noWrap/>
            <w:vAlign w:val="center"/>
          </w:tcPr>
          <w:p w14:paraId="13274792"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hint="eastAsia"/>
                <w:color w:val="1F1F1F"/>
                <w:kern w:val="0"/>
                <w:szCs w:val="21"/>
              </w:rPr>
              <w:t xml:space="preserve">0.719 </w:t>
            </w:r>
          </w:p>
        </w:tc>
        <w:tc>
          <w:tcPr>
            <w:tcW w:w="1168" w:type="dxa"/>
            <w:tcBorders>
              <w:top w:val="nil"/>
              <w:left w:val="nil"/>
              <w:bottom w:val="single" w:sz="4" w:space="0" w:color="auto"/>
              <w:right w:val="nil"/>
            </w:tcBorders>
            <w:shd w:val="clear" w:color="000000" w:fill="F7F9FC"/>
            <w:noWrap/>
            <w:vAlign w:val="center"/>
          </w:tcPr>
          <w:p w14:paraId="64F1613C"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hint="eastAsia"/>
                <w:color w:val="1F1F1F"/>
                <w:kern w:val="0"/>
                <w:szCs w:val="21"/>
              </w:rPr>
              <w:t xml:space="preserve">0.876 </w:t>
            </w:r>
          </w:p>
        </w:tc>
        <w:tc>
          <w:tcPr>
            <w:tcW w:w="993" w:type="dxa"/>
            <w:tcBorders>
              <w:top w:val="nil"/>
              <w:left w:val="nil"/>
              <w:bottom w:val="single" w:sz="4" w:space="0" w:color="auto"/>
              <w:right w:val="nil"/>
            </w:tcBorders>
            <w:shd w:val="clear" w:color="000000" w:fill="F7F9FC"/>
            <w:noWrap/>
            <w:vAlign w:val="center"/>
          </w:tcPr>
          <w:p w14:paraId="1B2C39A7"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hint="eastAsia"/>
                <w:color w:val="1F1F1F"/>
                <w:kern w:val="0"/>
                <w:szCs w:val="21"/>
              </w:rPr>
              <w:t xml:space="preserve">0.754 </w:t>
            </w:r>
          </w:p>
        </w:tc>
        <w:tc>
          <w:tcPr>
            <w:tcW w:w="992" w:type="dxa"/>
            <w:tcBorders>
              <w:top w:val="nil"/>
              <w:left w:val="nil"/>
              <w:bottom w:val="single" w:sz="4" w:space="0" w:color="auto"/>
              <w:right w:val="nil"/>
            </w:tcBorders>
            <w:shd w:val="clear" w:color="000000" w:fill="F7F9FC"/>
            <w:noWrap/>
            <w:vAlign w:val="center"/>
          </w:tcPr>
          <w:p w14:paraId="0AAC8301"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hint="eastAsia"/>
                <w:color w:val="1F1F1F"/>
                <w:kern w:val="0"/>
                <w:szCs w:val="21"/>
              </w:rPr>
              <w:t xml:space="preserve">0.854 </w:t>
            </w:r>
          </w:p>
        </w:tc>
        <w:tc>
          <w:tcPr>
            <w:tcW w:w="850" w:type="dxa"/>
            <w:tcBorders>
              <w:top w:val="nil"/>
              <w:left w:val="nil"/>
              <w:bottom w:val="single" w:sz="4" w:space="0" w:color="auto"/>
              <w:right w:val="nil"/>
            </w:tcBorders>
            <w:shd w:val="clear" w:color="000000" w:fill="F7F9FC"/>
            <w:noWrap/>
            <w:vAlign w:val="center"/>
          </w:tcPr>
          <w:p w14:paraId="172A6DD8"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hint="eastAsia"/>
                <w:color w:val="1F1F1F"/>
                <w:kern w:val="0"/>
                <w:szCs w:val="21"/>
              </w:rPr>
              <w:t xml:space="preserve">0.821 </w:t>
            </w:r>
          </w:p>
        </w:tc>
      </w:tr>
      <w:tr w:rsidR="00230863" w14:paraId="5E428C87" w14:textId="77777777" w:rsidTr="00B7003B">
        <w:trPr>
          <w:trHeight w:val="274"/>
        </w:trPr>
        <w:tc>
          <w:tcPr>
            <w:tcW w:w="1278" w:type="dxa"/>
            <w:tcBorders>
              <w:top w:val="nil"/>
              <w:left w:val="nil"/>
              <w:bottom w:val="single" w:sz="4" w:space="0" w:color="D9E1F2"/>
              <w:right w:val="nil"/>
            </w:tcBorders>
            <w:shd w:val="clear" w:color="000000" w:fill="F7F9FC"/>
            <w:noWrap/>
            <w:vAlign w:val="center"/>
          </w:tcPr>
          <w:p w14:paraId="03DE550F"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color w:val="1F1F1F"/>
                <w:kern w:val="0"/>
                <w:szCs w:val="21"/>
              </w:rPr>
              <w:t>Test</w:t>
            </w:r>
          </w:p>
        </w:tc>
        <w:tc>
          <w:tcPr>
            <w:tcW w:w="2124" w:type="dxa"/>
            <w:tcBorders>
              <w:top w:val="nil"/>
              <w:left w:val="nil"/>
              <w:bottom w:val="single" w:sz="4" w:space="0" w:color="D9E1F2"/>
              <w:right w:val="nil"/>
            </w:tcBorders>
            <w:shd w:val="clear" w:color="000000" w:fill="F7F9FC"/>
            <w:noWrap/>
            <w:vAlign w:val="center"/>
          </w:tcPr>
          <w:p w14:paraId="0371DFB1"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color w:val="1F1F1F"/>
                <w:kern w:val="0"/>
                <w:szCs w:val="21"/>
              </w:rPr>
              <w:t>Clinical-imaging</w:t>
            </w:r>
          </w:p>
        </w:tc>
        <w:tc>
          <w:tcPr>
            <w:tcW w:w="1100" w:type="dxa"/>
            <w:tcBorders>
              <w:top w:val="nil"/>
              <w:left w:val="nil"/>
              <w:bottom w:val="single" w:sz="4" w:space="0" w:color="D9E1F2"/>
              <w:right w:val="nil"/>
            </w:tcBorders>
            <w:shd w:val="clear" w:color="000000" w:fill="F7F9FC"/>
            <w:noWrap/>
            <w:vAlign w:val="center"/>
          </w:tcPr>
          <w:p w14:paraId="429F4877"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hint="eastAsia"/>
                <w:color w:val="1F1F1F"/>
                <w:kern w:val="0"/>
                <w:szCs w:val="21"/>
              </w:rPr>
              <w:t xml:space="preserve">0.775 </w:t>
            </w:r>
          </w:p>
        </w:tc>
        <w:tc>
          <w:tcPr>
            <w:tcW w:w="1168" w:type="dxa"/>
            <w:tcBorders>
              <w:top w:val="nil"/>
              <w:left w:val="nil"/>
              <w:bottom w:val="single" w:sz="4" w:space="0" w:color="D9E1F2"/>
              <w:right w:val="nil"/>
            </w:tcBorders>
            <w:shd w:val="clear" w:color="000000" w:fill="F7F9FC"/>
            <w:noWrap/>
            <w:vAlign w:val="center"/>
          </w:tcPr>
          <w:p w14:paraId="73ABDBCA"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hint="eastAsia"/>
                <w:color w:val="1F1F1F"/>
                <w:kern w:val="0"/>
                <w:szCs w:val="21"/>
              </w:rPr>
              <w:t xml:space="preserve">0.743 </w:t>
            </w:r>
          </w:p>
        </w:tc>
        <w:tc>
          <w:tcPr>
            <w:tcW w:w="993" w:type="dxa"/>
            <w:tcBorders>
              <w:top w:val="nil"/>
              <w:left w:val="nil"/>
              <w:bottom w:val="single" w:sz="4" w:space="0" w:color="D9E1F2"/>
              <w:right w:val="nil"/>
            </w:tcBorders>
            <w:shd w:val="clear" w:color="000000" w:fill="F7F9FC"/>
            <w:noWrap/>
            <w:vAlign w:val="center"/>
          </w:tcPr>
          <w:p w14:paraId="231BB711"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hint="eastAsia"/>
                <w:color w:val="1F1F1F"/>
                <w:kern w:val="0"/>
                <w:szCs w:val="21"/>
              </w:rPr>
              <w:t xml:space="preserve">0.671 </w:t>
            </w:r>
          </w:p>
        </w:tc>
        <w:tc>
          <w:tcPr>
            <w:tcW w:w="992" w:type="dxa"/>
            <w:tcBorders>
              <w:top w:val="nil"/>
              <w:left w:val="nil"/>
              <w:bottom w:val="single" w:sz="4" w:space="0" w:color="D9E1F2"/>
              <w:right w:val="nil"/>
            </w:tcBorders>
            <w:shd w:val="clear" w:color="000000" w:fill="F7F9FC"/>
            <w:noWrap/>
            <w:vAlign w:val="center"/>
          </w:tcPr>
          <w:p w14:paraId="794AC331"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hint="eastAsia"/>
                <w:color w:val="1F1F1F"/>
                <w:kern w:val="0"/>
                <w:szCs w:val="21"/>
              </w:rPr>
              <w:t xml:space="preserve">0.830 </w:t>
            </w:r>
          </w:p>
        </w:tc>
        <w:tc>
          <w:tcPr>
            <w:tcW w:w="850" w:type="dxa"/>
            <w:tcBorders>
              <w:top w:val="nil"/>
              <w:left w:val="nil"/>
              <w:bottom w:val="single" w:sz="4" w:space="0" w:color="D9E1F2"/>
              <w:right w:val="nil"/>
            </w:tcBorders>
            <w:shd w:val="clear" w:color="000000" w:fill="F7F9FC"/>
            <w:noWrap/>
            <w:vAlign w:val="center"/>
          </w:tcPr>
          <w:p w14:paraId="442F1B99"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hint="eastAsia"/>
                <w:color w:val="1F1F1F"/>
                <w:kern w:val="0"/>
                <w:szCs w:val="21"/>
              </w:rPr>
              <w:t xml:space="preserve">0.756 </w:t>
            </w:r>
          </w:p>
        </w:tc>
      </w:tr>
      <w:tr w:rsidR="00230863" w14:paraId="347C0109" w14:textId="77777777" w:rsidTr="00B7003B">
        <w:trPr>
          <w:trHeight w:val="274"/>
        </w:trPr>
        <w:tc>
          <w:tcPr>
            <w:tcW w:w="1278" w:type="dxa"/>
            <w:tcBorders>
              <w:top w:val="nil"/>
              <w:left w:val="nil"/>
              <w:bottom w:val="single" w:sz="4" w:space="0" w:color="D9E1F2"/>
              <w:right w:val="nil"/>
            </w:tcBorders>
            <w:shd w:val="clear" w:color="000000" w:fill="F7F9FC"/>
            <w:noWrap/>
            <w:vAlign w:val="center"/>
          </w:tcPr>
          <w:p w14:paraId="3A160FFA"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color w:val="1F1F1F"/>
                <w:kern w:val="0"/>
                <w:szCs w:val="21"/>
              </w:rPr>
              <w:t>Test</w:t>
            </w:r>
          </w:p>
        </w:tc>
        <w:tc>
          <w:tcPr>
            <w:tcW w:w="2124" w:type="dxa"/>
            <w:tcBorders>
              <w:top w:val="nil"/>
              <w:left w:val="nil"/>
              <w:bottom w:val="single" w:sz="4" w:space="0" w:color="D9E1F2"/>
              <w:right w:val="nil"/>
            </w:tcBorders>
            <w:shd w:val="clear" w:color="000000" w:fill="F7F9FC"/>
            <w:noWrap/>
            <w:vAlign w:val="center"/>
          </w:tcPr>
          <w:p w14:paraId="7B6FCA1A"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color w:val="1F1F1F"/>
                <w:kern w:val="0"/>
                <w:szCs w:val="21"/>
              </w:rPr>
              <w:t>Proteomic</w:t>
            </w:r>
          </w:p>
        </w:tc>
        <w:tc>
          <w:tcPr>
            <w:tcW w:w="1100" w:type="dxa"/>
            <w:tcBorders>
              <w:top w:val="nil"/>
              <w:left w:val="nil"/>
              <w:bottom w:val="single" w:sz="4" w:space="0" w:color="D9E1F2"/>
              <w:right w:val="nil"/>
            </w:tcBorders>
            <w:shd w:val="clear" w:color="000000" w:fill="F7F9FC"/>
            <w:noWrap/>
            <w:vAlign w:val="center"/>
          </w:tcPr>
          <w:p w14:paraId="0AA930F3"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hint="eastAsia"/>
                <w:color w:val="1F1F1F"/>
                <w:kern w:val="0"/>
                <w:szCs w:val="21"/>
              </w:rPr>
              <w:t xml:space="preserve">0.606 </w:t>
            </w:r>
          </w:p>
        </w:tc>
        <w:tc>
          <w:tcPr>
            <w:tcW w:w="1168" w:type="dxa"/>
            <w:tcBorders>
              <w:top w:val="nil"/>
              <w:left w:val="nil"/>
              <w:bottom w:val="single" w:sz="4" w:space="0" w:color="D9E1F2"/>
              <w:right w:val="nil"/>
            </w:tcBorders>
            <w:shd w:val="clear" w:color="000000" w:fill="F7F9FC"/>
            <w:noWrap/>
            <w:vAlign w:val="center"/>
          </w:tcPr>
          <w:p w14:paraId="17C7842A"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hint="eastAsia"/>
                <w:color w:val="1F1F1F"/>
                <w:kern w:val="0"/>
                <w:szCs w:val="21"/>
              </w:rPr>
              <w:t xml:space="preserve">0.857 </w:t>
            </w:r>
          </w:p>
        </w:tc>
        <w:tc>
          <w:tcPr>
            <w:tcW w:w="993" w:type="dxa"/>
            <w:tcBorders>
              <w:top w:val="nil"/>
              <w:left w:val="nil"/>
              <w:bottom w:val="single" w:sz="4" w:space="0" w:color="D9E1F2"/>
              <w:right w:val="nil"/>
            </w:tcBorders>
            <w:shd w:val="clear" w:color="000000" w:fill="F7F9FC"/>
            <w:noWrap/>
            <w:vAlign w:val="center"/>
          </w:tcPr>
          <w:p w14:paraId="5C260756"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hint="eastAsia"/>
                <w:color w:val="1F1F1F"/>
                <w:kern w:val="0"/>
                <w:szCs w:val="21"/>
              </w:rPr>
              <w:t xml:space="preserve">0.741 </w:t>
            </w:r>
          </w:p>
        </w:tc>
        <w:tc>
          <w:tcPr>
            <w:tcW w:w="992" w:type="dxa"/>
            <w:tcBorders>
              <w:top w:val="nil"/>
              <w:left w:val="nil"/>
              <w:bottom w:val="single" w:sz="4" w:space="0" w:color="D9E1F2"/>
              <w:right w:val="nil"/>
            </w:tcBorders>
            <w:shd w:val="clear" w:color="000000" w:fill="F7F9FC"/>
            <w:noWrap/>
            <w:vAlign w:val="center"/>
          </w:tcPr>
          <w:p w14:paraId="39F46468"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hint="eastAsia"/>
                <w:color w:val="1F1F1F"/>
                <w:kern w:val="0"/>
                <w:szCs w:val="21"/>
              </w:rPr>
              <w:t xml:space="preserve">0.763 </w:t>
            </w:r>
          </w:p>
        </w:tc>
        <w:tc>
          <w:tcPr>
            <w:tcW w:w="850" w:type="dxa"/>
            <w:tcBorders>
              <w:top w:val="nil"/>
              <w:left w:val="nil"/>
              <w:bottom w:val="single" w:sz="4" w:space="0" w:color="D9E1F2"/>
              <w:right w:val="nil"/>
            </w:tcBorders>
            <w:shd w:val="clear" w:color="000000" w:fill="F7F9FC"/>
            <w:noWrap/>
            <w:vAlign w:val="center"/>
          </w:tcPr>
          <w:p w14:paraId="6FBCAE6A"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hint="eastAsia"/>
                <w:color w:val="1F1F1F"/>
                <w:kern w:val="0"/>
                <w:szCs w:val="21"/>
              </w:rPr>
              <w:t xml:space="preserve">0.756 </w:t>
            </w:r>
          </w:p>
        </w:tc>
      </w:tr>
      <w:tr w:rsidR="00230863" w14:paraId="7E99E3B1" w14:textId="77777777" w:rsidTr="00B7003B">
        <w:trPr>
          <w:trHeight w:val="267"/>
        </w:trPr>
        <w:tc>
          <w:tcPr>
            <w:tcW w:w="1278" w:type="dxa"/>
            <w:tcBorders>
              <w:top w:val="nil"/>
              <w:left w:val="nil"/>
              <w:bottom w:val="single" w:sz="4" w:space="0" w:color="auto"/>
              <w:right w:val="nil"/>
            </w:tcBorders>
            <w:shd w:val="clear" w:color="000000" w:fill="F7F9FC"/>
            <w:noWrap/>
            <w:vAlign w:val="center"/>
          </w:tcPr>
          <w:p w14:paraId="144078BC"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color w:val="1F1F1F"/>
                <w:kern w:val="0"/>
                <w:szCs w:val="21"/>
              </w:rPr>
              <w:t>Test</w:t>
            </w:r>
          </w:p>
        </w:tc>
        <w:tc>
          <w:tcPr>
            <w:tcW w:w="2124" w:type="dxa"/>
            <w:tcBorders>
              <w:top w:val="nil"/>
              <w:left w:val="nil"/>
              <w:bottom w:val="single" w:sz="4" w:space="0" w:color="auto"/>
              <w:right w:val="nil"/>
            </w:tcBorders>
            <w:shd w:val="clear" w:color="000000" w:fill="F7F9FC"/>
            <w:noWrap/>
            <w:vAlign w:val="center"/>
          </w:tcPr>
          <w:p w14:paraId="08647C32"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color w:val="1F1F1F"/>
                <w:kern w:val="0"/>
                <w:szCs w:val="21"/>
              </w:rPr>
              <w:t>Multimodal</w:t>
            </w:r>
          </w:p>
        </w:tc>
        <w:tc>
          <w:tcPr>
            <w:tcW w:w="1100" w:type="dxa"/>
            <w:tcBorders>
              <w:top w:val="nil"/>
              <w:left w:val="nil"/>
              <w:bottom w:val="single" w:sz="4" w:space="0" w:color="auto"/>
              <w:right w:val="nil"/>
            </w:tcBorders>
            <w:shd w:val="clear" w:color="000000" w:fill="F7F9FC"/>
            <w:noWrap/>
            <w:vAlign w:val="center"/>
          </w:tcPr>
          <w:p w14:paraId="11FD50F9"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hint="eastAsia"/>
                <w:color w:val="1F1F1F"/>
                <w:kern w:val="0"/>
                <w:szCs w:val="21"/>
              </w:rPr>
              <w:t xml:space="preserve">0.704 </w:t>
            </w:r>
          </w:p>
        </w:tc>
        <w:tc>
          <w:tcPr>
            <w:tcW w:w="1168" w:type="dxa"/>
            <w:tcBorders>
              <w:top w:val="nil"/>
              <w:left w:val="nil"/>
              <w:bottom w:val="single" w:sz="4" w:space="0" w:color="auto"/>
              <w:right w:val="nil"/>
            </w:tcBorders>
            <w:shd w:val="clear" w:color="000000" w:fill="F7F9FC"/>
            <w:noWrap/>
            <w:vAlign w:val="center"/>
          </w:tcPr>
          <w:p w14:paraId="3E182CE2"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hint="eastAsia"/>
                <w:color w:val="1F1F1F"/>
                <w:kern w:val="0"/>
                <w:szCs w:val="21"/>
              </w:rPr>
              <w:t xml:space="preserve">0.848 </w:t>
            </w:r>
          </w:p>
        </w:tc>
        <w:tc>
          <w:tcPr>
            <w:tcW w:w="993" w:type="dxa"/>
            <w:tcBorders>
              <w:top w:val="nil"/>
              <w:left w:val="nil"/>
              <w:bottom w:val="single" w:sz="4" w:space="0" w:color="auto"/>
              <w:right w:val="nil"/>
            </w:tcBorders>
            <w:shd w:val="clear" w:color="000000" w:fill="F7F9FC"/>
            <w:noWrap/>
            <w:vAlign w:val="center"/>
          </w:tcPr>
          <w:p w14:paraId="407EBE6E"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hint="eastAsia"/>
                <w:color w:val="1F1F1F"/>
                <w:kern w:val="0"/>
                <w:szCs w:val="21"/>
              </w:rPr>
              <w:t xml:space="preserve">0.758 </w:t>
            </w:r>
          </w:p>
        </w:tc>
        <w:tc>
          <w:tcPr>
            <w:tcW w:w="992" w:type="dxa"/>
            <w:tcBorders>
              <w:top w:val="nil"/>
              <w:left w:val="nil"/>
              <w:bottom w:val="single" w:sz="4" w:space="0" w:color="auto"/>
              <w:right w:val="nil"/>
            </w:tcBorders>
            <w:shd w:val="clear" w:color="000000" w:fill="F7F9FC"/>
            <w:noWrap/>
            <w:vAlign w:val="center"/>
          </w:tcPr>
          <w:p w14:paraId="595C641E"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hint="eastAsia"/>
                <w:color w:val="1F1F1F"/>
                <w:kern w:val="0"/>
                <w:szCs w:val="21"/>
              </w:rPr>
              <w:t xml:space="preserve">0.809 </w:t>
            </w:r>
          </w:p>
        </w:tc>
        <w:tc>
          <w:tcPr>
            <w:tcW w:w="850" w:type="dxa"/>
            <w:tcBorders>
              <w:top w:val="nil"/>
              <w:left w:val="nil"/>
              <w:bottom w:val="single" w:sz="4" w:space="0" w:color="auto"/>
              <w:right w:val="nil"/>
            </w:tcBorders>
            <w:shd w:val="clear" w:color="000000" w:fill="F7F9FC"/>
            <w:noWrap/>
            <w:vAlign w:val="center"/>
          </w:tcPr>
          <w:p w14:paraId="4879AACA"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hint="eastAsia"/>
                <w:color w:val="1F1F1F"/>
                <w:kern w:val="0"/>
                <w:szCs w:val="21"/>
              </w:rPr>
              <w:t xml:space="preserve">0.790 </w:t>
            </w:r>
          </w:p>
        </w:tc>
      </w:tr>
      <w:tr w:rsidR="00230863" w14:paraId="7E1F23A8" w14:textId="77777777" w:rsidTr="00B7003B">
        <w:trPr>
          <w:trHeight w:val="274"/>
        </w:trPr>
        <w:tc>
          <w:tcPr>
            <w:tcW w:w="1278" w:type="dxa"/>
            <w:tcBorders>
              <w:top w:val="nil"/>
              <w:left w:val="nil"/>
              <w:bottom w:val="single" w:sz="4" w:space="0" w:color="D9E1F2"/>
              <w:right w:val="nil"/>
            </w:tcBorders>
            <w:shd w:val="clear" w:color="000000" w:fill="F7F9FC"/>
            <w:noWrap/>
            <w:vAlign w:val="center"/>
          </w:tcPr>
          <w:p w14:paraId="70C0F51C"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color w:val="1F1F1F"/>
                <w:kern w:val="0"/>
                <w:szCs w:val="21"/>
              </w:rPr>
              <w:t>Validation</w:t>
            </w:r>
          </w:p>
        </w:tc>
        <w:tc>
          <w:tcPr>
            <w:tcW w:w="2124" w:type="dxa"/>
            <w:tcBorders>
              <w:top w:val="nil"/>
              <w:left w:val="nil"/>
              <w:bottom w:val="single" w:sz="4" w:space="0" w:color="D9E1F2"/>
              <w:right w:val="nil"/>
            </w:tcBorders>
            <w:shd w:val="clear" w:color="000000" w:fill="F7F9FC"/>
            <w:noWrap/>
            <w:vAlign w:val="center"/>
          </w:tcPr>
          <w:p w14:paraId="35881E18"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color w:val="1F1F1F"/>
                <w:kern w:val="0"/>
                <w:szCs w:val="21"/>
              </w:rPr>
              <w:t>Clinical-imaging</w:t>
            </w:r>
          </w:p>
        </w:tc>
        <w:tc>
          <w:tcPr>
            <w:tcW w:w="1100" w:type="dxa"/>
            <w:tcBorders>
              <w:top w:val="nil"/>
              <w:left w:val="nil"/>
              <w:bottom w:val="single" w:sz="4" w:space="0" w:color="D9E1F2"/>
              <w:right w:val="nil"/>
            </w:tcBorders>
            <w:shd w:val="clear" w:color="000000" w:fill="F7F9FC"/>
            <w:noWrap/>
            <w:vAlign w:val="center"/>
          </w:tcPr>
          <w:p w14:paraId="41F7605A"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hint="eastAsia"/>
                <w:color w:val="1F1F1F"/>
                <w:kern w:val="0"/>
                <w:szCs w:val="21"/>
              </w:rPr>
              <w:t xml:space="preserve">0.635 </w:t>
            </w:r>
          </w:p>
        </w:tc>
        <w:tc>
          <w:tcPr>
            <w:tcW w:w="1168" w:type="dxa"/>
            <w:tcBorders>
              <w:top w:val="nil"/>
              <w:left w:val="nil"/>
              <w:bottom w:val="single" w:sz="4" w:space="0" w:color="D9E1F2"/>
              <w:right w:val="nil"/>
            </w:tcBorders>
            <w:shd w:val="clear" w:color="000000" w:fill="F7F9FC"/>
            <w:noWrap/>
            <w:vAlign w:val="center"/>
          </w:tcPr>
          <w:p w14:paraId="4A382A2C"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hint="eastAsia"/>
                <w:color w:val="1F1F1F"/>
                <w:kern w:val="0"/>
                <w:szCs w:val="21"/>
              </w:rPr>
              <w:t xml:space="preserve">0.784 </w:t>
            </w:r>
          </w:p>
        </w:tc>
        <w:tc>
          <w:tcPr>
            <w:tcW w:w="993" w:type="dxa"/>
            <w:tcBorders>
              <w:top w:val="nil"/>
              <w:left w:val="nil"/>
              <w:bottom w:val="single" w:sz="4" w:space="0" w:color="D9E1F2"/>
              <w:right w:val="nil"/>
            </w:tcBorders>
            <w:shd w:val="clear" w:color="000000" w:fill="F7F9FC"/>
            <w:noWrap/>
            <w:vAlign w:val="center"/>
          </w:tcPr>
          <w:p w14:paraId="67B6ACC7"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hint="eastAsia"/>
                <w:color w:val="1F1F1F"/>
                <w:kern w:val="0"/>
                <w:szCs w:val="21"/>
              </w:rPr>
              <w:t xml:space="preserve">0.611 </w:t>
            </w:r>
          </w:p>
        </w:tc>
        <w:tc>
          <w:tcPr>
            <w:tcW w:w="992" w:type="dxa"/>
            <w:tcBorders>
              <w:top w:val="nil"/>
              <w:left w:val="nil"/>
              <w:bottom w:val="single" w:sz="4" w:space="0" w:color="D9E1F2"/>
              <w:right w:val="nil"/>
            </w:tcBorders>
            <w:shd w:val="clear" w:color="000000" w:fill="F7F9FC"/>
            <w:noWrap/>
            <w:vAlign w:val="center"/>
          </w:tcPr>
          <w:p w14:paraId="660F437B"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hint="eastAsia"/>
                <w:color w:val="1F1F1F"/>
                <w:kern w:val="0"/>
                <w:szCs w:val="21"/>
              </w:rPr>
              <w:t xml:space="preserve">0.800 </w:t>
            </w:r>
          </w:p>
        </w:tc>
        <w:tc>
          <w:tcPr>
            <w:tcW w:w="850" w:type="dxa"/>
            <w:tcBorders>
              <w:top w:val="nil"/>
              <w:left w:val="nil"/>
              <w:bottom w:val="single" w:sz="4" w:space="0" w:color="D9E1F2"/>
              <w:right w:val="nil"/>
            </w:tcBorders>
            <w:shd w:val="clear" w:color="000000" w:fill="F7F9FC"/>
            <w:noWrap/>
            <w:vAlign w:val="center"/>
          </w:tcPr>
          <w:p w14:paraId="729CA2D1"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hint="eastAsia"/>
                <w:color w:val="1F1F1F"/>
                <w:kern w:val="0"/>
                <w:szCs w:val="21"/>
              </w:rPr>
              <w:t xml:space="preserve">0.732 </w:t>
            </w:r>
          </w:p>
        </w:tc>
      </w:tr>
      <w:tr w:rsidR="00230863" w14:paraId="36D9583A" w14:textId="77777777" w:rsidTr="00B7003B">
        <w:trPr>
          <w:trHeight w:val="274"/>
        </w:trPr>
        <w:tc>
          <w:tcPr>
            <w:tcW w:w="1278" w:type="dxa"/>
            <w:tcBorders>
              <w:top w:val="nil"/>
              <w:left w:val="nil"/>
              <w:bottom w:val="single" w:sz="4" w:space="0" w:color="D9E1F2"/>
              <w:right w:val="nil"/>
            </w:tcBorders>
            <w:shd w:val="clear" w:color="000000" w:fill="F7F9FC"/>
            <w:noWrap/>
            <w:vAlign w:val="center"/>
          </w:tcPr>
          <w:p w14:paraId="0BA7EE6D"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color w:val="1F1F1F"/>
                <w:kern w:val="0"/>
                <w:szCs w:val="21"/>
              </w:rPr>
              <w:t>Validation</w:t>
            </w:r>
          </w:p>
        </w:tc>
        <w:tc>
          <w:tcPr>
            <w:tcW w:w="2124" w:type="dxa"/>
            <w:tcBorders>
              <w:top w:val="nil"/>
              <w:left w:val="nil"/>
              <w:bottom w:val="single" w:sz="4" w:space="0" w:color="D9E1F2"/>
              <w:right w:val="nil"/>
            </w:tcBorders>
            <w:shd w:val="clear" w:color="000000" w:fill="F7F9FC"/>
            <w:noWrap/>
            <w:vAlign w:val="center"/>
          </w:tcPr>
          <w:p w14:paraId="447291F5"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color w:val="1F1F1F"/>
                <w:kern w:val="0"/>
                <w:szCs w:val="21"/>
              </w:rPr>
              <w:t>Proteomic</w:t>
            </w:r>
          </w:p>
        </w:tc>
        <w:tc>
          <w:tcPr>
            <w:tcW w:w="1100" w:type="dxa"/>
            <w:tcBorders>
              <w:top w:val="nil"/>
              <w:left w:val="nil"/>
              <w:bottom w:val="single" w:sz="4" w:space="0" w:color="D9E1F2"/>
              <w:right w:val="nil"/>
            </w:tcBorders>
            <w:shd w:val="clear" w:color="000000" w:fill="F7F9FC"/>
            <w:noWrap/>
            <w:vAlign w:val="center"/>
          </w:tcPr>
          <w:p w14:paraId="7A562CFB"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hint="eastAsia"/>
                <w:color w:val="1F1F1F"/>
                <w:kern w:val="0"/>
                <w:szCs w:val="21"/>
              </w:rPr>
              <w:t xml:space="preserve">0.635 </w:t>
            </w:r>
          </w:p>
        </w:tc>
        <w:tc>
          <w:tcPr>
            <w:tcW w:w="1168" w:type="dxa"/>
            <w:tcBorders>
              <w:top w:val="nil"/>
              <w:left w:val="nil"/>
              <w:bottom w:val="single" w:sz="4" w:space="0" w:color="D9E1F2"/>
              <w:right w:val="nil"/>
            </w:tcBorders>
            <w:shd w:val="clear" w:color="000000" w:fill="F7F9FC"/>
            <w:noWrap/>
            <w:vAlign w:val="center"/>
          </w:tcPr>
          <w:p w14:paraId="5708963D"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hint="eastAsia"/>
                <w:color w:val="1F1F1F"/>
                <w:kern w:val="0"/>
                <w:szCs w:val="21"/>
              </w:rPr>
              <w:t xml:space="preserve">0.876 </w:t>
            </w:r>
          </w:p>
        </w:tc>
        <w:tc>
          <w:tcPr>
            <w:tcW w:w="993" w:type="dxa"/>
            <w:tcBorders>
              <w:top w:val="nil"/>
              <w:left w:val="nil"/>
              <w:bottom w:val="single" w:sz="4" w:space="0" w:color="D9E1F2"/>
              <w:right w:val="nil"/>
            </w:tcBorders>
            <w:shd w:val="clear" w:color="000000" w:fill="F7F9FC"/>
            <w:noWrap/>
            <w:vAlign w:val="center"/>
          </w:tcPr>
          <w:p w14:paraId="7F788224"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hint="eastAsia"/>
                <w:color w:val="1F1F1F"/>
                <w:kern w:val="0"/>
                <w:szCs w:val="21"/>
              </w:rPr>
              <w:t xml:space="preserve">0.733 </w:t>
            </w:r>
          </w:p>
        </w:tc>
        <w:tc>
          <w:tcPr>
            <w:tcW w:w="992" w:type="dxa"/>
            <w:tcBorders>
              <w:top w:val="nil"/>
              <w:left w:val="nil"/>
              <w:bottom w:val="single" w:sz="4" w:space="0" w:color="D9E1F2"/>
              <w:right w:val="nil"/>
            </w:tcBorders>
            <w:shd w:val="clear" w:color="000000" w:fill="F7F9FC"/>
            <w:noWrap/>
            <w:vAlign w:val="center"/>
          </w:tcPr>
          <w:p w14:paraId="4D259311"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hint="eastAsia"/>
                <w:color w:val="1F1F1F"/>
                <w:kern w:val="0"/>
                <w:szCs w:val="21"/>
              </w:rPr>
              <w:t xml:space="preserve">0.817 </w:t>
            </w:r>
          </w:p>
        </w:tc>
        <w:tc>
          <w:tcPr>
            <w:tcW w:w="850" w:type="dxa"/>
            <w:tcBorders>
              <w:top w:val="nil"/>
              <w:left w:val="nil"/>
              <w:bottom w:val="single" w:sz="4" w:space="0" w:color="D9E1F2"/>
              <w:right w:val="nil"/>
            </w:tcBorders>
            <w:shd w:val="clear" w:color="000000" w:fill="F7F9FC"/>
            <w:noWrap/>
            <w:vAlign w:val="center"/>
          </w:tcPr>
          <w:p w14:paraId="3587D3E9"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hint="eastAsia"/>
                <w:color w:val="1F1F1F"/>
                <w:kern w:val="0"/>
                <w:szCs w:val="21"/>
              </w:rPr>
              <w:t xml:space="preserve">0.792 </w:t>
            </w:r>
          </w:p>
        </w:tc>
      </w:tr>
      <w:tr w:rsidR="00230863" w14:paraId="4C514B5E" w14:textId="77777777" w:rsidTr="00B7003B">
        <w:trPr>
          <w:trHeight w:val="274"/>
        </w:trPr>
        <w:tc>
          <w:tcPr>
            <w:tcW w:w="1278" w:type="dxa"/>
            <w:tcBorders>
              <w:top w:val="nil"/>
              <w:left w:val="nil"/>
              <w:bottom w:val="single" w:sz="4" w:space="0" w:color="auto"/>
              <w:right w:val="nil"/>
            </w:tcBorders>
            <w:shd w:val="clear" w:color="000000" w:fill="F7F9FC"/>
            <w:noWrap/>
            <w:vAlign w:val="center"/>
          </w:tcPr>
          <w:p w14:paraId="4B1A86F5"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color w:val="1F1F1F"/>
                <w:kern w:val="0"/>
                <w:szCs w:val="21"/>
              </w:rPr>
              <w:t>Validation</w:t>
            </w:r>
          </w:p>
        </w:tc>
        <w:tc>
          <w:tcPr>
            <w:tcW w:w="2124" w:type="dxa"/>
            <w:tcBorders>
              <w:top w:val="nil"/>
              <w:left w:val="nil"/>
              <w:bottom w:val="single" w:sz="4" w:space="0" w:color="auto"/>
              <w:right w:val="nil"/>
            </w:tcBorders>
            <w:shd w:val="clear" w:color="000000" w:fill="F7F9FC"/>
            <w:noWrap/>
            <w:vAlign w:val="center"/>
          </w:tcPr>
          <w:p w14:paraId="53B82F55"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color w:val="1F1F1F"/>
                <w:kern w:val="0"/>
                <w:szCs w:val="21"/>
              </w:rPr>
              <w:t>Multimodal</w:t>
            </w:r>
          </w:p>
        </w:tc>
        <w:tc>
          <w:tcPr>
            <w:tcW w:w="1100" w:type="dxa"/>
            <w:tcBorders>
              <w:top w:val="nil"/>
              <w:left w:val="nil"/>
              <w:bottom w:val="single" w:sz="4" w:space="0" w:color="auto"/>
              <w:right w:val="nil"/>
            </w:tcBorders>
            <w:shd w:val="clear" w:color="000000" w:fill="F7F9FC"/>
            <w:noWrap/>
            <w:vAlign w:val="center"/>
          </w:tcPr>
          <w:p w14:paraId="5BFCB0E9"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hint="eastAsia"/>
                <w:color w:val="1F1F1F"/>
                <w:kern w:val="0"/>
                <w:szCs w:val="21"/>
              </w:rPr>
              <w:t xml:space="preserve">0.731 </w:t>
            </w:r>
          </w:p>
        </w:tc>
        <w:tc>
          <w:tcPr>
            <w:tcW w:w="1168" w:type="dxa"/>
            <w:tcBorders>
              <w:top w:val="nil"/>
              <w:left w:val="nil"/>
              <w:bottom w:val="single" w:sz="4" w:space="0" w:color="auto"/>
              <w:right w:val="nil"/>
            </w:tcBorders>
            <w:shd w:val="clear" w:color="000000" w:fill="F7F9FC"/>
            <w:noWrap/>
            <w:vAlign w:val="center"/>
          </w:tcPr>
          <w:p w14:paraId="081BBD1B"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hint="eastAsia"/>
                <w:color w:val="1F1F1F"/>
                <w:kern w:val="0"/>
                <w:szCs w:val="21"/>
              </w:rPr>
              <w:t xml:space="preserve">0.804 </w:t>
            </w:r>
          </w:p>
        </w:tc>
        <w:tc>
          <w:tcPr>
            <w:tcW w:w="993" w:type="dxa"/>
            <w:tcBorders>
              <w:top w:val="nil"/>
              <w:left w:val="nil"/>
              <w:bottom w:val="single" w:sz="4" w:space="0" w:color="auto"/>
              <w:right w:val="nil"/>
            </w:tcBorders>
            <w:shd w:val="clear" w:color="000000" w:fill="F7F9FC"/>
            <w:noWrap/>
            <w:vAlign w:val="center"/>
          </w:tcPr>
          <w:p w14:paraId="2B325BD9"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hint="eastAsia"/>
                <w:color w:val="1F1F1F"/>
                <w:kern w:val="0"/>
                <w:szCs w:val="21"/>
              </w:rPr>
              <w:t xml:space="preserve">0.667 </w:t>
            </w:r>
          </w:p>
        </w:tc>
        <w:tc>
          <w:tcPr>
            <w:tcW w:w="992" w:type="dxa"/>
            <w:tcBorders>
              <w:top w:val="nil"/>
              <w:left w:val="nil"/>
              <w:bottom w:val="single" w:sz="4" w:space="0" w:color="auto"/>
              <w:right w:val="nil"/>
            </w:tcBorders>
            <w:shd w:val="clear" w:color="000000" w:fill="F7F9FC"/>
            <w:noWrap/>
            <w:vAlign w:val="center"/>
          </w:tcPr>
          <w:p w14:paraId="45FA5FA9"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hint="eastAsia"/>
                <w:color w:val="1F1F1F"/>
                <w:kern w:val="0"/>
                <w:szCs w:val="21"/>
              </w:rPr>
              <w:t xml:space="preserve">0.848 </w:t>
            </w:r>
          </w:p>
        </w:tc>
        <w:tc>
          <w:tcPr>
            <w:tcW w:w="850" w:type="dxa"/>
            <w:tcBorders>
              <w:top w:val="nil"/>
              <w:left w:val="nil"/>
              <w:bottom w:val="single" w:sz="4" w:space="0" w:color="auto"/>
              <w:right w:val="nil"/>
            </w:tcBorders>
            <w:shd w:val="clear" w:color="000000" w:fill="F7F9FC"/>
            <w:noWrap/>
            <w:vAlign w:val="center"/>
          </w:tcPr>
          <w:p w14:paraId="3134A957" w14:textId="77777777" w:rsidR="00230863" w:rsidRDefault="00230863" w:rsidP="00B7003B">
            <w:pPr>
              <w:widowControl/>
              <w:jc w:val="left"/>
              <w:rPr>
                <w:rFonts w:ascii="Times New Roman" w:eastAsia="等线" w:hAnsi="Times New Roman" w:cs="Times New Roman"/>
                <w:color w:val="1F1F1F"/>
                <w:kern w:val="0"/>
                <w:szCs w:val="21"/>
              </w:rPr>
            </w:pPr>
            <w:r>
              <w:rPr>
                <w:rFonts w:ascii="Times New Roman" w:eastAsia="等线" w:hAnsi="Times New Roman" w:cs="Times New Roman" w:hint="eastAsia"/>
                <w:color w:val="1F1F1F"/>
                <w:kern w:val="0"/>
                <w:szCs w:val="21"/>
              </w:rPr>
              <w:t xml:space="preserve">0.779 </w:t>
            </w:r>
          </w:p>
        </w:tc>
      </w:tr>
    </w:tbl>
    <w:p w14:paraId="65C52A0A" w14:textId="77777777" w:rsidR="00230863" w:rsidRDefault="00230863" w:rsidP="00230863">
      <w:pPr>
        <w:rPr>
          <w:rFonts w:ascii="Times New Roman" w:hAnsi="Times New Roman" w:cs="Times New Roman"/>
        </w:rPr>
      </w:pPr>
      <w:r>
        <w:rPr>
          <w:rFonts w:ascii="Times New Roman" w:hAnsi="Times New Roman" w:cs="Times New Roman"/>
        </w:rPr>
        <w:t>Classification metrics were calculated using model-specific probability thresholds determined by maximizing the Youden index in the corresponding training dataset; thresholds were fixed and applied unchanged to the internal-test and external-validation cohorts.</w:t>
      </w:r>
    </w:p>
    <w:p w14:paraId="0A938657" w14:textId="77777777" w:rsidR="00A233B7" w:rsidRDefault="00A233B7">
      <w:pPr>
        <w:widowControl/>
        <w:jc w:val="left"/>
        <w:rPr>
          <w:rFonts w:ascii="Times New Roman" w:hAnsi="Times New Roman" w:cs="Times New Roman"/>
          <w:b/>
          <w:bCs/>
        </w:rPr>
      </w:pPr>
      <w:r>
        <w:rPr>
          <w:rFonts w:ascii="Times New Roman" w:hAnsi="Times New Roman" w:cs="Times New Roman"/>
          <w:b/>
          <w:bCs/>
        </w:rPr>
        <w:br w:type="page"/>
      </w:r>
    </w:p>
    <w:p w14:paraId="78219E2C" w14:textId="313836E3" w:rsidR="00C723C7" w:rsidRDefault="00000000">
      <w:pPr>
        <w:widowControl/>
        <w:jc w:val="left"/>
        <w:rPr>
          <w:rFonts w:ascii="Times New Roman" w:hAnsi="Times New Roman" w:cs="Times New Roman"/>
          <w:b/>
          <w:bCs/>
        </w:rPr>
      </w:pPr>
      <w:r>
        <w:rPr>
          <w:rFonts w:ascii="Times New Roman" w:hAnsi="Times New Roman" w:cs="Times New Roman"/>
          <w:b/>
          <w:bCs/>
        </w:rPr>
        <w:lastRenderedPageBreak/>
        <w:t>Table S</w:t>
      </w:r>
      <w:r w:rsidR="00ED3BE8">
        <w:rPr>
          <w:rFonts w:ascii="Times New Roman" w:hAnsi="Times New Roman" w:cs="Times New Roman" w:hint="eastAsia"/>
          <w:b/>
          <w:bCs/>
        </w:rPr>
        <w:t>5</w:t>
      </w:r>
      <w:r>
        <w:rPr>
          <w:rFonts w:ascii="Times New Roman" w:hAnsi="Times New Roman" w:cs="Times New Roman"/>
          <w:b/>
          <w:bCs/>
        </w:rPr>
        <w:t>. Clinical variables used for development of the clinical prediction model</w:t>
      </w:r>
    </w:p>
    <w:tbl>
      <w:tblPr>
        <w:tblW w:w="8896" w:type="dxa"/>
        <w:tblBorders>
          <w:top w:val="single" w:sz="4" w:space="0" w:color="auto"/>
          <w:bottom w:val="single" w:sz="4" w:space="0" w:color="auto"/>
        </w:tblBorders>
        <w:tblLook w:val="04A0" w:firstRow="1" w:lastRow="0" w:firstColumn="1" w:lastColumn="0" w:noHBand="0" w:noVBand="1"/>
      </w:tblPr>
      <w:tblGrid>
        <w:gridCol w:w="2694"/>
        <w:gridCol w:w="4819"/>
        <w:gridCol w:w="1383"/>
      </w:tblGrid>
      <w:tr w:rsidR="00C723C7" w14:paraId="37BB97FD" w14:textId="77777777">
        <w:trPr>
          <w:trHeight w:val="358"/>
        </w:trPr>
        <w:tc>
          <w:tcPr>
            <w:tcW w:w="2694" w:type="dxa"/>
            <w:tcBorders>
              <w:top w:val="single" w:sz="4" w:space="0" w:color="auto"/>
              <w:bottom w:val="single" w:sz="4" w:space="0" w:color="auto"/>
            </w:tcBorders>
            <w:shd w:val="clear" w:color="auto" w:fill="auto"/>
            <w:vAlign w:val="center"/>
          </w:tcPr>
          <w:p w14:paraId="3B917E6F" w14:textId="77777777" w:rsidR="00C723C7" w:rsidRDefault="00000000">
            <w:pPr>
              <w:widowControl/>
              <w:jc w:val="left"/>
              <w:rPr>
                <w:rFonts w:ascii="Times New Roman" w:eastAsia="等线" w:hAnsi="Times New Roman" w:cs="Times New Roman"/>
                <w:b/>
                <w:bCs/>
                <w:color w:val="000000"/>
                <w:kern w:val="0"/>
                <w:szCs w:val="21"/>
              </w:rPr>
            </w:pPr>
            <w:r>
              <w:rPr>
                <w:rFonts w:ascii="Times New Roman" w:eastAsia="等线" w:hAnsi="Times New Roman" w:cs="Times New Roman"/>
                <w:b/>
                <w:bCs/>
                <w:color w:val="000000"/>
                <w:kern w:val="0"/>
                <w:szCs w:val="21"/>
              </w:rPr>
              <w:t>Abbreviation</w:t>
            </w:r>
          </w:p>
        </w:tc>
        <w:tc>
          <w:tcPr>
            <w:tcW w:w="4819" w:type="dxa"/>
            <w:tcBorders>
              <w:top w:val="single" w:sz="4" w:space="0" w:color="auto"/>
              <w:bottom w:val="single" w:sz="4" w:space="0" w:color="auto"/>
            </w:tcBorders>
            <w:shd w:val="clear" w:color="auto" w:fill="auto"/>
            <w:vAlign w:val="center"/>
          </w:tcPr>
          <w:p w14:paraId="57AC39D8" w14:textId="77777777" w:rsidR="00C723C7" w:rsidRDefault="00000000">
            <w:pPr>
              <w:widowControl/>
              <w:jc w:val="left"/>
              <w:rPr>
                <w:rFonts w:ascii="Times New Roman" w:eastAsia="等线" w:hAnsi="Times New Roman" w:cs="Times New Roman"/>
                <w:b/>
                <w:bCs/>
                <w:color w:val="000000"/>
                <w:kern w:val="0"/>
                <w:szCs w:val="21"/>
              </w:rPr>
            </w:pPr>
            <w:r>
              <w:rPr>
                <w:rFonts w:ascii="Times New Roman" w:eastAsia="等线" w:hAnsi="Times New Roman" w:cs="Times New Roman"/>
                <w:b/>
                <w:bCs/>
                <w:color w:val="000000"/>
                <w:kern w:val="0"/>
                <w:szCs w:val="21"/>
              </w:rPr>
              <w:t>Full name</w:t>
            </w:r>
          </w:p>
        </w:tc>
        <w:tc>
          <w:tcPr>
            <w:tcW w:w="1383" w:type="dxa"/>
            <w:tcBorders>
              <w:top w:val="single" w:sz="4" w:space="0" w:color="auto"/>
              <w:bottom w:val="single" w:sz="4" w:space="0" w:color="auto"/>
            </w:tcBorders>
            <w:shd w:val="clear" w:color="auto" w:fill="auto"/>
            <w:vAlign w:val="center"/>
          </w:tcPr>
          <w:p w14:paraId="0534054A" w14:textId="77777777" w:rsidR="00C723C7" w:rsidRDefault="00000000">
            <w:pPr>
              <w:widowControl/>
              <w:jc w:val="left"/>
              <w:rPr>
                <w:rFonts w:ascii="Times New Roman" w:eastAsia="等线" w:hAnsi="Times New Roman" w:cs="Times New Roman"/>
                <w:b/>
                <w:bCs/>
                <w:color w:val="000000"/>
                <w:kern w:val="0"/>
                <w:szCs w:val="21"/>
              </w:rPr>
            </w:pPr>
            <w:r>
              <w:rPr>
                <w:rFonts w:ascii="Times New Roman" w:eastAsia="等线" w:hAnsi="Times New Roman" w:cs="Times New Roman"/>
                <w:b/>
                <w:bCs/>
                <w:color w:val="000000"/>
                <w:kern w:val="0"/>
                <w:szCs w:val="21"/>
              </w:rPr>
              <w:t>Unit</w:t>
            </w:r>
          </w:p>
        </w:tc>
      </w:tr>
      <w:tr w:rsidR="00C723C7" w14:paraId="2B3A4D47" w14:textId="77777777">
        <w:trPr>
          <w:trHeight w:val="358"/>
        </w:trPr>
        <w:tc>
          <w:tcPr>
            <w:tcW w:w="2694" w:type="dxa"/>
            <w:tcBorders>
              <w:top w:val="single" w:sz="4" w:space="0" w:color="auto"/>
            </w:tcBorders>
            <w:shd w:val="clear" w:color="auto" w:fill="auto"/>
            <w:vAlign w:val="center"/>
          </w:tcPr>
          <w:p w14:paraId="32C28FEA"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P/F ratio</w:t>
            </w:r>
          </w:p>
        </w:tc>
        <w:tc>
          <w:tcPr>
            <w:tcW w:w="4819" w:type="dxa"/>
            <w:tcBorders>
              <w:top w:val="single" w:sz="4" w:space="0" w:color="auto"/>
            </w:tcBorders>
            <w:shd w:val="clear" w:color="auto" w:fill="auto"/>
            <w:vAlign w:val="center"/>
          </w:tcPr>
          <w:p w14:paraId="6D17D707"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PaO₂/FiO₂ ratio</w:t>
            </w:r>
          </w:p>
        </w:tc>
        <w:tc>
          <w:tcPr>
            <w:tcW w:w="1383" w:type="dxa"/>
            <w:tcBorders>
              <w:top w:val="single" w:sz="4" w:space="0" w:color="auto"/>
            </w:tcBorders>
            <w:shd w:val="clear" w:color="auto" w:fill="auto"/>
            <w:vAlign w:val="center"/>
          </w:tcPr>
          <w:p w14:paraId="46A10B46"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w:t>
            </w:r>
          </w:p>
        </w:tc>
      </w:tr>
      <w:tr w:rsidR="00C723C7" w14:paraId="2B686B9F" w14:textId="77777777">
        <w:trPr>
          <w:trHeight w:val="358"/>
        </w:trPr>
        <w:tc>
          <w:tcPr>
            <w:tcW w:w="2694" w:type="dxa"/>
            <w:shd w:val="clear" w:color="auto" w:fill="auto"/>
            <w:vAlign w:val="center"/>
          </w:tcPr>
          <w:p w14:paraId="76B37641"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PaCO₂</w:t>
            </w:r>
          </w:p>
        </w:tc>
        <w:tc>
          <w:tcPr>
            <w:tcW w:w="4819" w:type="dxa"/>
            <w:shd w:val="clear" w:color="auto" w:fill="auto"/>
            <w:vAlign w:val="center"/>
          </w:tcPr>
          <w:p w14:paraId="5DCC972B"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Partial pressure of arterial carbon dioxide</w:t>
            </w:r>
          </w:p>
        </w:tc>
        <w:tc>
          <w:tcPr>
            <w:tcW w:w="1383" w:type="dxa"/>
            <w:shd w:val="clear" w:color="auto" w:fill="auto"/>
            <w:vAlign w:val="center"/>
          </w:tcPr>
          <w:p w14:paraId="0CD03AB2"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mmHg</w:t>
            </w:r>
          </w:p>
        </w:tc>
      </w:tr>
      <w:tr w:rsidR="00C723C7" w14:paraId="0C5CC8FD" w14:textId="77777777">
        <w:trPr>
          <w:trHeight w:val="358"/>
        </w:trPr>
        <w:tc>
          <w:tcPr>
            <w:tcW w:w="2694" w:type="dxa"/>
            <w:shd w:val="clear" w:color="auto" w:fill="auto"/>
            <w:vAlign w:val="center"/>
          </w:tcPr>
          <w:p w14:paraId="5FF58C00"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pH</w:t>
            </w:r>
          </w:p>
        </w:tc>
        <w:tc>
          <w:tcPr>
            <w:tcW w:w="4819" w:type="dxa"/>
            <w:shd w:val="clear" w:color="auto" w:fill="auto"/>
            <w:vAlign w:val="center"/>
          </w:tcPr>
          <w:p w14:paraId="6A08C2A6"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Arterial pH</w:t>
            </w:r>
          </w:p>
        </w:tc>
        <w:tc>
          <w:tcPr>
            <w:tcW w:w="1383" w:type="dxa"/>
            <w:shd w:val="clear" w:color="auto" w:fill="auto"/>
            <w:vAlign w:val="center"/>
          </w:tcPr>
          <w:p w14:paraId="6D2054A9"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unitless</w:t>
            </w:r>
          </w:p>
        </w:tc>
      </w:tr>
      <w:tr w:rsidR="00C723C7" w14:paraId="1DFAD4BB" w14:textId="77777777">
        <w:trPr>
          <w:trHeight w:val="358"/>
        </w:trPr>
        <w:tc>
          <w:tcPr>
            <w:tcW w:w="2694" w:type="dxa"/>
            <w:shd w:val="clear" w:color="auto" w:fill="auto"/>
            <w:vAlign w:val="center"/>
          </w:tcPr>
          <w:p w14:paraId="5E975379"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BE</w:t>
            </w:r>
          </w:p>
        </w:tc>
        <w:tc>
          <w:tcPr>
            <w:tcW w:w="4819" w:type="dxa"/>
            <w:shd w:val="clear" w:color="auto" w:fill="auto"/>
            <w:vAlign w:val="center"/>
          </w:tcPr>
          <w:p w14:paraId="6E6A2052"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Base excess</w:t>
            </w:r>
          </w:p>
        </w:tc>
        <w:tc>
          <w:tcPr>
            <w:tcW w:w="1383" w:type="dxa"/>
            <w:shd w:val="clear" w:color="auto" w:fill="auto"/>
            <w:vAlign w:val="center"/>
          </w:tcPr>
          <w:p w14:paraId="7866E20C"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mmol/L</w:t>
            </w:r>
          </w:p>
        </w:tc>
      </w:tr>
      <w:tr w:rsidR="00C723C7" w14:paraId="00B290B9" w14:textId="77777777">
        <w:trPr>
          <w:trHeight w:val="358"/>
        </w:trPr>
        <w:tc>
          <w:tcPr>
            <w:tcW w:w="2694" w:type="dxa"/>
            <w:shd w:val="clear" w:color="auto" w:fill="auto"/>
            <w:vAlign w:val="center"/>
          </w:tcPr>
          <w:p w14:paraId="3ABFD2D7"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HCO₃⁻</w:t>
            </w:r>
          </w:p>
        </w:tc>
        <w:tc>
          <w:tcPr>
            <w:tcW w:w="4819" w:type="dxa"/>
            <w:shd w:val="clear" w:color="auto" w:fill="auto"/>
            <w:vAlign w:val="center"/>
          </w:tcPr>
          <w:p w14:paraId="6C0851D4"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Bicarbonate</w:t>
            </w:r>
          </w:p>
        </w:tc>
        <w:tc>
          <w:tcPr>
            <w:tcW w:w="1383" w:type="dxa"/>
            <w:shd w:val="clear" w:color="auto" w:fill="auto"/>
            <w:vAlign w:val="center"/>
          </w:tcPr>
          <w:p w14:paraId="1638160C"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mmol/L</w:t>
            </w:r>
          </w:p>
        </w:tc>
      </w:tr>
      <w:tr w:rsidR="00C723C7" w14:paraId="4079F19C" w14:textId="77777777">
        <w:trPr>
          <w:trHeight w:val="358"/>
        </w:trPr>
        <w:tc>
          <w:tcPr>
            <w:tcW w:w="2694" w:type="dxa"/>
            <w:shd w:val="clear" w:color="auto" w:fill="auto"/>
            <w:vAlign w:val="center"/>
          </w:tcPr>
          <w:p w14:paraId="5D66ABD3"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Lac</w:t>
            </w:r>
          </w:p>
        </w:tc>
        <w:tc>
          <w:tcPr>
            <w:tcW w:w="4819" w:type="dxa"/>
            <w:shd w:val="clear" w:color="auto" w:fill="auto"/>
            <w:vAlign w:val="center"/>
          </w:tcPr>
          <w:p w14:paraId="46DA9458"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Lactate</w:t>
            </w:r>
          </w:p>
        </w:tc>
        <w:tc>
          <w:tcPr>
            <w:tcW w:w="1383" w:type="dxa"/>
            <w:shd w:val="clear" w:color="auto" w:fill="auto"/>
            <w:vAlign w:val="center"/>
          </w:tcPr>
          <w:p w14:paraId="4A79DF57"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mmol/L</w:t>
            </w:r>
          </w:p>
        </w:tc>
      </w:tr>
      <w:tr w:rsidR="00C723C7" w14:paraId="626EA9BF" w14:textId="77777777">
        <w:trPr>
          <w:trHeight w:val="358"/>
        </w:trPr>
        <w:tc>
          <w:tcPr>
            <w:tcW w:w="2694" w:type="dxa"/>
            <w:shd w:val="clear" w:color="auto" w:fill="auto"/>
            <w:vAlign w:val="center"/>
          </w:tcPr>
          <w:p w14:paraId="2136C1D2"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WBC</w:t>
            </w:r>
          </w:p>
        </w:tc>
        <w:tc>
          <w:tcPr>
            <w:tcW w:w="4819" w:type="dxa"/>
            <w:shd w:val="clear" w:color="auto" w:fill="auto"/>
            <w:vAlign w:val="center"/>
          </w:tcPr>
          <w:p w14:paraId="4CB64817"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White blood cell count</w:t>
            </w:r>
          </w:p>
        </w:tc>
        <w:tc>
          <w:tcPr>
            <w:tcW w:w="1383" w:type="dxa"/>
            <w:shd w:val="clear" w:color="auto" w:fill="auto"/>
            <w:vAlign w:val="center"/>
          </w:tcPr>
          <w:p w14:paraId="07F87A0B"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×10⁹/L</w:t>
            </w:r>
          </w:p>
        </w:tc>
      </w:tr>
      <w:tr w:rsidR="00C723C7" w14:paraId="6ED8A1FE" w14:textId="77777777">
        <w:trPr>
          <w:trHeight w:val="358"/>
        </w:trPr>
        <w:tc>
          <w:tcPr>
            <w:tcW w:w="2694" w:type="dxa"/>
            <w:shd w:val="clear" w:color="auto" w:fill="auto"/>
            <w:vAlign w:val="center"/>
          </w:tcPr>
          <w:p w14:paraId="4A72F59A"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RBC</w:t>
            </w:r>
          </w:p>
        </w:tc>
        <w:tc>
          <w:tcPr>
            <w:tcW w:w="4819" w:type="dxa"/>
            <w:shd w:val="clear" w:color="auto" w:fill="auto"/>
            <w:vAlign w:val="center"/>
          </w:tcPr>
          <w:p w14:paraId="37450065"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Red blood cell count</w:t>
            </w:r>
          </w:p>
        </w:tc>
        <w:tc>
          <w:tcPr>
            <w:tcW w:w="1383" w:type="dxa"/>
            <w:shd w:val="clear" w:color="auto" w:fill="auto"/>
            <w:vAlign w:val="center"/>
          </w:tcPr>
          <w:p w14:paraId="6D2CE84C"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×10¹²/L</w:t>
            </w:r>
          </w:p>
        </w:tc>
      </w:tr>
      <w:tr w:rsidR="00C723C7" w14:paraId="38517810" w14:textId="77777777">
        <w:trPr>
          <w:trHeight w:val="358"/>
        </w:trPr>
        <w:tc>
          <w:tcPr>
            <w:tcW w:w="2694" w:type="dxa"/>
            <w:shd w:val="clear" w:color="auto" w:fill="auto"/>
            <w:vAlign w:val="center"/>
          </w:tcPr>
          <w:p w14:paraId="07CB8D2E"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Hb</w:t>
            </w:r>
          </w:p>
        </w:tc>
        <w:tc>
          <w:tcPr>
            <w:tcW w:w="4819" w:type="dxa"/>
            <w:shd w:val="clear" w:color="auto" w:fill="auto"/>
            <w:vAlign w:val="center"/>
          </w:tcPr>
          <w:p w14:paraId="26F3D396"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Hemoglobin</w:t>
            </w:r>
          </w:p>
        </w:tc>
        <w:tc>
          <w:tcPr>
            <w:tcW w:w="1383" w:type="dxa"/>
            <w:shd w:val="clear" w:color="auto" w:fill="auto"/>
            <w:vAlign w:val="center"/>
          </w:tcPr>
          <w:p w14:paraId="7308EBF8"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g/L</w:t>
            </w:r>
          </w:p>
        </w:tc>
      </w:tr>
      <w:tr w:rsidR="00C723C7" w14:paraId="676DCB14" w14:textId="77777777">
        <w:trPr>
          <w:trHeight w:val="358"/>
        </w:trPr>
        <w:tc>
          <w:tcPr>
            <w:tcW w:w="2694" w:type="dxa"/>
            <w:shd w:val="clear" w:color="auto" w:fill="auto"/>
            <w:vAlign w:val="center"/>
          </w:tcPr>
          <w:p w14:paraId="2877D81A"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HCT</w:t>
            </w:r>
          </w:p>
        </w:tc>
        <w:tc>
          <w:tcPr>
            <w:tcW w:w="4819" w:type="dxa"/>
            <w:shd w:val="clear" w:color="auto" w:fill="auto"/>
            <w:vAlign w:val="center"/>
          </w:tcPr>
          <w:p w14:paraId="18AA3291"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Hematocrit</w:t>
            </w:r>
          </w:p>
        </w:tc>
        <w:tc>
          <w:tcPr>
            <w:tcW w:w="1383" w:type="dxa"/>
            <w:shd w:val="clear" w:color="auto" w:fill="auto"/>
            <w:vAlign w:val="center"/>
          </w:tcPr>
          <w:p w14:paraId="5462A557"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w:t>
            </w:r>
          </w:p>
        </w:tc>
      </w:tr>
      <w:tr w:rsidR="00C723C7" w14:paraId="7C2F74A4" w14:textId="77777777">
        <w:trPr>
          <w:trHeight w:val="358"/>
        </w:trPr>
        <w:tc>
          <w:tcPr>
            <w:tcW w:w="2694" w:type="dxa"/>
            <w:shd w:val="clear" w:color="auto" w:fill="auto"/>
            <w:vAlign w:val="center"/>
          </w:tcPr>
          <w:p w14:paraId="7A149B40"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MCV</w:t>
            </w:r>
          </w:p>
        </w:tc>
        <w:tc>
          <w:tcPr>
            <w:tcW w:w="4819" w:type="dxa"/>
            <w:shd w:val="clear" w:color="auto" w:fill="auto"/>
            <w:vAlign w:val="center"/>
          </w:tcPr>
          <w:p w14:paraId="0394D00E"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Mean corpuscular volume</w:t>
            </w:r>
          </w:p>
        </w:tc>
        <w:tc>
          <w:tcPr>
            <w:tcW w:w="1383" w:type="dxa"/>
            <w:shd w:val="clear" w:color="auto" w:fill="auto"/>
            <w:vAlign w:val="center"/>
          </w:tcPr>
          <w:p w14:paraId="7EFE487A"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fL</w:t>
            </w:r>
          </w:p>
        </w:tc>
      </w:tr>
      <w:tr w:rsidR="00C723C7" w14:paraId="5E8265B0" w14:textId="77777777">
        <w:trPr>
          <w:trHeight w:val="358"/>
        </w:trPr>
        <w:tc>
          <w:tcPr>
            <w:tcW w:w="2694" w:type="dxa"/>
            <w:shd w:val="clear" w:color="auto" w:fill="auto"/>
            <w:vAlign w:val="center"/>
          </w:tcPr>
          <w:p w14:paraId="439AAF63"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RDW-SD</w:t>
            </w:r>
          </w:p>
        </w:tc>
        <w:tc>
          <w:tcPr>
            <w:tcW w:w="4819" w:type="dxa"/>
            <w:shd w:val="clear" w:color="auto" w:fill="auto"/>
            <w:vAlign w:val="center"/>
          </w:tcPr>
          <w:p w14:paraId="204753E4"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Red cell distribution width–standard deviation</w:t>
            </w:r>
          </w:p>
        </w:tc>
        <w:tc>
          <w:tcPr>
            <w:tcW w:w="1383" w:type="dxa"/>
            <w:shd w:val="clear" w:color="auto" w:fill="auto"/>
            <w:vAlign w:val="center"/>
          </w:tcPr>
          <w:p w14:paraId="6B6A0D05"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fL</w:t>
            </w:r>
          </w:p>
        </w:tc>
      </w:tr>
      <w:tr w:rsidR="00C723C7" w14:paraId="37DD61C8" w14:textId="77777777">
        <w:trPr>
          <w:trHeight w:val="358"/>
        </w:trPr>
        <w:tc>
          <w:tcPr>
            <w:tcW w:w="2694" w:type="dxa"/>
            <w:shd w:val="clear" w:color="auto" w:fill="auto"/>
            <w:vAlign w:val="center"/>
          </w:tcPr>
          <w:p w14:paraId="4B83E7EE"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RDW-CV</w:t>
            </w:r>
          </w:p>
        </w:tc>
        <w:tc>
          <w:tcPr>
            <w:tcW w:w="4819" w:type="dxa"/>
            <w:shd w:val="clear" w:color="auto" w:fill="auto"/>
            <w:vAlign w:val="center"/>
          </w:tcPr>
          <w:p w14:paraId="1E656AE2"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Red cell distribution width–coefficient of variation</w:t>
            </w:r>
          </w:p>
        </w:tc>
        <w:tc>
          <w:tcPr>
            <w:tcW w:w="1383" w:type="dxa"/>
            <w:shd w:val="clear" w:color="auto" w:fill="auto"/>
            <w:vAlign w:val="center"/>
          </w:tcPr>
          <w:p w14:paraId="33C21647"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w:t>
            </w:r>
          </w:p>
        </w:tc>
      </w:tr>
      <w:tr w:rsidR="00C723C7" w14:paraId="5F622DA7" w14:textId="77777777">
        <w:trPr>
          <w:trHeight w:val="358"/>
        </w:trPr>
        <w:tc>
          <w:tcPr>
            <w:tcW w:w="2694" w:type="dxa"/>
            <w:shd w:val="clear" w:color="auto" w:fill="auto"/>
            <w:vAlign w:val="center"/>
          </w:tcPr>
          <w:p w14:paraId="42FD1424"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PLT</w:t>
            </w:r>
          </w:p>
        </w:tc>
        <w:tc>
          <w:tcPr>
            <w:tcW w:w="4819" w:type="dxa"/>
            <w:shd w:val="clear" w:color="auto" w:fill="auto"/>
            <w:vAlign w:val="center"/>
          </w:tcPr>
          <w:p w14:paraId="01FA84CB"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Platelet count</w:t>
            </w:r>
          </w:p>
        </w:tc>
        <w:tc>
          <w:tcPr>
            <w:tcW w:w="1383" w:type="dxa"/>
            <w:shd w:val="clear" w:color="auto" w:fill="auto"/>
            <w:vAlign w:val="center"/>
          </w:tcPr>
          <w:p w14:paraId="02C51FD0"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×10⁹/L</w:t>
            </w:r>
          </w:p>
        </w:tc>
      </w:tr>
      <w:tr w:rsidR="00C723C7" w14:paraId="2C68BA71" w14:textId="77777777">
        <w:trPr>
          <w:trHeight w:val="358"/>
        </w:trPr>
        <w:tc>
          <w:tcPr>
            <w:tcW w:w="2694" w:type="dxa"/>
            <w:shd w:val="clear" w:color="auto" w:fill="auto"/>
            <w:vAlign w:val="center"/>
          </w:tcPr>
          <w:p w14:paraId="547E4E42"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NEU_percent</w:t>
            </w:r>
          </w:p>
        </w:tc>
        <w:tc>
          <w:tcPr>
            <w:tcW w:w="4819" w:type="dxa"/>
            <w:shd w:val="clear" w:color="auto" w:fill="auto"/>
            <w:vAlign w:val="center"/>
          </w:tcPr>
          <w:p w14:paraId="0C8D1013"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Neutrophil percentage</w:t>
            </w:r>
          </w:p>
        </w:tc>
        <w:tc>
          <w:tcPr>
            <w:tcW w:w="1383" w:type="dxa"/>
            <w:shd w:val="clear" w:color="auto" w:fill="auto"/>
            <w:vAlign w:val="center"/>
          </w:tcPr>
          <w:p w14:paraId="1AAE5111"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w:t>
            </w:r>
          </w:p>
        </w:tc>
      </w:tr>
      <w:tr w:rsidR="00C723C7" w14:paraId="533B3FEF" w14:textId="77777777">
        <w:trPr>
          <w:trHeight w:val="358"/>
        </w:trPr>
        <w:tc>
          <w:tcPr>
            <w:tcW w:w="2694" w:type="dxa"/>
            <w:shd w:val="clear" w:color="auto" w:fill="auto"/>
            <w:vAlign w:val="center"/>
          </w:tcPr>
          <w:p w14:paraId="48C53C8B"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Mono_percent</w:t>
            </w:r>
          </w:p>
        </w:tc>
        <w:tc>
          <w:tcPr>
            <w:tcW w:w="4819" w:type="dxa"/>
            <w:shd w:val="clear" w:color="auto" w:fill="auto"/>
            <w:vAlign w:val="center"/>
          </w:tcPr>
          <w:p w14:paraId="51B082E0"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Monocyte percentage</w:t>
            </w:r>
          </w:p>
        </w:tc>
        <w:tc>
          <w:tcPr>
            <w:tcW w:w="1383" w:type="dxa"/>
            <w:shd w:val="clear" w:color="auto" w:fill="auto"/>
            <w:vAlign w:val="center"/>
          </w:tcPr>
          <w:p w14:paraId="7B99B82B"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w:t>
            </w:r>
          </w:p>
        </w:tc>
      </w:tr>
      <w:tr w:rsidR="00C723C7" w14:paraId="72ACBC74" w14:textId="77777777">
        <w:trPr>
          <w:trHeight w:val="358"/>
        </w:trPr>
        <w:tc>
          <w:tcPr>
            <w:tcW w:w="2694" w:type="dxa"/>
            <w:shd w:val="clear" w:color="auto" w:fill="auto"/>
            <w:vAlign w:val="center"/>
          </w:tcPr>
          <w:p w14:paraId="23108679"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LYM_percent</w:t>
            </w:r>
          </w:p>
        </w:tc>
        <w:tc>
          <w:tcPr>
            <w:tcW w:w="4819" w:type="dxa"/>
            <w:shd w:val="clear" w:color="auto" w:fill="auto"/>
            <w:vAlign w:val="center"/>
          </w:tcPr>
          <w:p w14:paraId="4C0390D8"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Lymphocyte percentage</w:t>
            </w:r>
          </w:p>
        </w:tc>
        <w:tc>
          <w:tcPr>
            <w:tcW w:w="1383" w:type="dxa"/>
            <w:shd w:val="clear" w:color="auto" w:fill="auto"/>
            <w:vAlign w:val="center"/>
          </w:tcPr>
          <w:p w14:paraId="3FD893D9"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w:t>
            </w:r>
          </w:p>
        </w:tc>
      </w:tr>
      <w:tr w:rsidR="00C723C7" w14:paraId="2D68D3A0" w14:textId="77777777">
        <w:trPr>
          <w:trHeight w:val="358"/>
        </w:trPr>
        <w:tc>
          <w:tcPr>
            <w:tcW w:w="2694" w:type="dxa"/>
            <w:shd w:val="clear" w:color="auto" w:fill="auto"/>
            <w:vAlign w:val="center"/>
          </w:tcPr>
          <w:p w14:paraId="67C69910"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EOS_percent</w:t>
            </w:r>
          </w:p>
        </w:tc>
        <w:tc>
          <w:tcPr>
            <w:tcW w:w="4819" w:type="dxa"/>
            <w:shd w:val="clear" w:color="auto" w:fill="auto"/>
            <w:vAlign w:val="center"/>
          </w:tcPr>
          <w:p w14:paraId="48EADC72"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Eosinophil percentage</w:t>
            </w:r>
          </w:p>
        </w:tc>
        <w:tc>
          <w:tcPr>
            <w:tcW w:w="1383" w:type="dxa"/>
            <w:shd w:val="clear" w:color="auto" w:fill="auto"/>
            <w:vAlign w:val="center"/>
          </w:tcPr>
          <w:p w14:paraId="7517CEE3"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w:t>
            </w:r>
          </w:p>
        </w:tc>
      </w:tr>
      <w:tr w:rsidR="00C723C7" w14:paraId="2A06DCD2" w14:textId="77777777">
        <w:trPr>
          <w:trHeight w:val="358"/>
        </w:trPr>
        <w:tc>
          <w:tcPr>
            <w:tcW w:w="2694" w:type="dxa"/>
            <w:shd w:val="clear" w:color="auto" w:fill="auto"/>
            <w:vAlign w:val="center"/>
          </w:tcPr>
          <w:p w14:paraId="298B7007"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BASO_percent</w:t>
            </w:r>
          </w:p>
        </w:tc>
        <w:tc>
          <w:tcPr>
            <w:tcW w:w="4819" w:type="dxa"/>
            <w:shd w:val="clear" w:color="auto" w:fill="auto"/>
            <w:vAlign w:val="center"/>
          </w:tcPr>
          <w:p w14:paraId="65557A48"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Basophil percentage</w:t>
            </w:r>
          </w:p>
        </w:tc>
        <w:tc>
          <w:tcPr>
            <w:tcW w:w="1383" w:type="dxa"/>
            <w:shd w:val="clear" w:color="auto" w:fill="auto"/>
            <w:vAlign w:val="center"/>
          </w:tcPr>
          <w:p w14:paraId="1B410FC6"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w:t>
            </w:r>
          </w:p>
        </w:tc>
      </w:tr>
      <w:tr w:rsidR="00C723C7" w14:paraId="08E2DDE6" w14:textId="77777777">
        <w:trPr>
          <w:trHeight w:val="358"/>
        </w:trPr>
        <w:tc>
          <w:tcPr>
            <w:tcW w:w="2694" w:type="dxa"/>
            <w:shd w:val="clear" w:color="auto" w:fill="auto"/>
            <w:vAlign w:val="center"/>
          </w:tcPr>
          <w:p w14:paraId="64523F7A"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Neu_count</w:t>
            </w:r>
          </w:p>
        </w:tc>
        <w:tc>
          <w:tcPr>
            <w:tcW w:w="4819" w:type="dxa"/>
            <w:shd w:val="clear" w:color="auto" w:fill="auto"/>
            <w:vAlign w:val="center"/>
          </w:tcPr>
          <w:p w14:paraId="425A0755"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Neutrophil count</w:t>
            </w:r>
          </w:p>
        </w:tc>
        <w:tc>
          <w:tcPr>
            <w:tcW w:w="1383" w:type="dxa"/>
            <w:shd w:val="clear" w:color="auto" w:fill="auto"/>
            <w:vAlign w:val="center"/>
          </w:tcPr>
          <w:p w14:paraId="12D823D2"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×10⁹/L</w:t>
            </w:r>
          </w:p>
        </w:tc>
      </w:tr>
      <w:tr w:rsidR="00C723C7" w14:paraId="1675B4BC" w14:textId="77777777">
        <w:trPr>
          <w:trHeight w:val="358"/>
        </w:trPr>
        <w:tc>
          <w:tcPr>
            <w:tcW w:w="2694" w:type="dxa"/>
            <w:shd w:val="clear" w:color="auto" w:fill="auto"/>
            <w:vAlign w:val="center"/>
          </w:tcPr>
          <w:p w14:paraId="02677349"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Lymph_count</w:t>
            </w:r>
          </w:p>
        </w:tc>
        <w:tc>
          <w:tcPr>
            <w:tcW w:w="4819" w:type="dxa"/>
            <w:shd w:val="clear" w:color="auto" w:fill="auto"/>
            <w:vAlign w:val="center"/>
          </w:tcPr>
          <w:p w14:paraId="55BE69DF"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Lymphocyte count</w:t>
            </w:r>
          </w:p>
        </w:tc>
        <w:tc>
          <w:tcPr>
            <w:tcW w:w="1383" w:type="dxa"/>
            <w:shd w:val="clear" w:color="auto" w:fill="auto"/>
            <w:vAlign w:val="center"/>
          </w:tcPr>
          <w:p w14:paraId="04F06C41"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×10⁹/L</w:t>
            </w:r>
          </w:p>
        </w:tc>
      </w:tr>
      <w:tr w:rsidR="00C723C7" w14:paraId="4980AF1D" w14:textId="77777777">
        <w:trPr>
          <w:trHeight w:val="358"/>
        </w:trPr>
        <w:tc>
          <w:tcPr>
            <w:tcW w:w="2694" w:type="dxa"/>
            <w:shd w:val="clear" w:color="auto" w:fill="auto"/>
            <w:vAlign w:val="center"/>
          </w:tcPr>
          <w:p w14:paraId="3CA34FD6"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Mono_count</w:t>
            </w:r>
          </w:p>
        </w:tc>
        <w:tc>
          <w:tcPr>
            <w:tcW w:w="4819" w:type="dxa"/>
            <w:shd w:val="clear" w:color="auto" w:fill="auto"/>
            <w:vAlign w:val="center"/>
          </w:tcPr>
          <w:p w14:paraId="603A9FC7"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Monocyte count</w:t>
            </w:r>
          </w:p>
        </w:tc>
        <w:tc>
          <w:tcPr>
            <w:tcW w:w="1383" w:type="dxa"/>
            <w:shd w:val="clear" w:color="auto" w:fill="auto"/>
            <w:vAlign w:val="center"/>
          </w:tcPr>
          <w:p w14:paraId="441089BB"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×10⁹/L</w:t>
            </w:r>
          </w:p>
        </w:tc>
      </w:tr>
      <w:tr w:rsidR="00C723C7" w14:paraId="031A9746" w14:textId="77777777">
        <w:trPr>
          <w:trHeight w:val="358"/>
        </w:trPr>
        <w:tc>
          <w:tcPr>
            <w:tcW w:w="2694" w:type="dxa"/>
            <w:shd w:val="clear" w:color="auto" w:fill="auto"/>
            <w:vAlign w:val="center"/>
          </w:tcPr>
          <w:p w14:paraId="68CABFC1"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Eos_count</w:t>
            </w:r>
          </w:p>
        </w:tc>
        <w:tc>
          <w:tcPr>
            <w:tcW w:w="4819" w:type="dxa"/>
            <w:shd w:val="clear" w:color="auto" w:fill="auto"/>
            <w:vAlign w:val="center"/>
          </w:tcPr>
          <w:p w14:paraId="452B2F3F"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Eosinophil count</w:t>
            </w:r>
          </w:p>
        </w:tc>
        <w:tc>
          <w:tcPr>
            <w:tcW w:w="1383" w:type="dxa"/>
            <w:shd w:val="clear" w:color="auto" w:fill="auto"/>
            <w:vAlign w:val="center"/>
          </w:tcPr>
          <w:p w14:paraId="24C05F73"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×10⁹/L</w:t>
            </w:r>
          </w:p>
        </w:tc>
      </w:tr>
      <w:tr w:rsidR="00C723C7" w14:paraId="1B55CD59" w14:textId="77777777">
        <w:trPr>
          <w:trHeight w:val="358"/>
        </w:trPr>
        <w:tc>
          <w:tcPr>
            <w:tcW w:w="2694" w:type="dxa"/>
            <w:shd w:val="clear" w:color="auto" w:fill="auto"/>
            <w:vAlign w:val="center"/>
          </w:tcPr>
          <w:p w14:paraId="2E29F966"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Baso_count</w:t>
            </w:r>
          </w:p>
        </w:tc>
        <w:tc>
          <w:tcPr>
            <w:tcW w:w="4819" w:type="dxa"/>
            <w:shd w:val="clear" w:color="auto" w:fill="auto"/>
            <w:vAlign w:val="center"/>
          </w:tcPr>
          <w:p w14:paraId="1B5194E7"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Basophil count</w:t>
            </w:r>
          </w:p>
        </w:tc>
        <w:tc>
          <w:tcPr>
            <w:tcW w:w="1383" w:type="dxa"/>
            <w:shd w:val="clear" w:color="auto" w:fill="auto"/>
            <w:vAlign w:val="center"/>
          </w:tcPr>
          <w:p w14:paraId="23CA1A0B"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×10⁹/L</w:t>
            </w:r>
          </w:p>
        </w:tc>
      </w:tr>
      <w:tr w:rsidR="00C723C7" w14:paraId="1F9223B6" w14:textId="77777777">
        <w:trPr>
          <w:trHeight w:val="358"/>
        </w:trPr>
        <w:tc>
          <w:tcPr>
            <w:tcW w:w="2694" w:type="dxa"/>
            <w:shd w:val="clear" w:color="auto" w:fill="auto"/>
            <w:vAlign w:val="center"/>
          </w:tcPr>
          <w:p w14:paraId="45B38F65"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MPV</w:t>
            </w:r>
          </w:p>
        </w:tc>
        <w:tc>
          <w:tcPr>
            <w:tcW w:w="4819" w:type="dxa"/>
            <w:shd w:val="clear" w:color="auto" w:fill="auto"/>
            <w:vAlign w:val="center"/>
          </w:tcPr>
          <w:p w14:paraId="1490FB26"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Mean platelet volume</w:t>
            </w:r>
          </w:p>
        </w:tc>
        <w:tc>
          <w:tcPr>
            <w:tcW w:w="1383" w:type="dxa"/>
            <w:shd w:val="clear" w:color="auto" w:fill="auto"/>
            <w:vAlign w:val="center"/>
          </w:tcPr>
          <w:p w14:paraId="18FF9209"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fL</w:t>
            </w:r>
          </w:p>
        </w:tc>
      </w:tr>
      <w:tr w:rsidR="00C723C7" w14:paraId="47D14478" w14:textId="77777777">
        <w:trPr>
          <w:trHeight w:val="358"/>
        </w:trPr>
        <w:tc>
          <w:tcPr>
            <w:tcW w:w="2694" w:type="dxa"/>
            <w:shd w:val="clear" w:color="auto" w:fill="auto"/>
            <w:vAlign w:val="center"/>
          </w:tcPr>
          <w:p w14:paraId="4470B8AF"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Plateletcrit</w:t>
            </w:r>
          </w:p>
        </w:tc>
        <w:tc>
          <w:tcPr>
            <w:tcW w:w="4819" w:type="dxa"/>
            <w:shd w:val="clear" w:color="auto" w:fill="auto"/>
            <w:vAlign w:val="center"/>
          </w:tcPr>
          <w:p w14:paraId="3369FAED"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Plateletcrit</w:t>
            </w:r>
          </w:p>
        </w:tc>
        <w:tc>
          <w:tcPr>
            <w:tcW w:w="1383" w:type="dxa"/>
            <w:shd w:val="clear" w:color="auto" w:fill="auto"/>
            <w:vAlign w:val="center"/>
          </w:tcPr>
          <w:p w14:paraId="03CC186A"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w:t>
            </w:r>
          </w:p>
        </w:tc>
      </w:tr>
      <w:tr w:rsidR="00C723C7" w14:paraId="0C4A8593" w14:textId="77777777">
        <w:trPr>
          <w:trHeight w:val="358"/>
        </w:trPr>
        <w:tc>
          <w:tcPr>
            <w:tcW w:w="2694" w:type="dxa"/>
            <w:shd w:val="clear" w:color="auto" w:fill="auto"/>
            <w:vAlign w:val="center"/>
          </w:tcPr>
          <w:p w14:paraId="423C7EA5"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P-LCR</w:t>
            </w:r>
          </w:p>
        </w:tc>
        <w:tc>
          <w:tcPr>
            <w:tcW w:w="4819" w:type="dxa"/>
            <w:shd w:val="clear" w:color="auto" w:fill="auto"/>
            <w:vAlign w:val="center"/>
          </w:tcPr>
          <w:p w14:paraId="25D34B9F"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Platelet large cell ratio</w:t>
            </w:r>
          </w:p>
        </w:tc>
        <w:tc>
          <w:tcPr>
            <w:tcW w:w="1383" w:type="dxa"/>
            <w:shd w:val="clear" w:color="auto" w:fill="auto"/>
            <w:vAlign w:val="center"/>
          </w:tcPr>
          <w:p w14:paraId="3608D7C6"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w:t>
            </w:r>
          </w:p>
        </w:tc>
      </w:tr>
      <w:tr w:rsidR="00C723C7" w14:paraId="3CFF6F96" w14:textId="77777777">
        <w:trPr>
          <w:trHeight w:val="358"/>
        </w:trPr>
        <w:tc>
          <w:tcPr>
            <w:tcW w:w="2694" w:type="dxa"/>
            <w:shd w:val="clear" w:color="auto" w:fill="auto"/>
            <w:vAlign w:val="center"/>
          </w:tcPr>
          <w:p w14:paraId="21F30630"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PDW</w:t>
            </w:r>
          </w:p>
        </w:tc>
        <w:tc>
          <w:tcPr>
            <w:tcW w:w="4819" w:type="dxa"/>
            <w:shd w:val="clear" w:color="auto" w:fill="auto"/>
            <w:vAlign w:val="center"/>
          </w:tcPr>
          <w:p w14:paraId="0341123E"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Platelet distribution width</w:t>
            </w:r>
          </w:p>
        </w:tc>
        <w:tc>
          <w:tcPr>
            <w:tcW w:w="1383" w:type="dxa"/>
            <w:shd w:val="clear" w:color="auto" w:fill="auto"/>
            <w:vAlign w:val="center"/>
          </w:tcPr>
          <w:p w14:paraId="72658DD7"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fL</w:t>
            </w:r>
          </w:p>
        </w:tc>
      </w:tr>
      <w:tr w:rsidR="00C723C7" w14:paraId="4C33BE29" w14:textId="77777777">
        <w:trPr>
          <w:trHeight w:val="358"/>
        </w:trPr>
        <w:tc>
          <w:tcPr>
            <w:tcW w:w="2694" w:type="dxa"/>
            <w:shd w:val="clear" w:color="auto" w:fill="auto"/>
            <w:vAlign w:val="center"/>
          </w:tcPr>
          <w:p w14:paraId="2E68AF6D"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Glu</w:t>
            </w:r>
          </w:p>
        </w:tc>
        <w:tc>
          <w:tcPr>
            <w:tcW w:w="4819" w:type="dxa"/>
            <w:shd w:val="clear" w:color="auto" w:fill="auto"/>
            <w:vAlign w:val="center"/>
          </w:tcPr>
          <w:p w14:paraId="011EAB96"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Glucose</w:t>
            </w:r>
          </w:p>
        </w:tc>
        <w:tc>
          <w:tcPr>
            <w:tcW w:w="1383" w:type="dxa"/>
            <w:shd w:val="clear" w:color="auto" w:fill="auto"/>
            <w:vAlign w:val="center"/>
          </w:tcPr>
          <w:p w14:paraId="10A95BCF"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mmol/L</w:t>
            </w:r>
          </w:p>
        </w:tc>
      </w:tr>
      <w:tr w:rsidR="00C723C7" w14:paraId="57B121E2" w14:textId="77777777">
        <w:trPr>
          <w:trHeight w:val="358"/>
        </w:trPr>
        <w:tc>
          <w:tcPr>
            <w:tcW w:w="2694" w:type="dxa"/>
            <w:shd w:val="clear" w:color="auto" w:fill="auto"/>
            <w:vAlign w:val="center"/>
          </w:tcPr>
          <w:p w14:paraId="78130571"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Ca²⁺</w:t>
            </w:r>
          </w:p>
        </w:tc>
        <w:tc>
          <w:tcPr>
            <w:tcW w:w="4819" w:type="dxa"/>
            <w:shd w:val="clear" w:color="auto" w:fill="auto"/>
            <w:vAlign w:val="center"/>
          </w:tcPr>
          <w:p w14:paraId="0CC4C0C8"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Calcium</w:t>
            </w:r>
          </w:p>
        </w:tc>
        <w:tc>
          <w:tcPr>
            <w:tcW w:w="1383" w:type="dxa"/>
            <w:shd w:val="clear" w:color="auto" w:fill="auto"/>
            <w:vAlign w:val="center"/>
          </w:tcPr>
          <w:p w14:paraId="73246E87"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mmol/L</w:t>
            </w:r>
          </w:p>
        </w:tc>
      </w:tr>
      <w:tr w:rsidR="00C723C7" w14:paraId="69FA05E4" w14:textId="77777777">
        <w:trPr>
          <w:trHeight w:val="358"/>
        </w:trPr>
        <w:tc>
          <w:tcPr>
            <w:tcW w:w="2694" w:type="dxa"/>
            <w:shd w:val="clear" w:color="auto" w:fill="auto"/>
            <w:vAlign w:val="center"/>
          </w:tcPr>
          <w:p w14:paraId="416DCA38"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Na⁺</w:t>
            </w:r>
          </w:p>
        </w:tc>
        <w:tc>
          <w:tcPr>
            <w:tcW w:w="4819" w:type="dxa"/>
            <w:shd w:val="clear" w:color="auto" w:fill="auto"/>
            <w:vAlign w:val="center"/>
          </w:tcPr>
          <w:p w14:paraId="2BF3AE7F"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Sodium</w:t>
            </w:r>
          </w:p>
        </w:tc>
        <w:tc>
          <w:tcPr>
            <w:tcW w:w="1383" w:type="dxa"/>
            <w:shd w:val="clear" w:color="auto" w:fill="auto"/>
            <w:vAlign w:val="center"/>
          </w:tcPr>
          <w:p w14:paraId="3E7A040C"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mmol/L</w:t>
            </w:r>
          </w:p>
        </w:tc>
      </w:tr>
      <w:tr w:rsidR="00C723C7" w14:paraId="69AA3A69" w14:textId="77777777">
        <w:trPr>
          <w:trHeight w:val="358"/>
        </w:trPr>
        <w:tc>
          <w:tcPr>
            <w:tcW w:w="2694" w:type="dxa"/>
            <w:shd w:val="clear" w:color="auto" w:fill="auto"/>
            <w:vAlign w:val="center"/>
          </w:tcPr>
          <w:p w14:paraId="37C0EB3F"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K⁺</w:t>
            </w:r>
          </w:p>
        </w:tc>
        <w:tc>
          <w:tcPr>
            <w:tcW w:w="4819" w:type="dxa"/>
            <w:shd w:val="clear" w:color="auto" w:fill="auto"/>
            <w:vAlign w:val="center"/>
          </w:tcPr>
          <w:p w14:paraId="7F0DAD8B"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Potassium</w:t>
            </w:r>
          </w:p>
        </w:tc>
        <w:tc>
          <w:tcPr>
            <w:tcW w:w="1383" w:type="dxa"/>
            <w:shd w:val="clear" w:color="auto" w:fill="auto"/>
            <w:vAlign w:val="center"/>
          </w:tcPr>
          <w:p w14:paraId="4AC7AFA5"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mmol/L</w:t>
            </w:r>
          </w:p>
        </w:tc>
      </w:tr>
      <w:tr w:rsidR="00C723C7" w14:paraId="1F74DAA9" w14:textId="77777777">
        <w:trPr>
          <w:trHeight w:val="358"/>
        </w:trPr>
        <w:tc>
          <w:tcPr>
            <w:tcW w:w="2694" w:type="dxa"/>
            <w:shd w:val="clear" w:color="auto" w:fill="auto"/>
            <w:vAlign w:val="center"/>
          </w:tcPr>
          <w:p w14:paraId="428FB672"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Mg²⁺</w:t>
            </w:r>
          </w:p>
        </w:tc>
        <w:tc>
          <w:tcPr>
            <w:tcW w:w="4819" w:type="dxa"/>
            <w:shd w:val="clear" w:color="auto" w:fill="auto"/>
            <w:vAlign w:val="center"/>
          </w:tcPr>
          <w:p w14:paraId="1E570743"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Magnesium</w:t>
            </w:r>
          </w:p>
        </w:tc>
        <w:tc>
          <w:tcPr>
            <w:tcW w:w="1383" w:type="dxa"/>
            <w:shd w:val="clear" w:color="auto" w:fill="auto"/>
            <w:vAlign w:val="center"/>
          </w:tcPr>
          <w:p w14:paraId="0BBE52A2"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mmol/L</w:t>
            </w:r>
          </w:p>
        </w:tc>
      </w:tr>
      <w:tr w:rsidR="00C723C7" w14:paraId="1561173D" w14:textId="77777777">
        <w:trPr>
          <w:trHeight w:val="358"/>
        </w:trPr>
        <w:tc>
          <w:tcPr>
            <w:tcW w:w="2694" w:type="dxa"/>
            <w:shd w:val="clear" w:color="auto" w:fill="auto"/>
            <w:vAlign w:val="center"/>
          </w:tcPr>
          <w:p w14:paraId="60F535A6"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BUN</w:t>
            </w:r>
          </w:p>
        </w:tc>
        <w:tc>
          <w:tcPr>
            <w:tcW w:w="4819" w:type="dxa"/>
            <w:shd w:val="clear" w:color="auto" w:fill="auto"/>
            <w:vAlign w:val="center"/>
          </w:tcPr>
          <w:p w14:paraId="3A17FA3F"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Blood urea nitrogen</w:t>
            </w:r>
          </w:p>
        </w:tc>
        <w:tc>
          <w:tcPr>
            <w:tcW w:w="1383" w:type="dxa"/>
            <w:shd w:val="clear" w:color="auto" w:fill="auto"/>
            <w:vAlign w:val="center"/>
          </w:tcPr>
          <w:p w14:paraId="44E80DAA"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mmol/L</w:t>
            </w:r>
          </w:p>
        </w:tc>
      </w:tr>
      <w:tr w:rsidR="00C723C7" w14:paraId="05789D02" w14:textId="77777777">
        <w:trPr>
          <w:trHeight w:val="358"/>
        </w:trPr>
        <w:tc>
          <w:tcPr>
            <w:tcW w:w="2694" w:type="dxa"/>
            <w:shd w:val="clear" w:color="auto" w:fill="auto"/>
            <w:vAlign w:val="center"/>
          </w:tcPr>
          <w:p w14:paraId="48C548E4"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Cr</w:t>
            </w:r>
          </w:p>
        </w:tc>
        <w:tc>
          <w:tcPr>
            <w:tcW w:w="4819" w:type="dxa"/>
            <w:shd w:val="clear" w:color="auto" w:fill="auto"/>
            <w:vAlign w:val="center"/>
          </w:tcPr>
          <w:p w14:paraId="538A227A"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Creatinine</w:t>
            </w:r>
          </w:p>
        </w:tc>
        <w:tc>
          <w:tcPr>
            <w:tcW w:w="1383" w:type="dxa"/>
            <w:shd w:val="clear" w:color="auto" w:fill="auto"/>
            <w:vAlign w:val="center"/>
          </w:tcPr>
          <w:p w14:paraId="75597F61"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μmol/L</w:t>
            </w:r>
          </w:p>
        </w:tc>
      </w:tr>
      <w:tr w:rsidR="00C723C7" w14:paraId="31B99025" w14:textId="77777777">
        <w:trPr>
          <w:trHeight w:val="358"/>
        </w:trPr>
        <w:tc>
          <w:tcPr>
            <w:tcW w:w="2694" w:type="dxa"/>
            <w:shd w:val="clear" w:color="auto" w:fill="auto"/>
            <w:vAlign w:val="center"/>
          </w:tcPr>
          <w:p w14:paraId="7F2C176F"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ALT</w:t>
            </w:r>
          </w:p>
        </w:tc>
        <w:tc>
          <w:tcPr>
            <w:tcW w:w="4819" w:type="dxa"/>
            <w:shd w:val="clear" w:color="auto" w:fill="auto"/>
            <w:vAlign w:val="center"/>
          </w:tcPr>
          <w:p w14:paraId="598C08FD"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Alanine aminotransferase</w:t>
            </w:r>
          </w:p>
        </w:tc>
        <w:tc>
          <w:tcPr>
            <w:tcW w:w="1383" w:type="dxa"/>
            <w:shd w:val="clear" w:color="auto" w:fill="auto"/>
            <w:vAlign w:val="center"/>
          </w:tcPr>
          <w:p w14:paraId="6C41C1ED" w14:textId="77777777" w:rsidR="00C723C7" w:rsidRDefault="00000000">
            <w:pPr>
              <w:widowControl/>
              <w:jc w:val="left"/>
              <w:rPr>
                <w:rFonts w:ascii="Times New Roman" w:eastAsia="等线" w:hAnsi="Times New Roman" w:cs="Times New Roman"/>
                <w:color w:val="000000"/>
                <w:kern w:val="0"/>
                <w:szCs w:val="21"/>
              </w:rPr>
            </w:pPr>
            <w:bookmarkStart w:id="2" w:name="OLE_LINK4"/>
            <w:r>
              <w:rPr>
                <w:rFonts w:ascii="Times New Roman" w:eastAsia="等线" w:hAnsi="Times New Roman" w:cs="Times New Roman"/>
                <w:color w:val="000000"/>
                <w:kern w:val="0"/>
                <w:szCs w:val="21"/>
              </w:rPr>
              <w:t>U/L</w:t>
            </w:r>
            <w:bookmarkEnd w:id="2"/>
          </w:p>
        </w:tc>
      </w:tr>
      <w:tr w:rsidR="00C723C7" w14:paraId="099EF278" w14:textId="77777777">
        <w:trPr>
          <w:trHeight w:val="358"/>
        </w:trPr>
        <w:tc>
          <w:tcPr>
            <w:tcW w:w="2694" w:type="dxa"/>
            <w:shd w:val="clear" w:color="auto" w:fill="auto"/>
            <w:vAlign w:val="center"/>
          </w:tcPr>
          <w:p w14:paraId="36DB9669"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lastRenderedPageBreak/>
              <w:t>AST</w:t>
            </w:r>
          </w:p>
        </w:tc>
        <w:tc>
          <w:tcPr>
            <w:tcW w:w="4819" w:type="dxa"/>
            <w:shd w:val="clear" w:color="auto" w:fill="auto"/>
            <w:vAlign w:val="center"/>
          </w:tcPr>
          <w:p w14:paraId="2126121D"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Aspartate aminotransferase</w:t>
            </w:r>
          </w:p>
        </w:tc>
        <w:tc>
          <w:tcPr>
            <w:tcW w:w="1383" w:type="dxa"/>
            <w:shd w:val="clear" w:color="auto" w:fill="auto"/>
            <w:vAlign w:val="center"/>
          </w:tcPr>
          <w:p w14:paraId="4C919F74"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U/L</w:t>
            </w:r>
          </w:p>
        </w:tc>
      </w:tr>
      <w:tr w:rsidR="00C723C7" w14:paraId="05ACF813" w14:textId="77777777">
        <w:trPr>
          <w:trHeight w:val="358"/>
        </w:trPr>
        <w:tc>
          <w:tcPr>
            <w:tcW w:w="2694" w:type="dxa"/>
            <w:shd w:val="clear" w:color="auto" w:fill="auto"/>
            <w:vAlign w:val="center"/>
          </w:tcPr>
          <w:p w14:paraId="31C8AA74"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UA</w:t>
            </w:r>
          </w:p>
        </w:tc>
        <w:tc>
          <w:tcPr>
            <w:tcW w:w="4819" w:type="dxa"/>
            <w:shd w:val="clear" w:color="auto" w:fill="auto"/>
            <w:vAlign w:val="center"/>
          </w:tcPr>
          <w:p w14:paraId="7A3FFB34"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Uric acid</w:t>
            </w:r>
          </w:p>
        </w:tc>
        <w:tc>
          <w:tcPr>
            <w:tcW w:w="1383" w:type="dxa"/>
            <w:shd w:val="clear" w:color="auto" w:fill="auto"/>
            <w:vAlign w:val="center"/>
          </w:tcPr>
          <w:p w14:paraId="0394FCA5"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μmol/L</w:t>
            </w:r>
          </w:p>
        </w:tc>
      </w:tr>
      <w:tr w:rsidR="00C723C7" w14:paraId="4E76D790" w14:textId="77777777">
        <w:trPr>
          <w:trHeight w:val="358"/>
        </w:trPr>
        <w:tc>
          <w:tcPr>
            <w:tcW w:w="2694" w:type="dxa"/>
            <w:shd w:val="clear" w:color="auto" w:fill="auto"/>
            <w:vAlign w:val="center"/>
          </w:tcPr>
          <w:p w14:paraId="57B591DF"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D-dimer</w:t>
            </w:r>
          </w:p>
        </w:tc>
        <w:tc>
          <w:tcPr>
            <w:tcW w:w="4819" w:type="dxa"/>
            <w:shd w:val="clear" w:color="auto" w:fill="auto"/>
            <w:vAlign w:val="center"/>
          </w:tcPr>
          <w:p w14:paraId="6BA9EEDA"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D-dimer</w:t>
            </w:r>
          </w:p>
        </w:tc>
        <w:tc>
          <w:tcPr>
            <w:tcW w:w="1383" w:type="dxa"/>
            <w:shd w:val="clear" w:color="auto" w:fill="auto"/>
            <w:vAlign w:val="center"/>
          </w:tcPr>
          <w:p w14:paraId="713D0F0A"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mg/L FEU</w:t>
            </w:r>
          </w:p>
        </w:tc>
      </w:tr>
      <w:tr w:rsidR="00C723C7" w14:paraId="777EBF4B" w14:textId="77777777">
        <w:trPr>
          <w:trHeight w:val="358"/>
        </w:trPr>
        <w:tc>
          <w:tcPr>
            <w:tcW w:w="2694" w:type="dxa"/>
            <w:shd w:val="clear" w:color="auto" w:fill="auto"/>
            <w:vAlign w:val="center"/>
          </w:tcPr>
          <w:p w14:paraId="40387C90"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INR</w:t>
            </w:r>
          </w:p>
        </w:tc>
        <w:tc>
          <w:tcPr>
            <w:tcW w:w="4819" w:type="dxa"/>
            <w:shd w:val="clear" w:color="auto" w:fill="auto"/>
            <w:vAlign w:val="center"/>
          </w:tcPr>
          <w:p w14:paraId="520F8491"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International normalized ratio</w:t>
            </w:r>
          </w:p>
        </w:tc>
        <w:tc>
          <w:tcPr>
            <w:tcW w:w="1383" w:type="dxa"/>
            <w:shd w:val="clear" w:color="auto" w:fill="auto"/>
            <w:vAlign w:val="center"/>
          </w:tcPr>
          <w:p w14:paraId="385D89DD"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unitless</w:t>
            </w:r>
          </w:p>
        </w:tc>
      </w:tr>
      <w:tr w:rsidR="00C723C7" w14:paraId="0F636591" w14:textId="77777777">
        <w:trPr>
          <w:trHeight w:val="358"/>
        </w:trPr>
        <w:tc>
          <w:tcPr>
            <w:tcW w:w="2694" w:type="dxa"/>
            <w:shd w:val="clear" w:color="auto" w:fill="auto"/>
            <w:vAlign w:val="center"/>
          </w:tcPr>
          <w:p w14:paraId="547DA28C"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PT</w:t>
            </w:r>
          </w:p>
        </w:tc>
        <w:tc>
          <w:tcPr>
            <w:tcW w:w="4819" w:type="dxa"/>
            <w:shd w:val="clear" w:color="auto" w:fill="auto"/>
            <w:vAlign w:val="center"/>
          </w:tcPr>
          <w:p w14:paraId="72D1A9E6"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Prothrombin time</w:t>
            </w:r>
          </w:p>
        </w:tc>
        <w:tc>
          <w:tcPr>
            <w:tcW w:w="1383" w:type="dxa"/>
            <w:shd w:val="clear" w:color="auto" w:fill="auto"/>
            <w:vAlign w:val="center"/>
          </w:tcPr>
          <w:p w14:paraId="706FE2F9"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s</w:t>
            </w:r>
          </w:p>
        </w:tc>
      </w:tr>
      <w:tr w:rsidR="00C723C7" w14:paraId="72A13C85" w14:textId="77777777">
        <w:trPr>
          <w:trHeight w:val="358"/>
        </w:trPr>
        <w:tc>
          <w:tcPr>
            <w:tcW w:w="2694" w:type="dxa"/>
            <w:shd w:val="clear" w:color="auto" w:fill="auto"/>
            <w:vAlign w:val="center"/>
          </w:tcPr>
          <w:p w14:paraId="733C2FEF"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APTT</w:t>
            </w:r>
          </w:p>
        </w:tc>
        <w:tc>
          <w:tcPr>
            <w:tcW w:w="4819" w:type="dxa"/>
            <w:shd w:val="clear" w:color="auto" w:fill="auto"/>
            <w:vAlign w:val="center"/>
          </w:tcPr>
          <w:p w14:paraId="6707CFDE"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Activated partial thromboplastin time</w:t>
            </w:r>
          </w:p>
        </w:tc>
        <w:tc>
          <w:tcPr>
            <w:tcW w:w="1383" w:type="dxa"/>
            <w:shd w:val="clear" w:color="auto" w:fill="auto"/>
            <w:vAlign w:val="center"/>
          </w:tcPr>
          <w:p w14:paraId="31BE7528"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s</w:t>
            </w:r>
          </w:p>
        </w:tc>
      </w:tr>
      <w:tr w:rsidR="00C723C7" w14:paraId="5AC60315" w14:textId="77777777">
        <w:trPr>
          <w:trHeight w:val="358"/>
        </w:trPr>
        <w:tc>
          <w:tcPr>
            <w:tcW w:w="2694" w:type="dxa"/>
            <w:shd w:val="clear" w:color="auto" w:fill="auto"/>
            <w:vAlign w:val="center"/>
          </w:tcPr>
          <w:p w14:paraId="2E9BB4FA"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TT</w:t>
            </w:r>
          </w:p>
        </w:tc>
        <w:tc>
          <w:tcPr>
            <w:tcW w:w="4819" w:type="dxa"/>
            <w:shd w:val="clear" w:color="auto" w:fill="auto"/>
            <w:vAlign w:val="center"/>
          </w:tcPr>
          <w:p w14:paraId="267A9BA3"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Thrombin time</w:t>
            </w:r>
          </w:p>
        </w:tc>
        <w:tc>
          <w:tcPr>
            <w:tcW w:w="1383" w:type="dxa"/>
            <w:shd w:val="clear" w:color="auto" w:fill="auto"/>
            <w:vAlign w:val="center"/>
          </w:tcPr>
          <w:p w14:paraId="48B17443"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s</w:t>
            </w:r>
          </w:p>
        </w:tc>
      </w:tr>
      <w:tr w:rsidR="00C723C7" w14:paraId="13552909" w14:textId="77777777">
        <w:trPr>
          <w:trHeight w:val="358"/>
        </w:trPr>
        <w:tc>
          <w:tcPr>
            <w:tcW w:w="2694" w:type="dxa"/>
            <w:shd w:val="clear" w:color="auto" w:fill="auto"/>
            <w:vAlign w:val="center"/>
          </w:tcPr>
          <w:p w14:paraId="7971272C"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Fg</w:t>
            </w:r>
          </w:p>
        </w:tc>
        <w:tc>
          <w:tcPr>
            <w:tcW w:w="4819" w:type="dxa"/>
            <w:shd w:val="clear" w:color="auto" w:fill="auto"/>
            <w:vAlign w:val="center"/>
          </w:tcPr>
          <w:p w14:paraId="04F8CE6E"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Fibrinogen</w:t>
            </w:r>
          </w:p>
        </w:tc>
        <w:tc>
          <w:tcPr>
            <w:tcW w:w="1383" w:type="dxa"/>
            <w:shd w:val="clear" w:color="auto" w:fill="auto"/>
            <w:vAlign w:val="center"/>
          </w:tcPr>
          <w:p w14:paraId="581406C9"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m</w:t>
            </w:r>
            <w:r>
              <w:rPr>
                <w:rFonts w:ascii="Times New Roman" w:eastAsia="等线" w:hAnsi="Times New Roman" w:cs="Times New Roman"/>
                <w:color w:val="000000"/>
                <w:kern w:val="0"/>
                <w:szCs w:val="21"/>
              </w:rPr>
              <w:t>g/</w:t>
            </w:r>
            <w:r>
              <w:rPr>
                <w:rFonts w:ascii="Times New Roman" w:eastAsia="等线" w:hAnsi="Times New Roman" w:cs="Times New Roman" w:hint="eastAsia"/>
                <w:color w:val="000000"/>
                <w:kern w:val="0"/>
                <w:szCs w:val="21"/>
              </w:rPr>
              <w:t>d</w:t>
            </w:r>
            <w:r>
              <w:rPr>
                <w:rFonts w:ascii="Times New Roman" w:eastAsia="等线" w:hAnsi="Times New Roman" w:cs="Times New Roman"/>
                <w:color w:val="000000"/>
                <w:kern w:val="0"/>
                <w:szCs w:val="21"/>
              </w:rPr>
              <w:t>L</w:t>
            </w:r>
          </w:p>
        </w:tc>
      </w:tr>
      <w:tr w:rsidR="00C723C7" w14:paraId="5533F202" w14:textId="77777777">
        <w:trPr>
          <w:trHeight w:val="358"/>
        </w:trPr>
        <w:tc>
          <w:tcPr>
            <w:tcW w:w="2694" w:type="dxa"/>
            <w:shd w:val="clear" w:color="auto" w:fill="auto"/>
            <w:vAlign w:val="center"/>
          </w:tcPr>
          <w:p w14:paraId="4513F3D8"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CRP</w:t>
            </w:r>
          </w:p>
        </w:tc>
        <w:tc>
          <w:tcPr>
            <w:tcW w:w="4819" w:type="dxa"/>
            <w:shd w:val="clear" w:color="auto" w:fill="auto"/>
            <w:vAlign w:val="center"/>
          </w:tcPr>
          <w:p w14:paraId="297E7A70"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C-reactive protein</w:t>
            </w:r>
          </w:p>
        </w:tc>
        <w:tc>
          <w:tcPr>
            <w:tcW w:w="1383" w:type="dxa"/>
            <w:shd w:val="clear" w:color="auto" w:fill="auto"/>
            <w:vAlign w:val="center"/>
          </w:tcPr>
          <w:p w14:paraId="742BF3C6"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mg/L</w:t>
            </w:r>
          </w:p>
        </w:tc>
      </w:tr>
      <w:tr w:rsidR="00C723C7" w14:paraId="5863DCEB" w14:textId="77777777">
        <w:trPr>
          <w:trHeight w:val="358"/>
        </w:trPr>
        <w:tc>
          <w:tcPr>
            <w:tcW w:w="2694" w:type="dxa"/>
            <w:shd w:val="clear" w:color="auto" w:fill="auto"/>
            <w:vAlign w:val="center"/>
          </w:tcPr>
          <w:p w14:paraId="44D812F7"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PCT</w:t>
            </w:r>
          </w:p>
        </w:tc>
        <w:tc>
          <w:tcPr>
            <w:tcW w:w="4819" w:type="dxa"/>
            <w:shd w:val="clear" w:color="auto" w:fill="auto"/>
            <w:vAlign w:val="center"/>
          </w:tcPr>
          <w:p w14:paraId="305C5836"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Procalcitonin</w:t>
            </w:r>
          </w:p>
        </w:tc>
        <w:tc>
          <w:tcPr>
            <w:tcW w:w="1383" w:type="dxa"/>
            <w:shd w:val="clear" w:color="auto" w:fill="auto"/>
            <w:vAlign w:val="center"/>
          </w:tcPr>
          <w:p w14:paraId="61B0D839"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ng/mL</w:t>
            </w:r>
          </w:p>
        </w:tc>
      </w:tr>
      <w:tr w:rsidR="00C723C7" w14:paraId="103BE5D8" w14:textId="77777777">
        <w:trPr>
          <w:trHeight w:val="358"/>
        </w:trPr>
        <w:tc>
          <w:tcPr>
            <w:tcW w:w="2694" w:type="dxa"/>
            <w:shd w:val="clear" w:color="auto" w:fill="auto"/>
            <w:vAlign w:val="center"/>
          </w:tcPr>
          <w:p w14:paraId="0A1F17E3"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NT-proBNP</w:t>
            </w:r>
          </w:p>
        </w:tc>
        <w:tc>
          <w:tcPr>
            <w:tcW w:w="4819" w:type="dxa"/>
            <w:shd w:val="clear" w:color="auto" w:fill="auto"/>
            <w:vAlign w:val="center"/>
          </w:tcPr>
          <w:p w14:paraId="65E4243F"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N-terminal pro-B-type natriuretic peptide</w:t>
            </w:r>
          </w:p>
        </w:tc>
        <w:tc>
          <w:tcPr>
            <w:tcW w:w="1383" w:type="dxa"/>
            <w:shd w:val="clear" w:color="auto" w:fill="auto"/>
            <w:vAlign w:val="center"/>
          </w:tcPr>
          <w:p w14:paraId="7C4F7B58"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pg/mL</w:t>
            </w:r>
          </w:p>
        </w:tc>
      </w:tr>
      <w:tr w:rsidR="00C723C7" w14:paraId="616B1589" w14:textId="77777777">
        <w:trPr>
          <w:trHeight w:val="358"/>
        </w:trPr>
        <w:tc>
          <w:tcPr>
            <w:tcW w:w="2694" w:type="dxa"/>
            <w:shd w:val="clear" w:color="auto" w:fill="auto"/>
            <w:vAlign w:val="center"/>
          </w:tcPr>
          <w:p w14:paraId="64ED4125"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cTnT</w:t>
            </w:r>
          </w:p>
        </w:tc>
        <w:tc>
          <w:tcPr>
            <w:tcW w:w="4819" w:type="dxa"/>
            <w:shd w:val="clear" w:color="auto" w:fill="auto"/>
            <w:vAlign w:val="center"/>
          </w:tcPr>
          <w:p w14:paraId="7CE912B0"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Cardiac troponin T</w:t>
            </w:r>
          </w:p>
        </w:tc>
        <w:tc>
          <w:tcPr>
            <w:tcW w:w="1383" w:type="dxa"/>
            <w:shd w:val="clear" w:color="auto" w:fill="auto"/>
            <w:vAlign w:val="center"/>
          </w:tcPr>
          <w:p w14:paraId="147ED982" w14:textId="77777777" w:rsidR="00C723C7" w:rsidRDefault="00000000">
            <w:pPr>
              <w:widowControl/>
              <w:jc w:val="left"/>
              <w:rPr>
                <w:rFonts w:ascii="Times New Roman" w:eastAsia="等线" w:hAnsi="Times New Roman" w:cs="Times New Roman"/>
                <w:color w:val="000000"/>
                <w:kern w:val="0"/>
                <w:szCs w:val="21"/>
              </w:rPr>
            </w:pPr>
            <w:bookmarkStart w:id="3" w:name="OLE_LINK5"/>
            <w:r>
              <w:rPr>
                <w:rFonts w:ascii="Times New Roman" w:eastAsia="等线" w:hAnsi="Times New Roman" w:cs="Times New Roman"/>
                <w:color w:val="000000"/>
                <w:kern w:val="0"/>
                <w:szCs w:val="21"/>
              </w:rPr>
              <w:t>ng/L</w:t>
            </w:r>
            <w:bookmarkEnd w:id="3"/>
          </w:p>
        </w:tc>
      </w:tr>
      <w:tr w:rsidR="00C723C7" w14:paraId="1137FA7A" w14:textId="77777777">
        <w:trPr>
          <w:trHeight w:val="358"/>
        </w:trPr>
        <w:tc>
          <w:tcPr>
            <w:tcW w:w="2694" w:type="dxa"/>
            <w:shd w:val="clear" w:color="auto" w:fill="auto"/>
            <w:vAlign w:val="center"/>
          </w:tcPr>
          <w:p w14:paraId="64260348"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STB</w:t>
            </w:r>
          </w:p>
        </w:tc>
        <w:tc>
          <w:tcPr>
            <w:tcW w:w="4819" w:type="dxa"/>
            <w:shd w:val="clear" w:color="auto" w:fill="auto"/>
            <w:vAlign w:val="center"/>
          </w:tcPr>
          <w:p w14:paraId="2158CB2F"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Serum total bilirubin</w:t>
            </w:r>
          </w:p>
        </w:tc>
        <w:tc>
          <w:tcPr>
            <w:tcW w:w="1383" w:type="dxa"/>
            <w:shd w:val="clear" w:color="auto" w:fill="auto"/>
            <w:vAlign w:val="center"/>
          </w:tcPr>
          <w:p w14:paraId="66777E5F"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μmol/L</w:t>
            </w:r>
          </w:p>
        </w:tc>
      </w:tr>
      <w:tr w:rsidR="00C723C7" w14:paraId="39699CA9" w14:textId="77777777">
        <w:trPr>
          <w:trHeight w:val="358"/>
        </w:trPr>
        <w:tc>
          <w:tcPr>
            <w:tcW w:w="2694" w:type="dxa"/>
            <w:shd w:val="clear" w:color="auto" w:fill="auto"/>
            <w:vAlign w:val="center"/>
          </w:tcPr>
          <w:p w14:paraId="2B90C661"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DB</w:t>
            </w:r>
          </w:p>
        </w:tc>
        <w:tc>
          <w:tcPr>
            <w:tcW w:w="4819" w:type="dxa"/>
            <w:shd w:val="clear" w:color="auto" w:fill="auto"/>
            <w:vAlign w:val="center"/>
          </w:tcPr>
          <w:p w14:paraId="6C174995"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Direct bilirubin</w:t>
            </w:r>
          </w:p>
        </w:tc>
        <w:tc>
          <w:tcPr>
            <w:tcW w:w="1383" w:type="dxa"/>
            <w:shd w:val="clear" w:color="auto" w:fill="auto"/>
            <w:vAlign w:val="center"/>
          </w:tcPr>
          <w:p w14:paraId="546ECADF"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μmol/L</w:t>
            </w:r>
          </w:p>
        </w:tc>
      </w:tr>
      <w:tr w:rsidR="00C723C7" w14:paraId="3484D27E" w14:textId="77777777">
        <w:trPr>
          <w:trHeight w:val="358"/>
        </w:trPr>
        <w:tc>
          <w:tcPr>
            <w:tcW w:w="2694" w:type="dxa"/>
            <w:shd w:val="clear" w:color="auto" w:fill="auto"/>
            <w:vAlign w:val="center"/>
          </w:tcPr>
          <w:p w14:paraId="23ABDC75"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Alb</w:t>
            </w:r>
          </w:p>
        </w:tc>
        <w:tc>
          <w:tcPr>
            <w:tcW w:w="4819" w:type="dxa"/>
            <w:shd w:val="clear" w:color="auto" w:fill="auto"/>
            <w:vAlign w:val="center"/>
          </w:tcPr>
          <w:p w14:paraId="13353EE9"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Albumin</w:t>
            </w:r>
          </w:p>
        </w:tc>
        <w:tc>
          <w:tcPr>
            <w:tcW w:w="1383" w:type="dxa"/>
            <w:shd w:val="clear" w:color="auto" w:fill="auto"/>
            <w:vAlign w:val="center"/>
          </w:tcPr>
          <w:p w14:paraId="7CBB3247"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g/L</w:t>
            </w:r>
          </w:p>
        </w:tc>
      </w:tr>
      <w:tr w:rsidR="00C723C7" w14:paraId="2800DF3A" w14:textId="77777777">
        <w:trPr>
          <w:trHeight w:val="358"/>
        </w:trPr>
        <w:tc>
          <w:tcPr>
            <w:tcW w:w="2694" w:type="dxa"/>
            <w:shd w:val="clear" w:color="auto" w:fill="auto"/>
            <w:vAlign w:val="center"/>
          </w:tcPr>
          <w:p w14:paraId="668BF99F"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Temp</w:t>
            </w:r>
          </w:p>
        </w:tc>
        <w:tc>
          <w:tcPr>
            <w:tcW w:w="4819" w:type="dxa"/>
            <w:shd w:val="clear" w:color="auto" w:fill="auto"/>
            <w:vAlign w:val="center"/>
          </w:tcPr>
          <w:p w14:paraId="22F43E67"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Body temperature</w:t>
            </w:r>
          </w:p>
        </w:tc>
        <w:tc>
          <w:tcPr>
            <w:tcW w:w="1383" w:type="dxa"/>
            <w:shd w:val="clear" w:color="auto" w:fill="auto"/>
            <w:vAlign w:val="center"/>
          </w:tcPr>
          <w:p w14:paraId="0F0AAFA4"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°C</w:t>
            </w:r>
          </w:p>
        </w:tc>
      </w:tr>
      <w:tr w:rsidR="00C723C7" w14:paraId="02DC0298" w14:textId="77777777">
        <w:trPr>
          <w:trHeight w:val="358"/>
        </w:trPr>
        <w:tc>
          <w:tcPr>
            <w:tcW w:w="2694" w:type="dxa"/>
            <w:shd w:val="clear" w:color="auto" w:fill="auto"/>
            <w:vAlign w:val="center"/>
          </w:tcPr>
          <w:p w14:paraId="448073D6"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HR</w:t>
            </w:r>
          </w:p>
        </w:tc>
        <w:tc>
          <w:tcPr>
            <w:tcW w:w="4819" w:type="dxa"/>
            <w:shd w:val="clear" w:color="auto" w:fill="auto"/>
            <w:vAlign w:val="center"/>
          </w:tcPr>
          <w:p w14:paraId="0EE8A253"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Heart rate</w:t>
            </w:r>
          </w:p>
        </w:tc>
        <w:tc>
          <w:tcPr>
            <w:tcW w:w="1383" w:type="dxa"/>
            <w:shd w:val="clear" w:color="auto" w:fill="auto"/>
            <w:vAlign w:val="center"/>
          </w:tcPr>
          <w:p w14:paraId="0DA80BDE"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beats/min</w:t>
            </w:r>
          </w:p>
        </w:tc>
      </w:tr>
      <w:tr w:rsidR="00C723C7" w14:paraId="63EA1F93" w14:textId="77777777">
        <w:trPr>
          <w:trHeight w:val="358"/>
        </w:trPr>
        <w:tc>
          <w:tcPr>
            <w:tcW w:w="2694" w:type="dxa"/>
            <w:shd w:val="clear" w:color="auto" w:fill="auto"/>
            <w:vAlign w:val="center"/>
          </w:tcPr>
          <w:p w14:paraId="4D5C2482"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SBP</w:t>
            </w:r>
          </w:p>
        </w:tc>
        <w:tc>
          <w:tcPr>
            <w:tcW w:w="4819" w:type="dxa"/>
            <w:shd w:val="clear" w:color="auto" w:fill="auto"/>
            <w:vAlign w:val="center"/>
          </w:tcPr>
          <w:p w14:paraId="62F17E45"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Systolic blood pressure</w:t>
            </w:r>
          </w:p>
        </w:tc>
        <w:tc>
          <w:tcPr>
            <w:tcW w:w="1383" w:type="dxa"/>
            <w:shd w:val="clear" w:color="auto" w:fill="auto"/>
            <w:vAlign w:val="center"/>
          </w:tcPr>
          <w:p w14:paraId="65861540"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mmHg</w:t>
            </w:r>
          </w:p>
        </w:tc>
      </w:tr>
      <w:tr w:rsidR="00C723C7" w14:paraId="7F2BC2E4" w14:textId="77777777">
        <w:trPr>
          <w:trHeight w:val="358"/>
        </w:trPr>
        <w:tc>
          <w:tcPr>
            <w:tcW w:w="2694" w:type="dxa"/>
            <w:shd w:val="clear" w:color="auto" w:fill="auto"/>
            <w:vAlign w:val="center"/>
          </w:tcPr>
          <w:p w14:paraId="27CA36C0"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DBP</w:t>
            </w:r>
          </w:p>
        </w:tc>
        <w:tc>
          <w:tcPr>
            <w:tcW w:w="4819" w:type="dxa"/>
            <w:shd w:val="clear" w:color="auto" w:fill="auto"/>
            <w:vAlign w:val="center"/>
          </w:tcPr>
          <w:p w14:paraId="13A33041"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Diastolic blood pressure</w:t>
            </w:r>
          </w:p>
        </w:tc>
        <w:tc>
          <w:tcPr>
            <w:tcW w:w="1383" w:type="dxa"/>
            <w:shd w:val="clear" w:color="auto" w:fill="auto"/>
            <w:vAlign w:val="center"/>
          </w:tcPr>
          <w:p w14:paraId="767EF28B"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mmHg</w:t>
            </w:r>
          </w:p>
        </w:tc>
      </w:tr>
      <w:tr w:rsidR="00C723C7" w14:paraId="6966DA97" w14:textId="77777777">
        <w:trPr>
          <w:trHeight w:val="358"/>
        </w:trPr>
        <w:tc>
          <w:tcPr>
            <w:tcW w:w="2694" w:type="dxa"/>
            <w:shd w:val="clear" w:color="auto" w:fill="auto"/>
            <w:vAlign w:val="center"/>
          </w:tcPr>
          <w:p w14:paraId="4CE0A388"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RR</w:t>
            </w:r>
          </w:p>
        </w:tc>
        <w:tc>
          <w:tcPr>
            <w:tcW w:w="4819" w:type="dxa"/>
            <w:shd w:val="clear" w:color="auto" w:fill="auto"/>
            <w:vAlign w:val="center"/>
          </w:tcPr>
          <w:p w14:paraId="60EE783D"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Respiratory rate</w:t>
            </w:r>
          </w:p>
        </w:tc>
        <w:tc>
          <w:tcPr>
            <w:tcW w:w="1383" w:type="dxa"/>
            <w:shd w:val="clear" w:color="auto" w:fill="auto"/>
            <w:vAlign w:val="center"/>
          </w:tcPr>
          <w:p w14:paraId="3787A237"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breaths/min</w:t>
            </w:r>
          </w:p>
        </w:tc>
      </w:tr>
      <w:tr w:rsidR="00C723C7" w14:paraId="65266CC1" w14:textId="77777777">
        <w:trPr>
          <w:trHeight w:val="358"/>
        </w:trPr>
        <w:tc>
          <w:tcPr>
            <w:tcW w:w="2694" w:type="dxa"/>
            <w:shd w:val="clear" w:color="auto" w:fill="auto"/>
            <w:vAlign w:val="center"/>
          </w:tcPr>
          <w:p w14:paraId="29DCBF0E"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Urine volume</w:t>
            </w:r>
          </w:p>
        </w:tc>
        <w:tc>
          <w:tcPr>
            <w:tcW w:w="4819" w:type="dxa"/>
            <w:shd w:val="clear" w:color="auto" w:fill="auto"/>
            <w:vAlign w:val="center"/>
          </w:tcPr>
          <w:p w14:paraId="149A3AA7"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Urine output</w:t>
            </w:r>
          </w:p>
        </w:tc>
        <w:tc>
          <w:tcPr>
            <w:tcW w:w="1383" w:type="dxa"/>
            <w:shd w:val="clear" w:color="auto" w:fill="auto"/>
            <w:vAlign w:val="center"/>
          </w:tcPr>
          <w:p w14:paraId="7BC8E5D7"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mL/24 h</w:t>
            </w:r>
          </w:p>
        </w:tc>
      </w:tr>
      <w:tr w:rsidR="00C723C7" w14:paraId="16A21460" w14:textId="77777777">
        <w:trPr>
          <w:trHeight w:val="358"/>
        </w:trPr>
        <w:tc>
          <w:tcPr>
            <w:tcW w:w="2694" w:type="dxa"/>
            <w:shd w:val="clear" w:color="auto" w:fill="auto"/>
            <w:vAlign w:val="center"/>
          </w:tcPr>
          <w:p w14:paraId="0E270780"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SOFA</w:t>
            </w:r>
          </w:p>
        </w:tc>
        <w:tc>
          <w:tcPr>
            <w:tcW w:w="4819" w:type="dxa"/>
            <w:shd w:val="clear" w:color="auto" w:fill="auto"/>
            <w:vAlign w:val="center"/>
          </w:tcPr>
          <w:p w14:paraId="0A5775BF"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Sequential Organ Failure Assessment score</w:t>
            </w:r>
          </w:p>
        </w:tc>
        <w:tc>
          <w:tcPr>
            <w:tcW w:w="1383" w:type="dxa"/>
            <w:shd w:val="clear" w:color="auto" w:fill="auto"/>
            <w:vAlign w:val="center"/>
          </w:tcPr>
          <w:p w14:paraId="584CD55C"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w:t>
            </w:r>
          </w:p>
        </w:tc>
      </w:tr>
      <w:tr w:rsidR="00C723C7" w14:paraId="4D459EBB" w14:textId="77777777">
        <w:trPr>
          <w:trHeight w:val="358"/>
        </w:trPr>
        <w:tc>
          <w:tcPr>
            <w:tcW w:w="2694" w:type="dxa"/>
            <w:shd w:val="clear" w:color="auto" w:fill="auto"/>
            <w:noWrap/>
            <w:vAlign w:val="bottom"/>
          </w:tcPr>
          <w:p w14:paraId="62F45434"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Sex</w:t>
            </w:r>
          </w:p>
        </w:tc>
        <w:tc>
          <w:tcPr>
            <w:tcW w:w="4819" w:type="dxa"/>
            <w:shd w:val="clear" w:color="auto" w:fill="auto"/>
            <w:noWrap/>
            <w:vAlign w:val="center"/>
          </w:tcPr>
          <w:p w14:paraId="524F4AF9" w14:textId="77777777" w:rsidR="00C723C7" w:rsidRDefault="00C723C7">
            <w:pPr>
              <w:widowControl/>
              <w:jc w:val="left"/>
              <w:rPr>
                <w:rFonts w:ascii="Times New Roman" w:eastAsia="等线" w:hAnsi="Times New Roman" w:cs="Times New Roman"/>
                <w:color w:val="000000"/>
                <w:kern w:val="0"/>
                <w:szCs w:val="21"/>
              </w:rPr>
            </w:pPr>
          </w:p>
        </w:tc>
        <w:tc>
          <w:tcPr>
            <w:tcW w:w="1383" w:type="dxa"/>
            <w:shd w:val="clear" w:color="auto" w:fill="auto"/>
            <w:noWrap/>
            <w:vAlign w:val="center"/>
          </w:tcPr>
          <w:p w14:paraId="46FC0481" w14:textId="77777777" w:rsidR="00C723C7" w:rsidRDefault="00C723C7">
            <w:pPr>
              <w:widowControl/>
              <w:jc w:val="left"/>
              <w:rPr>
                <w:rFonts w:ascii="Times New Roman" w:eastAsia="Times New Roman" w:hAnsi="Times New Roman" w:cs="Times New Roman"/>
                <w:kern w:val="0"/>
                <w:szCs w:val="21"/>
              </w:rPr>
            </w:pPr>
          </w:p>
        </w:tc>
      </w:tr>
      <w:tr w:rsidR="00C723C7" w14:paraId="6BD81018" w14:textId="77777777">
        <w:trPr>
          <w:trHeight w:val="358"/>
        </w:trPr>
        <w:tc>
          <w:tcPr>
            <w:tcW w:w="2694" w:type="dxa"/>
            <w:shd w:val="clear" w:color="auto" w:fill="auto"/>
            <w:noWrap/>
            <w:vAlign w:val="bottom"/>
          </w:tcPr>
          <w:p w14:paraId="02E74BEC"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Age</w:t>
            </w:r>
          </w:p>
        </w:tc>
        <w:tc>
          <w:tcPr>
            <w:tcW w:w="4819" w:type="dxa"/>
            <w:shd w:val="clear" w:color="auto" w:fill="auto"/>
            <w:noWrap/>
            <w:vAlign w:val="center"/>
          </w:tcPr>
          <w:p w14:paraId="7E5843FE" w14:textId="77777777" w:rsidR="00C723C7" w:rsidRDefault="00C723C7">
            <w:pPr>
              <w:widowControl/>
              <w:jc w:val="left"/>
              <w:rPr>
                <w:rFonts w:ascii="Times New Roman" w:eastAsia="等线" w:hAnsi="Times New Roman" w:cs="Times New Roman"/>
                <w:color w:val="000000"/>
                <w:kern w:val="0"/>
                <w:szCs w:val="21"/>
              </w:rPr>
            </w:pPr>
          </w:p>
        </w:tc>
        <w:tc>
          <w:tcPr>
            <w:tcW w:w="1383" w:type="dxa"/>
            <w:shd w:val="clear" w:color="auto" w:fill="auto"/>
            <w:noWrap/>
            <w:vAlign w:val="center"/>
          </w:tcPr>
          <w:p w14:paraId="1B356E60" w14:textId="77777777" w:rsidR="00C723C7" w:rsidRDefault="00C723C7">
            <w:pPr>
              <w:widowControl/>
              <w:jc w:val="left"/>
              <w:rPr>
                <w:rFonts w:ascii="Times New Roman" w:eastAsia="Times New Roman" w:hAnsi="Times New Roman" w:cs="Times New Roman"/>
                <w:kern w:val="0"/>
                <w:szCs w:val="21"/>
              </w:rPr>
            </w:pPr>
          </w:p>
        </w:tc>
      </w:tr>
      <w:tr w:rsidR="00C723C7" w14:paraId="0C58AAA1" w14:textId="77777777">
        <w:trPr>
          <w:trHeight w:val="358"/>
        </w:trPr>
        <w:tc>
          <w:tcPr>
            <w:tcW w:w="2694" w:type="dxa"/>
            <w:shd w:val="clear" w:color="auto" w:fill="auto"/>
            <w:noWrap/>
            <w:vAlign w:val="center"/>
          </w:tcPr>
          <w:p w14:paraId="5AEE63E6"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Hypertension</w:t>
            </w:r>
          </w:p>
        </w:tc>
        <w:tc>
          <w:tcPr>
            <w:tcW w:w="4819" w:type="dxa"/>
            <w:shd w:val="clear" w:color="auto" w:fill="auto"/>
            <w:noWrap/>
            <w:vAlign w:val="center"/>
          </w:tcPr>
          <w:p w14:paraId="067B6013" w14:textId="77777777" w:rsidR="00C723C7" w:rsidRDefault="00C723C7">
            <w:pPr>
              <w:widowControl/>
              <w:jc w:val="left"/>
              <w:rPr>
                <w:rFonts w:ascii="Times New Roman" w:eastAsia="等线" w:hAnsi="Times New Roman" w:cs="Times New Roman"/>
                <w:color w:val="000000"/>
                <w:kern w:val="0"/>
                <w:szCs w:val="21"/>
              </w:rPr>
            </w:pPr>
          </w:p>
        </w:tc>
        <w:tc>
          <w:tcPr>
            <w:tcW w:w="1383" w:type="dxa"/>
            <w:shd w:val="clear" w:color="auto" w:fill="auto"/>
            <w:noWrap/>
            <w:vAlign w:val="center"/>
          </w:tcPr>
          <w:p w14:paraId="4621737F" w14:textId="77777777" w:rsidR="00C723C7" w:rsidRDefault="00C723C7">
            <w:pPr>
              <w:widowControl/>
              <w:jc w:val="left"/>
              <w:rPr>
                <w:rFonts w:ascii="Times New Roman" w:eastAsia="Times New Roman" w:hAnsi="Times New Roman" w:cs="Times New Roman"/>
                <w:kern w:val="0"/>
                <w:szCs w:val="21"/>
              </w:rPr>
            </w:pPr>
          </w:p>
        </w:tc>
      </w:tr>
      <w:tr w:rsidR="00C723C7" w14:paraId="7EC55B10" w14:textId="77777777">
        <w:trPr>
          <w:trHeight w:val="358"/>
        </w:trPr>
        <w:tc>
          <w:tcPr>
            <w:tcW w:w="2694" w:type="dxa"/>
            <w:shd w:val="clear" w:color="auto" w:fill="auto"/>
            <w:noWrap/>
            <w:vAlign w:val="center"/>
          </w:tcPr>
          <w:p w14:paraId="40968DA6"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Coronary heart disease</w:t>
            </w:r>
          </w:p>
        </w:tc>
        <w:tc>
          <w:tcPr>
            <w:tcW w:w="4819" w:type="dxa"/>
            <w:shd w:val="clear" w:color="auto" w:fill="auto"/>
            <w:noWrap/>
            <w:vAlign w:val="center"/>
          </w:tcPr>
          <w:p w14:paraId="6AC4E4C1" w14:textId="77777777" w:rsidR="00C723C7" w:rsidRDefault="00C723C7">
            <w:pPr>
              <w:widowControl/>
              <w:jc w:val="left"/>
              <w:rPr>
                <w:rFonts w:ascii="Times New Roman" w:eastAsia="等线" w:hAnsi="Times New Roman" w:cs="Times New Roman"/>
                <w:color w:val="000000"/>
                <w:kern w:val="0"/>
                <w:szCs w:val="21"/>
              </w:rPr>
            </w:pPr>
          </w:p>
        </w:tc>
        <w:tc>
          <w:tcPr>
            <w:tcW w:w="1383" w:type="dxa"/>
            <w:shd w:val="clear" w:color="auto" w:fill="auto"/>
            <w:noWrap/>
            <w:vAlign w:val="center"/>
          </w:tcPr>
          <w:p w14:paraId="1E88BCF2" w14:textId="77777777" w:rsidR="00C723C7" w:rsidRDefault="00C723C7">
            <w:pPr>
              <w:widowControl/>
              <w:jc w:val="left"/>
              <w:rPr>
                <w:rFonts w:ascii="Times New Roman" w:eastAsia="Times New Roman" w:hAnsi="Times New Roman" w:cs="Times New Roman"/>
                <w:kern w:val="0"/>
                <w:szCs w:val="21"/>
              </w:rPr>
            </w:pPr>
          </w:p>
        </w:tc>
      </w:tr>
      <w:tr w:rsidR="00C723C7" w14:paraId="07171B99" w14:textId="77777777">
        <w:trPr>
          <w:trHeight w:val="358"/>
        </w:trPr>
        <w:tc>
          <w:tcPr>
            <w:tcW w:w="2694" w:type="dxa"/>
            <w:shd w:val="clear" w:color="auto" w:fill="auto"/>
            <w:noWrap/>
            <w:vAlign w:val="center"/>
          </w:tcPr>
          <w:p w14:paraId="74437C21"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Chronic heart failure</w:t>
            </w:r>
          </w:p>
        </w:tc>
        <w:tc>
          <w:tcPr>
            <w:tcW w:w="4819" w:type="dxa"/>
            <w:shd w:val="clear" w:color="auto" w:fill="auto"/>
            <w:noWrap/>
            <w:vAlign w:val="center"/>
          </w:tcPr>
          <w:p w14:paraId="5BFDFFFD" w14:textId="77777777" w:rsidR="00C723C7" w:rsidRDefault="00C723C7">
            <w:pPr>
              <w:widowControl/>
              <w:jc w:val="left"/>
              <w:rPr>
                <w:rFonts w:ascii="Times New Roman" w:eastAsia="等线" w:hAnsi="Times New Roman" w:cs="Times New Roman"/>
                <w:color w:val="000000"/>
                <w:kern w:val="0"/>
                <w:szCs w:val="21"/>
              </w:rPr>
            </w:pPr>
          </w:p>
        </w:tc>
        <w:tc>
          <w:tcPr>
            <w:tcW w:w="1383" w:type="dxa"/>
            <w:shd w:val="clear" w:color="auto" w:fill="auto"/>
            <w:noWrap/>
            <w:vAlign w:val="center"/>
          </w:tcPr>
          <w:p w14:paraId="3A526C72" w14:textId="77777777" w:rsidR="00C723C7" w:rsidRDefault="00C723C7">
            <w:pPr>
              <w:widowControl/>
              <w:jc w:val="left"/>
              <w:rPr>
                <w:rFonts w:ascii="Times New Roman" w:eastAsia="Times New Roman" w:hAnsi="Times New Roman" w:cs="Times New Roman"/>
                <w:kern w:val="0"/>
                <w:szCs w:val="21"/>
              </w:rPr>
            </w:pPr>
          </w:p>
        </w:tc>
      </w:tr>
      <w:tr w:rsidR="00C723C7" w14:paraId="73F5F1A4" w14:textId="77777777">
        <w:trPr>
          <w:trHeight w:val="358"/>
        </w:trPr>
        <w:tc>
          <w:tcPr>
            <w:tcW w:w="2694" w:type="dxa"/>
            <w:shd w:val="clear" w:color="auto" w:fill="auto"/>
            <w:noWrap/>
            <w:vAlign w:val="center"/>
          </w:tcPr>
          <w:p w14:paraId="1C8A6951"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COPD</w:t>
            </w:r>
          </w:p>
        </w:tc>
        <w:tc>
          <w:tcPr>
            <w:tcW w:w="4819" w:type="dxa"/>
            <w:shd w:val="clear" w:color="auto" w:fill="auto"/>
            <w:noWrap/>
            <w:vAlign w:val="center"/>
          </w:tcPr>
          <w:p w14:paraId="04F70CC4" w14:textId="77777777" w:rsidR="00C723C7" w:rsidRDefault="00C723C7">
            <w:pPr>
              <w:widowControl/>
              <w:jc w:val="left"/>
              <w:rPr>
                <w:rFonts w:ascii="Times New Roman" w:eastAsia="等线" w:hAnsi="Times New Roman" w:cs="Times New Roman"/>
                <w:color w:val="000000"/>
                <w:kern w:val="0"/>
                <w:szCs w:val="21"/>
              </w:rPr>
            </w:pPr>
          </w:p>
        </w:tc>
        <w:tc>
          <w:tcPr>
            <w:tcW w:w="1383" w:type="dxa"/>
            <w:shd w:val="clear" w:color="auto" w:fill="auto"/>
            <w:noWrap/>
            <w:vAlign w:val="center"/>
          </w:tcPr>
          <w:p w14:paraId="14B1617F" w14:textId="77777777" w:rsidR="00C723C7" w:rsidRDefault="00C723C7">
            <w:pPr>
              <w:widowControl/>
              <w:jc w:val="left"/>
              <w:rPr>
                <w:rFonts w:ascii="Times New Roman" w:eastAsia="Times New Roman" w:hAnsi="Times New Roman" w:cs="Times New Roman"/>
                <w:kern w:val="0"/>
                <w:szCs w:val="21"/>
              </w:rPr>
            </w:pPr>
          </w:p>
        </w:tc>
      </w:tr>
      <w:tr w:rsidR="00C723C7" w14:paraId="63239E72" w14:textId="77777777">
        <w:trPr>
          <w:trHeight w:val="358"/>
        </w:trPr>
        <w:tc>
          <w:tcPr>
            <w:tcW w:w="2694" w:type="dxa"/>
            <w:shd w:val="clear" w:color="auto" w:fill="auto"/>
            <w:noWrap/>
            <w:vAlign w:val="center"/>
          </w:tcPr>
          <w:p w14:paraId="3D441CBC"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Asthma</w:t>
            </w:r>
          </w:p>
        </w:tc>
        <w:tc>
          <w:tcPr>
            <w:tcW w:w="4819" w:type="dxa"/>
            <w:shd w:val="clear" w:color="auto" w:fill="auto"/>
            <w:noWrap/>
            <w:vAlign w:val="center"/>
          </w:tcPr>
          <w:p w14:paraId="790F3162" w14:textId="77777777" w:rsidR="00C723C7" w:rsidRDefault="00C723C7">
            <w:pPr>
              <w:widowControl/>
              <w:jc w:val="left"/>
              <w:rPr>
                <w:rFonts w:ascii="Times New Roman" w:eastAsia="等线" w:hAnsi="Times New Roman" w:cs="Times New Roman"/>
                <w:color w:val="000000"/>
                <w:kern w:val="0"/>
                <w:szCs w:val="21"/>
              </w:rPr>
            </w:pPr>
          </w:p>
        </w:tc>
        <w:tc>
          <w:tcPr>
            <w:tcW w:w="1383" w:type="dxa"/>
            <w:shd w:val="clear" w:color="auto" w:fill="auto"/>
            <w:noWrap/>
            <w:vAlign w:val="center"/>
          </w:tcPr>
          <w:p w14:paraId="56E67BAE" w14:textId="77777777" w:rsidR="00C723C7" w:rsidRDefault="00C723C7">
            <w:pPr>
              <w:widowControl/>
              <w:jc w:val="left"/>
              <w:rPr>
                <w:rFonts w:ascii="Times New Roman" w:eastAsia="Times New Roman" w:hAnsi="Times New Roman" w:cs="Times New Roman"/>
                <w:kern w:val="0"/>
                <w:szCs w:val="21"/>
              </w:rPr>
            </w:pPr>
          </w:p>
        </w:tc>
      </w:tr>
      <w:tr w:rsidR="00C723C7" w14:paraId="786ADC1E" w14:textId="77777777">
        <w:trPr>
          <w:trHeight w:val="358"/>
        </w:trPr>
        <w:tc>
          <w:tcPr>
            <w:tcW w:w="2694" w:type="dxa"/>
            <w:shd w:val="clear" w:color="auto" w:fill="auto"/>
            <w:noWrap/>
            <w:vAlign w:val="center"/>
          </w:tcPr>
          <w:p w14:paraId="68826C41"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Interstitial Lung Disease</w:t>
            </w:r>
          </w:p>
        </w:tc>
        <w:tc>
          <w:tcPr>
            <w:tcW w:w="4819" w:type="dxa"/>
            <w:shd w:val="clear" w:color="auto" w:fill="auto"/>
            <w:noWrap/>
            <w:vAlign w:val="center"/>
          </w:tcPr>
          <w:p w14:paraId="6E7FE894" w14:textId="77777777" w:rsidR="00C723C7" w:rsidRDefault="00C723C7">
            <w:pPr>
              <w:widowControl/>
              <w:jc w:val="left"/>
              <w:rPr>
                <w:rFonts w:ascii="Times New Roman" w:eastAsia="等线" w:hAnsi="Times New Roman" w:cs="Times New Roman"/>
                <w:color w:val="000000"/>
                <w:kern w:val="0"/>
                <w:szCs w:val="21"/>
              </w:rPr>
            </w:pPr>
          </w:p>
        </w:tc>
        <w:tc>
          <w:tcPr>
            <w:tcW w:w="1383" w:type="dxa"/>
            <w:shd w:val="clear" w:color="auto" w:fill="auto"/>
            <w:noWrap/>
            <w:vAlign w:val="center"/>
          </w:tcPr>
          <w:p w14:paraId="3C0A7658" w14:textId="77777777" w:rsidR="00C723C7" w:rsidRDefault="00C723C7">
            <w:pPr>
              <w:widowControl/>
              <w:jc w:val="left"/>
              <w:rPr>
                <w:rFonts w:ascii="Times New Roman" w:eastAsia="Times New Roman" w:hAnsi="Times New Roman" w:cs="Times New Roman"/>
                <w:kern w:val="0"/>
                <w:szCs w:val="21"/>
              </w:rPr>
            </w:pPr>
          </w:p>
        </w:tc>
      </w:tr>
      <w:tr w:rsidR="00C723C7" w14:paraId="0EC96DEA" w14:textId="77777777">
        <w:trPr>
          <w:trHeight w:val="358"/>
        </w:trPr>
        <w:tc>
          <w:tcPr>
            <w:tcW w:w="2694" w:type="dxa"/>
            <w:shd w:val="clear" w:color="auto" w:fill="auto"/>
            <w:noWrap/>
            <w:vAlign w:val="center"/>
          </w:tcPr>
          <w:p w14:paraId="368B560C"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Diabetes</w:t>
            </w:r>
          </w:p>
        </w:tc>
        <w:tc>
          <w:tcPr>
            <w:tcW w:w="4819" w:type="dxa"/>
            <w:shd w:val="clear" w:color="auto" w:fill="auto"/>
            <w:noWrap/>
            <w:vAlign w:val="center"/>
          </w:tcPr>
          <w:p w14:paraId="1A70DA9C" w14:textId="77777777" w:rsidR="00C723C7" w:rsidRDefault="00C723C7">
            <w:pPr>
              <w:widowControl/>
              <w:jc w:val="left"/>
              <w:rPr>
                <w:rFonts w:ascii="Times New Roman" w:eastAsia="等线" w:hAnsi="Times New Roman" w:cs="Times New Roman"/>
                <w:color w:val="000000"/>
                <w:kern w:val="0"/>
                <w:szCs w:val="21"/>
              </w:rPr>
            </w:pPr>
          </w:p>
        </w:tc>
        <w:tc>
          <w:tcPr>
            <w:tcW w:w="1383" w:type="dxa"/>
            <w:shd w:val="clear" w:color="auto" w:fill="auto"/>
            <w:noWrap/>
            <w:vAlign w:val="center"/>
          </w:tcPr>
          <w:p w14:paraId="767F5AC0" w14:textId="77777777" w:rsidR="00C723C7" w:rsidRDefault="00C723C7">
            <w:pPr>
              <w:widowControl/>
              <w:jc w:val="left"/>
              <w:rPr>
                <w:rFonts w:ascii="Times New Roman" w:eastAsia="Times New Roman" w:hAnsi="Times New Roman" w:cs="Times New Roman"/>
                <w:kern w:val="0"/>
                <w:szCs w:val="21"/>
              </w:rPr>
            </w:pPr>
          </w:p>
        </w:tc>
      </w:tr>
      <w:tr w:rsidR="00C723C7" w14:paraId="25ADFDA9" w14:textId="77777777">
        <w:trPr>
          <w:trHeight w:val="358"/>
        </w:trPr>
        <w:tc>
          <w:tcPr>
            <w:tcW w:w="2694" w:type="dxa"/>
            <w:shd w:val="clear" w:color="auto" w:fill="auto"/>
            <w:noWrap/>
            <w:vAlign w:val="center"/>
          </w:tcPr>
          <w:p w14:paraId="608A6EB7"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Chronic kidney disease</w:t>
            </w:r>
          </w:p>
        </w:tc>
        <w:tc>
          <w:tcPr>
            <w:tcW w:w="4819" w:type="dxa"/>
            <w:shd w:val="clear" w:color="auto" w:fill="auto"/>
            <w:noWrap/>
            <w:vAlign w:val="center"/>
          </w:tcPr>
          <w:p w14:paraId="39C651F9" w14:textId="77777777" w:rsidR="00C723C7" w:rsidRDefault="00C723C7">
            <w:pPr>
              <w:widowControl/>
              <w:jc w:val="left"/>
              <w:rPr>
                <w:rFonts w:ascii="Times New Roman" w:eastAsia="等线" w:hAnsi="Times New Roman" w:cs="Times New Roman"/>
                <w:color w:val="000000"/>
                <w:kern w:val="0"/>
                <w:szCs w:val="21"/>
              </w:rPr>
            </w:pPr>
          </w:p>
        </w:tc>
        <w:tc>
          <w:tcPr>
            <w:tcW w:w="1383" w:type="dxa"/>
            <w:shd w:val="clear" w:color="auto" w:fill="auto"/>
            <w:noWrap/>
            <w:vAlign w:val="center"/>
          </w:tcPr>
          <w:p w14:paraId="0843A217" w14:textId="77777777" w:rsidR="00C723C7" w:rsidRDefault="00C723C7">
            <w:pPr>
              <w:widowControl/>
              <w:jc w:val="left"/>
              <w:rPr>
                <w:rFonts w:ascii="Times New Roman" w:eastAsia="Times New Roman" w:hAnsi="Times New Roman" w:cs="Times New Roman"/>
                <w:kern w:val="0"/>
                <w:szCs w:val="21"/>
              </w:rPr>
            </w:pPr>
          </w:p>
        </w:tc>
      </w:tr>
      <w:tr w:rsidR="00C723C7" w14:paraId="023878F8" w14:textId="77777777">
        <w:trPr>
          <w:trHeight w:val="358"/>
        </w:trPr>
        <w:tc>
          <w:tcPr>
            <w:tcW w:w="2694" w:type="dxa"/>
            <w:shd w:val="clear" w:color="auto" w:fill="auto"/>
            <w:noWrap/>
            <w:vAlign w:val="center"/>
          </w:tcPr>
          <w:p w14:paraId="1EE903CE"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Liver cirrhosis</w:t>
            </w:r>
          </w:p>
        </w:tc>
        <w:tc>
          <w:tcPr>
            <w:tcW w:w="4819" w:type="dxa"/>
            <w:shd w:val="clear" w:color="auto" w:fill="auto"/>
            <w:noWrap/>
            <w:vAlign w:val="center"/>
          </w:tcPr>
          <w:p w14:paraId="6C43AD48" w14:textId="77777777" w:rsidR="00C723C7" w:rsidRDefault="00C723C7">
            <w:pPr>
              <w:widowControl/>
              <w:jc w:val="left"/>
              <w:rPr>
                <w:rFonts w:ascii="Times New Roman" w:eastAsia="等线" w:hAnsi="Times New Roman" w:cs="Times New Roman"/>
                <w:color w:val="000000"/>
                <w:kern w:val="0"/>
                <w:szCs w:val="21"/>
              </w:rPr>
            </w:pPr>
          </w:p>
        </w:tc>
        <w:tc>
          <w:tcPr>
            <w:tcW w:w="1383" w:type="dxa"/>
            <w:shd w:val="clear" w:color="auto" w:fill="auto"/>
            <w:noWrap/>
            <w:vAlign w:val="center"/>
          </w:tcPr>
          <w:p w14:paraId="7B5B8CE0" w14:textId="77777777" w:rsidR="00C723C7" w:rsidRDefault="00C723C7">
            <w:pPr>
              <w:widowControl/>
              <w:jc w:val="left"/>
              <w:rPr>
                <w:rFonts w:ascii="Times New Roman" w:eastAsia="Times New Roman" w:hAnsi="Times New Roman" w:cs="Times New Roman"/>
                <w:kern w:val="0"/>
                <w:szCs w:val="21"/>
              </w:rPr>
            </w:pPr>
          </w:p>
        </w:tc>
      </w:tr>
      <w:tr w:rsidR="00C723C7" w14:paraId="773AF91C" w14:textId="77777777">
        <w:trPr>
          <w:trHeight w:val="358"/>
        </w:trPr>
        <w:tc>
          <w:tcPr>
            <w:tcW w:w="2694" w:type="dxa"/>
            <w:shd w:val="clear" w:color="auto" w:fill="auto"/>
            <w:noWrap/>
            <w:vAlign w:val="center"/>
          </w:tcPr>
          <w:p w14:paraId="4B8584DB"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Hematologic malignancy</w:t>
            </w:r>
          </w:p>
        </w:tc>
        <w:tc>
          <w:tcPr>
            <w:tcW w:w="4819" w:type="dxa"/>
            <w:shd w:val="clear" w:color="auto" w:fill="auto"/>
            <w:noWrap/>
            <w:vAlign w:val="center"/>
          </w:tcPr>
          <w:p w14:paraId="5C469954" w14:textId="77777777" w:rsidR="00C723C7" w:rsidRDefault="00C723C7">
            <w:pPr>
              <w:widowControl/>
              <w:jc w:val="left"/>
              <w:rPr>
                <w:rFonts w:ascii="Times New Roman" w:eastAsia="等线" w:hAnsi="Times New Roman" w:cs="Times New Roman"/>
                <w:color w:val="000000"/>
                <w:kern w:val="0"/>
                <w:szCs w:val="21"/>
              </w:rPr>
            </w:pPr>
          </w:p>
        </w:tc>
        <w:tc>
          <w:tcPr>
            <w:tcW w:w="1383" w:type="dxa"/>
            <w:shd w:val="clear" w:color="auto" w:fill="auto"/>
            <w:noWrap/>
            <w:vAlign w:val="center"/>
          </w:tcPr>
          <w:p w14:paraId="1B751F35" w14:textId="77777777" w:rsidR="00C723C7" w:rsidRDefault="00C723C7">
            <w:pPr>
              <w:widowControl/>
              <w:jc w:val="left"/>
              <w:rPr>
                <w:rFonts w:ascii="Times New Roman" w:eastAsia="Times New Roman" w:hAnsi="Times New Roman" w:cs="Times New Roman"/>
                <w:kern w:val="0"/>
                <w:szCs w:val="21"/>
              </w:rPr>
            </w:pPr>
          </w:p>
        </w:tc>
      </w:tr>
      <w:tr w:rsidR="00C723C7" w14:paraId="65D7BCE7" w14:textId="77777777">
        <w:trPr>
          <w:trHeight w:val="358"/>
        </w:trPr>
        <w:tc>
          <w:tcPr>
            <w:tcW w:w="2694" w:type="dxa"/>
            <w:shd w:val="clear" w:color="auto" w:fill="auto"/>
            <w:noWrap/>
            <w:vAlign w:val="center"/>
          </w:tcPr>
          <w:p w14:paraId="2C73A49A"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Cerebrovascular disease</w:t>
            </w:r>
          </w:p>
        </w:tc>
        <w:tc>
          <w:tcPr>
            <w:tcW w:w="4819" w:type="dxa"/>
            <w:shd w:val="clear" w:color="auto" w:fill="auto"/>
            <w:noWrap/>
            <w:vAlign w:val="center"/>
          </w:tcPr>
          <w:p w14:paraId="6B7E847B" w14:textId="77777777" w:rsidR="00C723C7" w:rsidRDefault="00C723C7">
            <w:pPr>
              <w:widowControl/>
              <w:jc w:val="left"/>
              <w:rPr>
                <w:rFonts w:ascii="Times New Roman" w:eastAsia="等线" w:hAnsi="Times New Roman" w:cs="Times New Roman"/>
                <w:color w:val="000000"/>
                <w:kern w:val="0"/>
                <w:szCs w:val="21"/>
              </w:rPr>
            </w:pPr>
          </w:p>
        </w:tc>
        <w:tc>
          <w:tcPr>
            <w:tcW w:w="1383" w:type="dxa"/>
            <w:shd w:val="clear" w:color="auto" w:fill="auto"/>
            <w:noWrap/>
            <w:vAlign w:val="center"/>
          </w:tcPr>
          <w:p w14:paraId="6FAD4908" w14:textId="77777777" w:rsidR="00C723C7" w:rsidRDefault="00C723C7">
            <w:pPr>
              <w:widowControl/>
              <w:jc w:val="left"/>
              <w:rPr>
                <w:rFonts w:ascii="Times New Roman" w:eastAsia="Times New Roman" w:hAnsi="Times New Roman" w:cs="Times New Roman"/>
                <w:kern w:val="0"/>
                <w:szCs w:val="21"/>
              </w:rPr>
            </w:pPr>
          </w:p>
        </w:tc>
      </w:tr>
      <w:tr w:rsidR="00C723C7" w14:paraId="6D870960" w14:textId="77777777">
        <w:trPr>
          <w:trHeight w:val="358"/>
        </w:trPr>
        <w:tc>
          <w:tcPr>
            <w:tcW w:w="2694" w:type="dxa"/>
            <w:shd w:val="clear" w:color="auto" w:fill="auto"/>
            <w:noWrap/>
            <w:vAlign w:val="center"/>
          </w:tcPr>
          <w:p w14:paraId="2076D3A5"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Autoimmune disease</w:t>
            </w:r>
          </w:p>
        </w:tc>
        <w:tc>
          <w:tcPr>
            <w:tcW w:w="4819" w:type="dxa"/>
            <w:shd w:val="clear" w:color="auto" w:fill="auto"/>
            <w:noWrap/>
            <w:vAlign w:val="center"/>
          </w:tcPr>
          <w:p w14:paraId="09A21FBC" w14:textId="77777777" w:rsidR="00C723C7" w:rsidRDefault="00C723C7">
            <w:pPr>
              <w:widowControl/>
              <w:jc w:val="left"/>
              <w:rPr>
                <w:rFonts w:ascii="Times New Roman" w:eastAsia="等线" w:hAnsi="Times New Roman" w:cs="Times New Roman"/>
                <w:color w:val="000000"/>
                <w:kern w:val="0"/>
                <w:szCs w:val="21"/>
              </w:rPr>
            </w:pPr>
          </w:p>
        </w:tc>
        <w:tc>
          <w:tcPr>
            <w:tcW w:w="1383" w:type="dxa"/>
            <w:shd w:val="clear" w:color="auto" w:fill="auto"/>
            <w:noWrap/>
            <w:vAlign w:val="center"/>
          </w:tcPr>
          <w:p w14:paraId="2BA82B04" w14:textId="77777777" w:rsidR="00C723C7" w:rsidRDefault="00C723C7">
            <w:pPr>
              <w:widowControl/>
              <w:jc w:val="left"/>
              <w:rPr>
                <w:rFonts w:ascii="Times New Roman" w:eastAsia="Times New Roman" w:hAnsi="Times New Roman" w:cs="Times New Roman"/>
                <w:kern w:val="0"/>
                <w:szCs w:val="21"/>
              </w:rPr>
            </w:pPr>
          </w:p>
        </w:tc>
      </w:tr>
      <w:tr w:rsidR="00C723C7" w14:paraId="345B97C8" w14:textId="77777777">
        <w:trPr>
          <w:trHeight w:val="358"/>
        </w:trPr>
        <w:tc>
          <w:tcPr>
            <w:tcW w:w="2694" w:type="dxa"/>
            <w:shd w:val="clear" w:color="auto" w:fill="auto"/>
            <w:noWrap/>
            <w:vAlign w:val="center"/>
          </w:tcPr>
          <w:p w14:paraId="707F884E"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Immunosuppressant use</w:t>
            </w:r>
          </w:p>
        </w:tc>
        <w:tc>
          <w:tcPr>
            <w:tcW w:w="4819" w:type="dxa"/>
            <w:shd w:val="clear" w:color="auto" w:fill="auto"/>
            <w:noWrap/>
            <w:vAlign w:val="center"/>
          </w:tcPr>
          <w:p w14:paraId="679D0FD8" w14:textId="77777777" w:rsidR="00C723C7" w:rsidRDefault="00C723C7">
            <w:pPr>
              <w:widowControl/>
              <w:jc w:val="left"/>
              <w:rPr>
                <w:rFonts w:ascii="Times New Roman" w:eastAsia="等线" w:hAnsi="Times New Roman" w:cs="Times New Roman"/>
                <w:color w:val="000000"/>
                <w:kern w:val="0"/>
                <w:szCs w:val="21"/>
              </w:rPr>
            </w:pPr>
          </w:p>
        </w:tc>
        <w:tc>
          <w:tcPr>
            <w:tcW w:w="1383" w:type="dxa"/>
            <w:shd w:val="clear" w:color="auto" w:fill="auto"/>
            <w:noWrap/>
            <w:vAlign w:val="center"/>
          </w:tcPr>
          <w:p w14:paraId="0F75C6E2" w14:textId="77777777" w:rsidR="00C723C7" w:rsidRDefault="00C723C7">
            <w:pPr>
              <w:widowControl/>
              <w:jc w:val="left"/>
              <w:rPr>
                <w:rFonts w:ascii="Times New Roman" w:eastAsia="Times New Roman" w:hAnsi="Times New Roman" w:cs="Times New Roman"/>
                <w:kern w:val="0"/>
                <w:szCs w:val="21"/>
              </w:rPr>
            </w:pPr>
          </w:p>
        </w:tc>
      </w:tr>
      <w:tr w:rsidR="00C723C7" w14:paraId="28CBBEB7" w14:textId="77777777">
        <w:trPr>
          <w:trHeight w:val="358"/>
        </w:trPr>
        <w:tc>
          <w:tcPr>
            <w:tcW w:w="2694" w:type="dxa"/>
            <w:shd w:val="clear" w:color="auto" w:fill="auto"/>
            <w:noWrap/>
            <w:vAlign w:val="center"/>
          </w:tcPr>
          <w:p w14:paraId="38DA98AA"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Solid organ transplantation</w:t>
            </w:r>
          </w:p>
        </w:tc>
        <w:tc>
          <w:tcPr>
            <w:tcW w:w="4819" w:type="dxa"/>
            <w:shd w:val="clear" w:color="auto" w:fill="auto"/>
            <w:noWrap/>
            <w:vAlign w:val="center"/>
          </w:tcPr>
          <w:p w14:paraId="351F96C3" w14:textId="77777777" w:rsidR="00C723C7" w:rsidRDefault="00C723C7">
            <w:pPr>
              <w:widowControl/>
              <w:jc w:val="left"/>
              <w:rPr>
                <w:rFonts w:ascii="Times New Roman" w:eastAsia="等线" w:hAnsi="Times New Roman" w:cs="Times New Roman"/>
                <w:color w:val="000000"/>
                <w:kern w:val="0"/>
                <w:szCs w:val="21"/>
              </w:rPr>
            </w:pPr>
          </w:p>
        </w:tc>
        <w:tc>
          <w:tcPr>
            <w:tcW w:w="1383" w:type="dxa"/>
            <w:shd w:val="clear" w:color="auto" w:fill="auto"/>
            <w:noWrap/>
            <w:vAlign w:val="center"/>
          </w:tcPr>
          <w:p w14:paraId="17E78AFD" w14:textId="77777777" w:rsidR="00C723C7" w:rsidRDefault="00C723C7">
            <w:pPr>
              <w:widowControl/>
              <w:jc w:val="left"/>
              <w:rPr>
                <w:rFonts w:ascii="Times New Roman" w:eastAsia="Times New Roman" w:hAnsi="Times New Roman" w:cs="Times New Roman"/>
                <w:kern w:val="0"/>
                <w:szCs w:val="21"/>
              </w:rPr>
            </w:pPr>
          </w:p>
        </w:tc>
      </w:tr>
      <w:tr w:rsidR="00C723C7" w14:paraId="12E4D134" w14:textId="77777777">
        <w:trPr>
          <w:trHeight w:val="358"/>
        </w:trPr>
        <w:tc>
          <w:tcPr>
            <w:tcW w:w="2694" w:type="dxa"/>
            <w:shd w:val="clear" w:color="auto" w:fill="auto"/>
            <w:noWrap/>
            <w:vAlign w:val="center"/>
          </w:tcPr>
          <w:p w14:paraId="2B602BCD" w14:textId="77777777" w:rsidR="00C723C7" w:rsidRDefault="00000000">
            <w:pPr>
              <w:widowControl/>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lastRenderedPageBreak/>
              <w:t>Solid tumor</w:t>
            </w:r>
          </w:p>
        </w:tc>
        <w:tc>
          <w:tcPr>
            <w:tcW w:w="4819" w:type="dxa"/>
            <w:shd w:val="clear" w:color="auto" w:fill="auto"/>
            <w:noWrap/>
            <w:vAlign w:val="center"/>
          </w:tcPr>
          <w:p w14:paraId="237D2F97" w14:textId="77777777" w:rsidR="00C723C7" w:rsidRDefault="00C723C7">
            <w:pPr>
              <w:widowControl/>
              <w:jc w:val="left"/>
              <w:rPr>
                <w:rFonts w:ascii="Times New Roman" w:eastAsia="等线" w:hAnsi="Times New Roman" w:cs="Times New Roman"/>
                <w:color w:val="000000"/>
                <w:kern w:val="0"/>
                <w:szCs w:val="21"/>
              </w:rPr>
            </w:pPr>
          </w:p>
        </w:tc>
        <w:tc>
          <w:tcPr>
            <w:tcW w:w="1383" w:type="dxa"/>
            <w:shd w:val="clear" w:color="auto" w:fill="auto"/>
            <w:noWrap/>
            <w:vAlign w:val="center"/>
          </w:tcPr>
          <w:p w14:paraId="14977EB6" w14:textId="77777777" w:rsidR="00C723C7" w:rsidRDefault="00C723C7">
            <w:pPr>
              <w:widowControl/>
              <w:jc w:val="left"/>
              <w:rPr>
                <w:rFonts w:ascii="Times New Roman" w:eastAsia="Times New Roman" w:hAnsi="Times New Roman" w:cs="Times New Roman"/>
                <w:kern w:val="0"/>
                <w:szCs w:val="21"/>
              </w:rPr>
            </w:pPr>
          </w:p>
        </w:tc>
      </w:tr>
    </w:tbl>
    <w:p w14:paraId="6B1788BC" w14:textId="77777777" w:rsidR="00C723C7" w:rsidRDefault="00C723C7">
      <w:pPr>
        <w:widowControl/>
        <w:jc w:val="left"/>
        <w:rPr>
          <w:rFonts w:hint="eastAsia"/>
        </w:rPr>
      </w:pPr>
    </w:p>
    <w:p w14:paraId="70E8DF2C" w14:textId="77777777" w:rsidR="00C723C7" w:rsidRDefault="00000000">
      <w:pPr>
        <w:widowControl/>
        <w:jc w:val="left"/>
        <w:rPr>
          <w:rFonts w:ascii="Times New Roman" w:hAnsi="Times New Roman" w:cs="Times New Roman"/>
          <w:b/>
          <w:bCs/>
        </w:rPr>
      </w:pPr>
      <w:r>
        <w:rPr>
          <w:rFonts w:ascii="Times New Roman" w:hAnsi="Times New Roman" w:cs="Times New Roman"/>
          <w:b/>
          <w:bCs/>
        </w:rPr>
        <w:br w:type="page"/>
      </w:r>
    </w:p>
    <w:p w14:paraId="312D6EAE" w14:textId="5F27AD1A" w:rsidR="00C723C7" w:rsidRDefault="00000000">
      <w:pPr>
        <w:spacing w:line="440" w:lineRule="exact"/>
        <w:rPr>
          <w:rFonts w:ascii="Times New Roman" w:hAnsi="Times New Roman" w:cs="Times New Roman"/>
          <w:b/>
          <w:bCs/>
        </w:rPr>
      </w:pPr>
      <w:r>
        <w:rPr>
          <w:rFonts w:ascii="Times New Roman" w:hAnsi="Times New Roman" w:cs="Times New Roman"/>
          <w:b/>
          <w:bCs/>
        </w:rPr>
        <w:lastRenderedPageBreak/>
        <w:t>Table S</w:t>
      </w:r>
      <w:r w:rsidR="00ED3BE8">
        <w:rPr>
          <w:rFonts w:ascii="Times New Roman" w:hAnsi="Times New Roman" w:cs="Times New Roman" w:hint="eastAsia"/>
          <w:b/>
          <w:bCs/>
        </w:rPr>
        <w:t>6</w:t>
      </w:r>
      <w:r>
        <w:rPr>
          <w:rFonts w:ascii="Times New Roman" w:hAnsi="Times New Roman" w:cs="Times New Roman" w:hint="eastAsia"/>
          <w:b/>
          <w:bCs/>
        </w:rPr>
        <w:t>.</w:t>
      </w:r>
      <w:r>
        <w:rPr>
          <w:rFonts w:ascii="Times New Roman" w:hAnsi="Times New Roman" w:cs="Times New Roman"/>
          <w:b/>
          <w:bCs/>
        </w:rPr>
        <w:t xml:space="preserve"> Selected clinical features and corresponding </w:t>
      </w:r>
      <w:r>
        <w:rPr>
          <w:rFonts w:ascii="Times New Roman" w:hAnsi="Times New Roman" w:cs="Times New Roman" w:hint="eastAsia"/>
          <w:b/>
          <w:bCs/>
        </w:rPr>
        <w:t xml:space="preserve">logistic </w:t>
      </w:r>
      <w:r>
        <w:rPr>
          <w:rFonts w:ascii="Times New Roman" w:hAnsi="Times New Roman" w:cs="Times New Roman"/>
          <w:b/>
          <w:bCs/>
        </w:rPr>
        <w:t xml:space="preserve">coefficients for </w:t>
      </w:r>
      <w:r>
        <w:rPr>
          <w:rFonts w:ascii="Times New Roman" w:hAnsi="Times New Roman" w:cs="Times New Roman" w:hint="eastAsia"/>
          <w:b/>
          <w:bCs/>
        </w:rPr>
        <w:t>c</w:t>
      </w:r>
      <w:r>
        <w:rPr>
          <w:rFonts w:ascii="Times New Roman" w:hAnsi="Times New Roman" w:cs="Times New Roman"/>
          <w:b/>
          <w:bCs/>
        </w:rPr>
        <w:t>lin</w:t>
      </w:r>
      <w:r>
        <w:rPr>
          <w:rFonts w:ascii="Times New Roman" w:hAnsi="Times New Roman" w:cs="Times New Roman" w:hint="eastAsia"/>
          <w:b/>
          <w:bCs/>
        </w:rPr>
        <w:t>ical model</w:t>
      </w:r>
      <w:r>
        <w:rPr>
          <w:rFonts w:ascii="Times New Roman" w:hAnsi="Times New Roman" w:cs="Times New Roman"/>
          <w:b/>
          <w:bCs/>
        </w:rPr>
        <w:t xml:space="preserve"> </w:t>
      </w: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364"/>
        <w:gridCol w:w="3162"/>
      </w:tblGrid>
      <w:tr w:rsidR="00C723C7" w14:paraId="7094720C" w14:textId="77777777">
        <w:trPr>
          <w:tblHeader/>
          <w:tblCellSpacing w:w="15" w:type="dxa"/>
        </w:trPr>
        <w:tc>
          <w:tcPr>
            <w:tcW w:w="0" w:type="auto"/>
            <w:tcBorders>
              <w:top w:val="nil"/>
              <w:bottom w:val="single" w:sz="4" w:space="0" w:color="auto"/>
            </w:tcBorders>
            <w:vAlign w:val="center"/>
          </w:tcPr>
          <w:p w14:paraId="36FBE67F" w14:textId="77777777" w:rsidR="00C723C7" w:rsidRDefault="00000000">
            <w:pPr>
              <w:rPr>
                <w:rFonts w:ascii="Times New Roman" w:hAnsi="Times New Roman" w:cs="Times New Roman"/>
                <w:b/>
                <w:bCs/>
              </w:rPr>
            </w:pPr>
            <w:r>
              <w:rPr>
                <w:rFonts w:ascii="Times New Roman" w:hAnsi="Times New Roman" w:cs="Times New Roman"/>
                <w:b/>
                <w:bCs/>
              </w:rPr>
              <w:t>Feature name</w:t>
            </w:r>
          </w:p>
        </w:tc>
        <w:tc>
          <w:tcPr>
            <w:tcW w:w="3117" w:type="dxa"/>
            <w:tcBorders>
              <w:top w:val="nil"/>
              <w:bottom w:val="single" w:sz="4" w:space="0" w:color="auto"/>
            </w:tcBorders>
            <w:vAlign w:val="center"/>
          </w:tcPr>
          <w:p w14:paraId="78C67571" w14:textId="77777777" w:rsidR="00C723C7" w:rsidRDefault="00000000">
            <w:pPr>
              <w:rPr>
                <w:rFonts w:ascii="Times New Roman" w:hAnsi="Times New Roman" w:cs="Times New Roman"/>
                <w:b/>
                <w:bCs/>
                <w:sz w:val="20"/>
                <w:szCs w:val="20"/>
              </w:rPr>
            </w:pPr>
            <w:r>
              <w:rPr>
                <w:rFonts w:ascii="Times New Roman" w:hAnsi="Times New Roman" w:cs="Times New Roman"/>
                <w:b/>
                <w:bCs/>
                <w:sz w:val="20"/>
                <w:szCs w:val="20"/>
              </w:rPr>
              <w:t>Coefficient</w:t>
            </w:r>
          </w:p>
        </w:tc>
      </w:tr>
      <w:tr w:rsidR="00C723C7" w14:paraId="4FCA037F" w14:textId="77777777">
        <w:trPr>
          <w:tblCellSpacing w:w="15" w:type="dxa"/>
        </w:trPr>
        <w:tc>
          <w:tcPr>
            <w:tcW w:w="0" w:type="auto"/>
            <w:vAlign w:val="center"/>
          </w:tcPr>
          <w:p w14:paraId="09E83C43" w14:textId="77777777" w:rsidR="00C723C7" w:rsidRDefault="00000000">
            <w:pPr>
              <w:rPr>
                <w:rFonts w:ascii="Times New Roman" w:hAnsi="Times New Roman" w:cs="Times New Roman"/>
                <w:bCs/>
              </w:rPr>
            </w:pPr>
            <w:r>
              <w:rPr>
                <w:rFonts w:ascii="Times New Roman" w:hAnsi="Times New Roman" w:cs="Times New Roman"/>
              </w:rPr>
              <w:t>Age</w:t>
            </w:r>
          </w:p>
        </w:tc>
        <w:tc>
          <w:tcPr>
            <w:tcW w:w="3117" w:type="dxa"/>
            <w:vAlign w:val="center"/>
          </w:tcPr>
          <w:p w14:paraId="2D5C7A3B" w14:textId="77777777" w:rsidR="00C723C7" w:rsidRDefault="00000000">
            <w:pPr>
              <w:rPr>
                <w:rFonts w:ascii="Times New Roman" w:hAnsi="Times New Roman" w:cs="Times New Roman"/>
                <w:bCs/>
              </w:rPr>
            </w:pPr>
            <w:r>
              <w:rPr>
                <w:rFonts w:ascii="Times New Roman" w:eastAsia="宋体" w:hAnsi="Times New Roman" w:cs="Times New Roman"/>
                <w:kern w:val="0"/>
                <w:sz w:val="18"/>
                <w:szCs w:val="18"/>
              </w:rPr>
              <w:t>0.251381657</w:t>
            </w:r>
          </w:p>
        </w:tc>
      </w:tr>
      <w:tr w:rsidR="00C723C7" w14:paraId="3C44EC94" w14:textId="77777777">
        <w:trPr>
          <w:tblCellSpacing w:w="15" w:type="dxa"/>
        </w:trPr>
        <w:tc>
          <w:tcPr>
            <w:tcW w:w="0" w:type="auto"/>
            <w:vAlign w:val="center"/>
          </w:tcPr>
          <w:p w14:paraId="13F505B7" w14:textId="77777777" w:rsidR="00C723C7" w:rsidRDefault="00000000">
            <w:pPr>
              <w:rPr>
                <w:rFonts w:ascii="Times New Roman" w:hAnsi="Times New Roman" w:cs="Times New Roman"/>
                <w:bCs/>
              </w:rPr>
            </w:pPr>
            <w:r>
              <w:rPr>
                <w:rFonts w:ascii="Times New Roman" w:hAnsi="Times New Roman" w:cs="Times New Roman"/>
              </w:rPr>
              <w:t>Lactate</w:t>
            </w:r>
          </w:p>
        </w:tc>
        <w:tc>
          <w:tcPr>
            <w:tcW w:w="3117" w:type="dxa"/>
            <w:vAlign w:val="center"/>
          </w:tcPr>
          <w:p w14:paraId="39E90A82" w14:textId="77777777" w:rsidR="00C723C7" w:rsidRDefault="00000000">
            <w:pPr>
              <w:rPr>
                <w:rFonts w:ascii="Times New Roman" w:hAnsi="Times New Roman" w:cs="Times New Roman"/>
                <w:bCs/>
              </w:rPr>
            </w:pPr>
            <w:r>
              <w:rPr>
                <w:rFonts w:ascii="Times New Roman" w:eastAsia="宋体" w:hAnsi="Times New Roman" w:cs="Times New Roman"/>
                <w:kern w:val="0"/>
                <w:sz w:val="18"/>
                <w:szCs w:val="18"/>
              </w:rPr>
              <w:t>0.149769376</w:t>
            </w:r>
          </w:p>
        </w:tc>
      </w:tr>
      <w:tr w:rsidR="00C723C7" w14:paraId="05D27A8C" w14:textId="77777777">
        <w:trPr>
          <w:tblCellSpacing w:w="15" w:type="dxa"/>
        </w:trPr>
        <w:tc>
          <w:tcPr>
            <w:tcW w:w="0" w:type="auto"/>
            <w:vAlign w:val="center"/>
          </w:tcPr>
          <w:p w14:paraId="3B34AAF4" w14:textId="77777777" w:rsidR="00C723C7" w:rsidRDefault="00000000">
            <w:pPr>
              <w:rPr>
                <w:rFonts w:ascii="Times New Roman" w:hAnsi="Times New Roman" w:cs="Times New Roman"/>
                <w:bCs/>
              </w:rPr>
            </w:pPr>
            <w:r>
              <w:rPr>
                <w:rFonts w:ascii="Times New Roman" w:hAnsi="Times New Roman" w:cs="Times New Roman"/>
              </w:rPr>
              <w:t>Blood urea nitrogen</w:t>
            </w:r>
          </w:p>
        </w:tc>
        <w:tc>
          <w:tcPr>
            <w:tcW w:w="3117" w:type="dxa"/>
            <w:vAlign w:val="center"/>
          </w:tcPr>
          <w:p w14:paraId="6E8F2D87" w14:textId="77777777" w:rsidR="00C723C7" w:rsidRDefault="00000000">
            <w:pPr>
              <w:rPr>
                <w:rFonts w:ascii="Times New Roman" w:hAnsi="Times New Roman" w:cs="Times New Roman"/>
                <w:bCs/>
              </w:rPr>
            </w:pPr>
            <w:r>
              <w:rPr>
                <w:rFonts w:ascii="Times New Roman" w:eastAsia="宋体" w:hAnsi="Times New Roman" w:cs="Times New Roman"/>
                <w:kern w:val="0"/>
                <w:sz w:val="18"/>
                <w:szCs w:val="18"/>
              </w:rPr>
              <w:t>0.115746088</w:t>
            </w:r>
          </w:p>
        </w:tc>
      </w:tr>
      <w:tr w:rsidR="00C723C7" w14:paraId="2FC8E36F" w14:textId="77777777">
        <w:trPr>
          <w:tblCellSpacing w:w="15" w:type="dxa"/>
        </w:trPr>
        <w:tc>
          <w:tcPr>
            <w:tcW w:w="0" w:type="auto"/>
            <w:vAlign w:val="center"/>
          </w:tcPr>
          <w:p w14:paraId="76B412EA" w14:textId="77777777" w:rsidR="00C723C7" w:rsidRDefault="00000000">
            <w:pPr>
              <w:rPr>
                <w:rFonts w:ascii="Times New Roman" w:hAnsi="Times New Roman" w:cs="Times New Roman"/>
                <w:bCs/>
              </w:rPr>
            </w:pPr>
            <w:r>
              <w:rPr>
                <w:rFonts w:ascii="Times New Roman" w:hAnsi="Times New Roman" w:cs="Times New Roman"/>
              </w:rPr>
              <w:t>Mean platelet volume</w:t>
            </w:r>
          </w:p>
        </w:tc>
        <w:tc>
          <w:tcPr>
            <w:tcW w:w="3117" w:type="dxa"/>
            <w:vAlign w:val="center"/>
          </w:tcPr>
          <w:p w14:paraId="754694D7" w14:textId="77777777" w:rsidR="00C723C7" w:rsidRDefault="00000000">
            <w:pPr>
              <w:rPr>
                <w:rFonts w:ascii="Times New Roman" w:hAnsi="Times New Roman" w:cs="Times New Roman"/>
                <w:bCs/>
              </w:rPr>
            </w:pPr>
            <w:r>
              <w:rPr>
                <w:rFonts w:ascii="Times New Roman" w:eastAsia="宋体" w:hAnsi="Times New Roman" w:cs="Times New Roman"/>
                <w:kern w:val="0"/>
                <w:sz w:val="18"/>
                <w:szCs w:val="18"/>
              </w:rPr>
              <w:t>0.0576547660</w:t>
            </w:r>
          </w:p>
        </w:tc>
      </w:tr>
      <w:tr w:rsidR="00C723C7" w14:paraId="1AA347B8" w14:textId="77777777">
        <w:trPr>
          <w:tblCellSpacing w:w="15" w:type="dxa"/>
        </w:trPr>
        <w:tc>
          <w:tcPr>
            <w:tcW w:w="0" w:type="auto"/>
            <w:vAlign w:val="center"/>
          </w:tcPr>
          <w:p w14:paraId="48C9DF62" w14:textId="77777777" w:rsidR="00C723C7" w:rsidRDefault="00000000">
            <w:pPr>
              <w:rPr>
                <w:rFonts w:ascii="Times New Roman" w:hAnsi="Times New Roman" w:cs="Times New Roman"/>
                <w:bCs/>
              </w:rPr>
            </w:pPr>
            <w:r>
              <w:rPr>
                <w:rFonts w:ascii="Times New Roman" w:hAnsi="Times New Roman" w:cs="Times New Roman"/>
              </w:rPr>
              <w:t>NT-proBNP</w:t>
            </w:r>
          </w:p>
        </w:tc>
        <w:tc>
          <w:tcPr>
            <w:tcW w:w="3117" w:type="dxa"/>
            <w:vAlign w:val="center"/>
          </w:tcPr>
          <w:p w14:paraId="038B8613" w14:textId="77777777" w:rsidR="00C723C7" w:rsidRDefault="00000000">
            <w:pPr>
              <w:rPr>
                <w:rFonts w:ascii="Times New Roman" w:hAnsi="Times New Roman" w:cs="Times New Roman"/>
                <w:bCs/>
              </w:rPr>
            </w:pPr>
            <w:r>
              <w:rPr>
                <w:rFonts w:ascii="Times New Roman" w:eastAsia="宋体" w:hAnsi="Times New Roman" w:cs="Times New Roman"/>
                <w:kern w:val="0"/>
                <w:sz w:val="18"/>
                <w:szCs w:val="18"/>
              </w:rPr>
              <w:t>0.0609522978</w:t>
            </w:r>
          </w:p>
        </w:tc>
      </w:tr>
      <w:tr w:rsidR="00C723C7" w14:paraId="55FBEB96" w14:textId="77777777">
        <w:trPr>
          <w:tblCellSpacing w:w="15" w:type="dxa"/>
        </w:trPr>
        <w:tc>
          <w:tcPr>
            <w:tcW w:w="0" w:type="auto"/>
            <w:vAlign w:val="center"/>
          </w:tcPr>
          <w:p w14:paraId="050315E5" w14:textId="77777777" w:rsidR="00C723C7" w:rsidRDefault="00000000">
            <w:pPr>
              <w:rPr>
                <w:rFonts w:ascii="Times New Roman" w:hAnsi="Times New Roman" w:cs="Times New Roman"/>
                <w:bCs/>
              </w:rPr>
            </w:pPr>
            <w:r>
              <w:rPr>
                <w:rFonts w:ascii="Times New Roman" w:hAnsi="Times New Roman" w:cs="Times New Roman"/>
              </w:rPr>
              <w:t>Creatinine</w:t>
            </w:r>
          </w:p>
        </w:tc>
        <w:tc>
          <w:tcPr>
            <w:tcW w:w="3117" w:type="dxa"/>
            <w:vAlign w:val="center"/>
          </w:tcPr>
          <w:p w14:paraId="626BA092" w14:textId="77777777" w:rsidR="00C723C7" w:rsidRDefault="00000000">
            <w:pPr>
              <w:rPr>
                <w:rFonts w:ascii="Times New Roman" w:hAnsi="Times New Roman" w:cs="Times New Roman"/>
                <w:bCs/>
              </w:rPr>
            </w:pPr>
            <w:r>
              <w:rPr>
                <w:rFonts w:ascii="Times New Roman" w:eastAsia="宋体" w:hAnsi="Times New Roman" w:cs="Times New Roman"/>
                <w:kern w:val="0"/>
                <w:sz w:val="18"/>
                <w:szCs w:val="18"/>
              </w:rPr>
              <w:t>0.0635194295</w:t>
            </w:r>
          </w:p>
        </w:tc>
      </w:tr>
      <w:tr w:rsidR="00C723C7" w14:paraId="1A052737" w14:textId="77777777">
        <w:trPr>
          <w:tblCellSpacing w:w="15" w:type="dxa"/>
        </w:trPr>
        <w:tc>
          <w:tcPr>
            <w:tcW w:w="0" w:type="auto"/>
            <w:vAlign w:val="center"/>
          </w:tcPr>
          <w:p w14:paraId="3C89BE92" w14:textId="77777777" w:rsidR="00C723C7" w:rsidRDefault="00000000">
            <w:pPr>
              <w:rPr>
                <w:rFonts w:ascii="Times New Roman" w:hAnsi="Times New Roman" w:cs="Times New Roman"/>
                <w:bCs/>
              </w:rPr>
            </w:pPr>
            <w:r>
              <w:rPr>
                <w:rFonts w:ascii="Times New Roman" w:hAnsi="Times New Roman" w:cs="Times New Roman"/>
              </w:rPr>
              <w:t>D-dimer</w:t>
            </w:r>
          </w:p>
        </w:tc>
        <w:tc>
          <w:tcPr>
            <w:tcW w:w="3117" w:type="dxa"/>
            <w:vAlign w:val="center"/>
          </w:tcPr>
          <w:p w14:paraId="0B60C228" w14:textId="77777777" w:rsidR="00C723C7" w:rsidRDefault="00000000">
            <w:pPr>
              <w:rPr>
                <w:rFonts w:ascii="Times New Roman" w:hAnsi="Times New Roman" w:cs="Times New Roman"/>
                <w:bCs/>
              </w:rPr>
            </w:pPr>
            <w:r>
              <w:rPr>
                <w:rFonts w:ascii="Times New Roman" w:eastAsia="宋体" w:hAnsi="Times New Roman" w:cs="Times New Roman"/>
                <w:kern w:val="0"/>
                <w:sz w:val="18"/>
                <w:szCs w:val="18"/>
              </w:rPr>
              <w:t>0.0690941834</w:t>
            </w:r>
          </w:p>
        </w:tc>
      </w:tr>
      <w:tr w:rsidR="00C723C7" w14:paraId="6D3A9AA9" w14:textId="77777777">
        <w:trPr>
          <w:tblCellSpacing w:w="15" w:type="dxa"/>
        </w:trPr>
        <w:tc>
          <w:tcPr>
            <w:tcW w:w="0" w:type="auto"/>
            <w:vAlign w:val="center"/>
          </w:tcPr>
          <w:p w14:paraId="52BE22AD" w14:textId="77777777" w:rsidR="00C723C7" w:rsidRDefault="00000000">
            <w:pPr>
              <w:rPr>
                <w:rFonts w:ascii="Times New Roman" w:hAnsi="Times New Roman" w:cs="Times New Roman"/>
                <w:bCs/>
              </w:rPr>
            </w:pPr>
            <w:r>
              <w:rPr>
                <w:rFonts w:ascii="Times New Roman" w:hAnsi="Times New Roman" w:cs="Times New Roman"/>
              </w:rPr>
              <w:t>Liver cirrhosis</w:t>
            </w:r>
          </w:p>
        </w:tc>
        <w:tc>
          <w:tcPr>
            <w:tcW w:w="3117" w:type="dxa"/>
            <w:vAlign w:val="center"/>
          </w:tcPr>
          <w:p w14:paraId="63451B71" w14:textId="77777777" w:rsidR="00C723C7" w:rsidRDefault="00000000">
            <w:pPr>
              <w:rPr>
                <w:rFonts w:ascii="Times New Roman" w:hAnsi="Times New Roman" w:cs="Times New Roman"/>
                <w:bCs/>
              </w:rPr>
            </w:pPr>
            <w:r>
              <w:rPr>
                <w:rFonts w:ascii="Times New Roman" w:eastAsia="宋体" w:hAnsi="Times New Roman" w:cs="Times New Roman"/>
                <w:kern w:val="0"/>
                <w:sz w:val="18"/>
                <w:szCs w:val="18"/>
              </w:rPr>
              <w:t>0.0881346775</w:t>
            </w:r>
          </w:p>
        </w:tc>
      </w:tr>
      <w:tr w:rsidR="00C723C7" w14:paraId="19F2CA81" w14:textId="77777777">
        <w:trPr>
          <w:tblCellSpacing w:w="15" w:type="dxa"/>
        </w:trPr>
        <w:tc>
          <w:tcPr>
            <w:tcW w:w="0" w:type="auto"/>
            <w:vAlign w:val="center"/>
          </w:tcPr>
          <w:p w14:paraId="7C4C32B6" w14:textId="77777777" w:rsidR="00C723C7" w:rsidRDefault="00000000">
            <w:pPr>
              <w:rPr>
                <w:rFonts w:ascii="Times New Roman" w:hAnsi="Times New Roman" w:cs="Times New Roman"/>
                <w:bCs/>
              </w:rPr>
            </w:pPr>
            <w:r>
              <w:rPr>
                <w:rFonts w:ascii="Times New Roman" w:hAnsi="Times New Roman" w:cs="Times New Roman"/>
              </w:rPr>
              <w:t>Sodium</w:t>
            </w:r>
          </w:p>
        </w:tc>
        <w:tc>
          <w:tcPr>
            <w:tcW w:w="3117" w:type="dxa"/>
            <w:vAlign w:val="center"/>
          </w:tcPr>
          <w:p w14:paraId="124270EC" w14:textId="77777777" w:rsidR="00C723C7" w:rsidRDefault="00000000">
            <w:pPr>
              <w:rPr>
                <w:rFonts w:ascii="Times New Roman" w:hAnsi="Times New Roman" w:cs="Times New Roman"/>
                <w:bCs/>
              </w:rPr>
            </w:pPr>
            <w:r>
              <w:rPr>
                <w:rFonts w:ascii="Times New Roman" w:eastAsia="宋体" w:hAnsi="Times New Roman" w:cs="Times New Roman"/>
                <w:kern w:val="0"/>
                <w:sz w:val="18"/>
                <w:szCs w:val="18"/>
              </w:rPr>
              <w:t>0.0789412711</w:t>
            </w:r>
          </w:p>
        </w:tc>
      </w:tr>
      <w:tr w:rsidR="00C723C7" w14:paraId="5F560ACC" w14:textId="77777777">
        <w:trPr>
          <w:tblCellSpacing w:w="15" w:type="dxa"/>
        </w:trPr>
        <w:tc>
          <w:tcPr>
            <w:tcW w:w="0" w:type="auto"/>
            <w:vAlign w:val="center"/>
          </w:tcPr>
          <w:p w14:paraId="124F7641" w14:textId="77777777" w:rsidR="00C723C7" w:rsidRDefault="00000000">
            <w:pPr>
              <w:rPr>
                <w:rFonts w:ascii="Times New Roman" w:hAnsi="Times New Roman" w:cs="Times New Roman"/>
                <w:bCs/>
              </w:rPr>
            </w:pPr>
            <w:r>
              <w:rPr>
                <w:rFonts w:ascii="Times New Roman" w:hAnsi="Times New Roman" w:cs="Times New Roman"/>
              </w:rPr>
              <w:t>SOFA score</w:t>
            </w:r>
          </w:p>
        </w:tc>
        <w:tc>
          <w:tcPr>
            <w:tcW w:w="3117" w:type="dxa"/>
            <w:vAlign w:val="center"/>
          </w:tcPr>
          <w:p w14:paraId="0D7868B8" w14:textId="77777777" w:rsidR="00C723C7" w:rsidRDefault="00000000">
            <w:pPr>
              <w:rPr>
                <w:rFonts w:ascii="Times New Roman" w:hAnsi="Times New Roman" w:cs="Times New Roman"/>
                <w:bCs/>
              </w:rPr>
            </w:pPr>
            <w:r>
              <w:rPr>
                <w:rFonts w:ascii="Times New Roman" w:eastAsia="宋体" w:hAnsi="Times New Roman" w:cs="Times New Roman"/>
                <w:kern w:val="0"/>
                <w:sz w:val="18"/>
                <w:szCs w:val="18"/>
              </w:rPr>
              <w:t>0.0492890747</w:t>
            </w:r>
          </w:p>
        </w:tc>
      </w:tr>
      <w:tr w:rsidR="00C723C7" w14:paraId="789ED9AC" w14:textId="77777777">
        <w:trPr>
          <w:tblCellSpacing w:w="15" w:type="dxa"/>
        </w:trPr>
        <w:tc>
          <w:tcPr>
            <w:tcW w:w="0" w:type="auto"/>
            <w:vAlign w:val="center"/>
          </w:tcPr>
          <w:p w14:paraId="02E9178B" w14:textId="77777777" w:rsidR="00C723C7" w:rsidRDefault="00000000">
            <w:pPr>
              <w:rPr>
                <w:rFonts w:ascii="Times New Roman" w:hAnsi="Times New Roman" w:cs="Times New Roman"/>
                <w:bCs/>
              </w:rPr>
            </w:pPr>
            <w:r>
              <w:rPr>
                <w:rFonts w:ascii="Times New Roman" w:hAnsi="Times New Roman" w:cs="Times New Roman"/>
              </w:rPr>
              <w:t>Potassium</w:t>
            </w:r>
          </w:p>
        </w:tc>
        <w:tc>
          <w:tcPr>
            <w:tcW w:w="3117" w:type="dxa"/>
            <w:vAlign w:val="center"/>
          </w:tcPr>
          <w:p w14:paraId="4338E465" w14:textId="77777777" w:rsidR="00C723C7" w:rsidRDefault="00000000">
            <w:pPr>
              <w:rPr>
                <w:rFonts w:ascii="Times New Roman" w:hAnsi="Times New Roman" w:cs="Times New Roman"/>
                <w:bCs/>
              </w:rPr>
            </w:pPr>
            <w:r>
              <w:rPr>
                <w:rFonts w:ascii="Times New Roman" w:eastAsia="宋体" w:hAnsi="Times New Roman" w:cs="Times New Roman"/>
                <w:kern w:val="0"/>
                <w:sz w:val="18"/>
                <w:szCs w:val="18"/>
              </w:rPr>
              <w:t>0.0745834125</w:t>
            </w:r>
          </w:p>
        </w:tc>
      </w:tr>
      <w:tr w:rsidR="00C723C7" w14:paraId="551BA34C" w14:textId="77777777">
        <w:trPr>
          <w:tblCellSpacing w:w="15" w:type="dxa"/>
        </w:trPr>
        <w:tc>
          <w:tcPr>
            <w:tcW w:w="0" w:type="auto"/>
            <w:vAlign w:val="center"/>
          </w:tcPr>
          <w:p w14:paraId="01118A4F" w14:textId="77777777" w:rsidR="00C723C7" w:rsidRDefault="00000000">
            <w:pPr>
              <w:rPr>
                <w:rFonts w:ascii="Times New Roman" w:hAnsi="Times New Roman" w:cs="Times New Roman"/>
                <w:bCs/>
              </w:rPr>
            </w:pPr>
            <w:r>
              <w:rPr>
                <w:rFonts w:ascii="Times New Roman" w:hAnsi="Times New Roman" w:cs="Times New Roman"/>
              </w:rPr>
              <w:t>Direct bilirubin</w:t>
            </w:r>
          </w:p>
        </w:tc>
        <w:tc>
          <w:tcPr>
            <w:tcW w:w="3117" w:type="dxa"/>
            <w:vAlign w:val="center"/>
          </w:tcPr>
          <w:p w14:paraId="18F39EB1" w14:textId="77777777" w:rsidR="00C723C7" w:rsidRDefault="00000000">
            <w:pPr>
              <w:rPr>
                <w:rFonts w:ascii="Times New Roman" w:hAnsi="Times New Roman" w:cs="Times New Roman"/>
                <w:bCs/>
              </w:rPr>
            </w:pPr>
            <w:r>
              <w:rPr>
                <w:rFonts w:ascii="Times New Roman" w:eastAsia="宋体" w:hAnsi="Times New Roman" w:cs="Times New Roman"/>
                <w:kern w:val="0"/>
                <w:sz w:val="18"/>
                <w:szCs w:val="18"/>
              </w:rPr>
              <w:t>0.107738269</w:t>
            </w:r>
          </w:p>
        </w:tc>
      </w:tr>
      <w:tr w:rsidR="00C723C7" w14:paraId="53CC7A2B" w14:textId="77777777">
        <w:trPr>
          <w:tblCellSpacing w:w="15" w:type="dxa"/>
        </w:trPr>
        <w:tc>
          <w:tcPr>
            <w:tcW w:w="0" w:type="auto"/>
            <w:vAlign w:val="center"/>
          </w:tcPr>
          <w:p w14:paraId="20548C64" w14:textId="77777777" w:rsidR="00C723C7" w:rsidRDefault="00000000">
            <w:pPr>
              <w:rPr>
                <w:rFonts w:ascii="Times New Roman" w:hAnsi="Times New Roman" w:cs="Times New Roman"/>
                <w:bCs/>
              </w:rPr>
            </w:pPr>
            <w:r>
              <w:rPr>
                <w:rFonts w:ascii="Times New Roman" w:hAnsi="Times New Roman" w:cs="Times New Roman"/>
              </w:rPr>
              <w:t>Mean corpuscular volume</w:t>
            </w:r>
          </w:p>
        </w:tc>
        <w:tc>
          <w:tcPr>
            <w:tcW w:w="3117" w:type="dxa"/>
            <w:vAlign w:val="center"/>
          </w:tcPr>
          <w:p w14:paraId="669A982A" w14:textId="77777777" w:rsidR="00C723C7" w:rsidRDefault="00000000">
            <w:pPr>
              <w:rPr>
                <w:rFonts w:ascii="Times New Roman" w:hAnsi="Times New Roman" w:cs="Times New Roman"/>
                <w:bCs/>
              </w:rPr>
            </w:pPr>
            <w:r>
              <w:rPr>
                <w:rFonts w:ascii="Times New Roman" w:eastAsia="宋体" w:hAnsi="Times New Roman" w:cs="Times New Roman"/>
                <w:kern w:val="0"/>
                <w:sz w:val="18"/>
                <w:szCs w:val="18"/>
              </w:rPr>
              <w:t>0.0932088064</w:t>
            </w:r>
          </w:p>
        </w:tc>
      </w:tr>
      <w:tr w:rsidR="00C723C7" w14:paraId="092B23C4" w14:textId="77777777">
        <w:trPr>
          <w:tblCellSpacing w:w="15" w:type="dxa"/>
        </w:trPr>
        <w:tc>
          <w:tcPr>
            <w:tcW w:w="0" w:type="auto"/>
            <w:vAlign w:val="center"/>
          </w:tcPr>
          <w:p w14:paraId="6677A793" w14:textId="77777777" w:rsidR="00C723C7" w:rsidRDefault="00000000">
            <w:pPr>
              <w:rPr>
                <w:rFonts w:ascii="Times New Roman" w:hAnsi="Times New Roman" w:cs="Times New Roman"/>
                <w:bCs/>
              </w:rPr>
            </w:pPr>
            <w:r>
              <w:rPr>
                <w:rFonts w:ascii="Times New Roman" w:hAnsi="Times New Roman" w:cs="Times New Roman"/>
              </w:rPr>
              <w:t>Neutrophil percentage</w:t>
            </w:r>
          </w:p>
        </w:tc>
        <w:tc>
          <w:tcPr>
            <w:tcW w:w="3117" w:type="dxa"/>
            <w:vAlign w:val="center"/>
          </w:tcPr>
          <w:p w14:paraId="17649815" w14:textId="77777777" w:rsidR="00C723C7" w:rsidRDefault="00000000">
            <w:pPr>
              <w:rPr>
                <w:rFonts w:ascii="Times New Roman" w:hAnsi="Times New Roman" w:cs="Times New Roman"/>
                <w:bCs/>
              </w:rPr>
            </w:pPr>
            <w:r>
              <w:rPr>
                <w:rFonts w:ascii="Times New Roman" w:eastAsia="宋体" w:hAnsi="Times New Roman" w:cs="Times New Roman"/>
                <w:kern w:val="0"/>
                <w:sz w:val="18"/>
                <w:szCs w:val="18"/>
              </w:rPr>
              <w:t>0.0776770821</w:t>
            </w:r>
          </w:p>
        </w:tc>
      </w:tr>
      <w:tr w:rsidR="00C723C7" w14:paraId="3BDCAB9E" w14:textId="77777777">
        <w:trPr>
          <w:tblCellSpacing w:w="15" w:type="dxa"/>
        </w:trPr>
        <w:tc>
          <w:tcPr>
            <w:tcW w:w="0" w:type="auto"/>
            <w:vAlign w:val="center"/>
          </w:tcPr>
          <w:p w14:paraId="5707CA47" w14:textId="77777777" w:rsidR="00C723C7" w:rsidRDefault="00000000">
            <w:pPr>
              <w:rPr>
                <w:rFonts w:ascii="Times New Roman" w:hAnsi="Times New Roman" w:cs="Times New Roman"/>
                <w:bCs/>
              </w:rPr>
            </w:pPr>
            <w:r>
              <w:rPr>
                <w:rFonts w:ascii="Times New Roman" w:hAnsi="Times New Roman" w:cs="Times New Roman"/>
              </w:rPr>
              <w:t>Solid tumor</w:t>
            </w:r>
          </w:p>
        </w:tc>
        <w:tc>
          <w:tcPr>
            <w:tcW w:w="3117" w:type="dxa"/>
            <w:vAlign w:val="center"/>
          </w:tcPr>
          <w:p w14:paraId="60E7E8D9" w14:textId="77777777" w:rsidR="00C723C7" w:rsidRDefault="00000000">
            <w:pPr>
              <w:rPr>
                <w:rFonts w:ascii="Times New Roman" w:hAnsi="Times New Roman" w:cs="Times New Roman"/>
                <w:bCs/>
              </w:rPr>
            </w:pPr>
            <w:r>
              <w:rPr>
                <w:rFonts w:ascii="Times New Roman" w:eastAsia="宋体" w:hAnsi="Times New Roman" w:cs="Times New Roman"/>
                <w:kern w:val="0"/>
                <w:sz w:val="18"/>
                <w:szCs w:val="18"/>
              </w:rPr>
              <w:t>0.111680116</w:t>
            </w:r>
          </w:p>
        </w:tc>
      </w:tr>
      <w:tr w:rsidR="00C723C7" w14:paraId="2D238A58" w14:textId="77777777">
        <w:trPr>
          <w:tblCellSpacing w:w="15" w:type="dxa"/>
        </w:trPr>
        <w:tc>
          <w:tcPr>
            <w:tcW w:w="0" w:type="auto"/>
            <w:vAlign w:val="center"/>
          </w:tcPr>
          <w:p w14:paraId="1BB09DA0" w14:textId="77777777" w:rsidR="00C723C7" w:rsidRDefault="00000000">
            <w:pPr>
              <w:rPr>
                <w:rFonts w:ascii="Times New Roman" w:hAnsi="Times New Roman" w:cs="Times New Roman"/>
                <w:bCs/>
              </w:rPr>
            </w:pPr>
            <w:r>
              <w:rPr>
                <w:rFonts w:ascii="Times New Roman" w:hAnsi="Times New Roman" w:cs="Times New Roman"/>
              </w:rPr>
              <w:t>Immunosuppressant use</w:t>
            </w:r>
          </w:p>
        </w:tc>
        <w:tc>
          <w:tcPr>
            <w:tcW w:w="3117" w:type="dxa"/>
            <w:vAlign w:val="center"/>
          </w:tcPr>
          <w:p w14:paraId="619BB2B4" w14:textId="77777777" w:rsidR="00C723C7" w:rsidRDefault="00000000">
            <w:pPr>
              <w:rPr>
                <w:rFonts w:ascii="Times New Roman" w:hAnsi="Times New Roman" w:cs="Times New Roman"/>
                <w:bCs/>
              </w:rPr>
            </w:pPr>
            <w:r>
              <w:rPr>
                <w:rFonts w:ascii="Times New Roman" w:eastAsia="宋体" w:hAnsi="Times New Roman" w:cs="Times New Roman"/>
                <w:kern w:val="0"/>
                <w:sz w:val="18"/>
                <w:szCs w:val="18"/>
              </w:rPr>
              <w:t>0.0654075386</w:t>
            </w:r>
          </w:p>
        </w:tc>
      </w:tr>
      <w:tr w:rsidR="00C723C7" w14:paraId="2E80993D" w14:textId="77777777">
        <w:trPr>
          <w:tblCellSpacing w:w="15" w:type="dxa"/>
        </w:trPr>
        <w:tc>
          <w:tcPr>
            <w:tcW w:w="0" w:type="auto"/>
            <w:vAlign w:val="center"/>
          </w:tcPr>
          <w:p w14:paraId="477F1B79" w14:textId="77777777" w:rsidR="00C723C7" w:rsidRDefault="00000000">
            <w:pPr>
              <w:rPr>
                <w:rFonts w:ascii="Times New Roman" w:hAnsi="Times New Roman" w:cs="Times New Roman"/>
                <w:bCs/>
              </w:rPr>
            </w:pPr>
            <w:r>
              <w:rPr>
                <w:rFonts w:ascii="Times New Roman" w:hAnsi="Times New Roman" w:cs="Times New Roman"/>
              </w:rPr>
              <w:t>Coronary heart disease</w:t>
            </w:r>
          </w:p>
        </w:tc>
        <w:tc>
          <w:tcPr>
            <w:tcW w:w="3117" w:type="dxa"/>
            <w:vAlign w:val="center"/>
          </w:tcPr>
          <w:p w14:paraId="724DD210" w14:textId="77777777" w:rsidR="00C723C7" w:rsidRDefault="00000000">
            <w:pPr>
              <w:rPr>
                <w:rFonts w:ascii="Times New Roman" w:hAnsi="Times New Roman" w:cs="Times New Roman"/>
                <w:bCs/>
              </w:rPr>
            </w:pPr>
            <w:r>
              <w:rPr>
                <w:rFonts w:ascii="Times New Roman" w:eastAsia="宋体" w:hAnsi="Times New Roman" w:cs="Times New Roman"/>
                <w:kern w:val="0"/>
                <w:sz w:val="18"/>
                <w:szCs w:val="18"/>
              </w:rPr>
              <w:t>0.0733937934</w:t>
            </w:r>
          </w:p>
        </w:tc>
      </w:tr>
      <w:tr w:rsidR="00C723C7" w14:paraId="0F26F7EE" w14:textId="77777777">
        <w:trPr>
          <w:tblCellSpacing w:w="15" w:type="dxa"/>
        </w:trPr>
        <w:tc>
          <w:tcPr>
            <w:tcW w:w="0" w:type="auto"/>
            <w:vAlign w:val="center"/>
          </w:tcPr>
          <w:p w14:paraId="16838285" w14:textId="77777777" w:rsidR="00C723C7" w:rsidRDefault="00000000">
            <w:pPr>
              <w:rPr>
                <w:rFonts w:ascii="Times New Roman" w:hAnsi="Times New Roman" w:cs="Times New Roman"/>
                <w:bCs/>
              </w:rPr>
            </w:pPr>
            <w:r>
              <w:rPr>
                <w:rFonts w:ascii="Times New Roman" w:hAnsi="Times New Roman" w:cs="Times New Roman"/>
              </w:rPr>
              <w:t>Hematologic malignancy</w:t>
            </w:r>
          </w:p>
        </w:tc>
        <w:tc>
          <w:tcPr>
            <w:tcW w:w="3117" w:type="dxa"/>
            <w:vAlign w:val="center"/>
          </w:tcPr>
          <w:p w14:paraId="4E32D51F" w14:textId="77777777" w:rsidR="00C723C7" w:rsidRDefault="00000000">
            <w:pPr>
              <w:rPr>
                <w:rFonts w:ascii="Times New Roman" w:hAnsi="Times New Roman" w:cs="Times New Roman"/>
                <w:bCs/>
              </w:rPr>
            </w:pPr>
            <w:r>
              <w:rPr>
                <w:rFonts w:ascii="Times New Roman" w:eastAsia="宋体" w:hAnsi="Times New Roman" w:cs="Times New Roman"/>
                <w:kern w:val="0"/>
                <w:sz w:val="18"/>
                <w:szCs w:val="18"/>
              </w:rPr>
              <w:t>0.0537810409</w:t>
            </w:r>
          </w:p>
        </w:tc>
      </w:tr>
      <w:tr w:rsidR="00C723C7" w14:paraId="073D8C97" w14:textId="77777777">
        <w:trPr>
          <w:tblCellSpacing w:w="15" w:type="dxa"/>
        </w:trPr>
        <w:tc>
          <w:tcPr>
            <w:tcW w:w="0" w:type="auto"/>
            <w:vAlign w:val="center"/>
          </w:tcPr>
          <w:p w14:paraId="65022DFD" w14:textId="77777777" w:rsidR="00C723C7" w:rsidRDefault="00000000">
            <w:pPr>
              <w:rPr>
                <w:rFonts w:ascii="Times New Roman" w:hAnsi="Times New Roman" w:cs="Times New Roman"/>
                <w:bCs/>
              </w:rPr>
            </w:pPr>
            <w:r>
              <w:rPr>
                <w:rFonts w:ascii="Times New Roman" w:hAnsi="Times New Roman" w:cs="Times New Roman"/>
              </w:rPr>
              <w:t>Heart rate</w:t>
            </w:r>
          </w:p>
        </w:tc>
        <w:tc>
          <w:tcPr>
            <w:tcW w:w="3117" w:type="dxa"/>
            <w:vAlign w:val="center"/>
          </w:tcPr>
          <w:p w14:paraId="1FAB3C85" w14:textId="77777777" w:rsidR="00C723C7" w:rsidRDefault="00000000">
            <w:pPr>
              <w:rPr>
                <w:rFonts w:ascii="Times New Roman" w:hAnsi="Times New Roman" w:cs="Times New Roman"/>
                <w:bCs/>
              </w:rPr>
            </w:pPr>
            <w:r>
              <w:rPr>
                <w:rFonts w:ascii="Times New Roman" w:eastAsia="宋体" w:hAnsi="Times New Roman" w:cs="Times New Roman"/>
                <w:kern w:val="0"/>
                <w:sz w:val="18"/>
                <w:szCs w:val="18"/>
              </w:rPr>
              <w:t>0.0700259483</w:t>
            </w:r>
          </w:p>
        </w:tc>
      </w:tr>
      <w:tr w:rsidR="00C723C7" w14:paraId="45FCBBE7" w14:textId="77777777">
        <w:trPr>
          <w:tblCellSpacing w:w="15" w:type="dxa"/>
        </w:trPr>
        <w:tc>
          <w:tcPr>
            <w:tcW w:w="0" w:type="auto"/>
            <w:tcBorders>
              <w:top w:val="nil"/>
              <w:bottom w:val="nil"/>
            </w:tcBorders>
            <w:vAlign w:val="center"/>
          </w:tcPr>
          <w:p w14:paraId="5F474143" w14:textId="77777777" w:rsidR="00C723C7" w:rsidRDefault="00000000">
            <w:pPr>
              <w:rPr>
                <w:rFonts w:ascii="Times New Roman" w:hAnsi="Times New Roman" w:cs="Times New Roman"/>
                <w:bCs/>
              </w:rPr>
            </w:pPr>
            <w:r>
              <w:rPr>
                <w:rFonts w:ascii="Times New Roman" w:hAnsi="Times New Roman" w:cs="Times New Roman"/>
              </w:rPr>
              <w:t>Solid-organ transplantation</w:t>
            </w:r>
          </w:p>
        </w:tc>
        <w:tc>
          <w:tcPr>
            <w:tcW w:w="3117" w:type="dxa"/>
            <w:tcBorders>
              <w:top w:val="nil"/>
              <w:bottom w:val="nil"/>
            </w:tcBorders>
            <w:vAlign w:val="center"/>
          </w:tcPr>
          <w:p w14:paraId="4B9FA153" w14:textId="77777777" w:rsidR="00C723C7" w:rsidRDefault="00000000">
            <w:pPr>
              <w:rPr>
                <w:rFonts w:ascii="Times New Roman" w:hAnsi="Times New Roman" w:cs="Times New Roman"/>
                <w:bCs/>
              </w:rPr>
            </w:pPr>
            <w:r>
              <w:rPr>
                <w:rFonts w:ascii="Times New Roman" w:eastAsia="宋体" w:hAnsi="Times New Roman" w:cs="Times New Roman"/>
                <w:kern w:val="0"/>
                <w:sz w:val="18"/>
                <w:szCs w:val="18"/>
              </w:rPr>
              <w:t>-0.000238933773</w:t>
            </w:r>
          </w:p>
        </w:tc>
      </w:tr>
      <w:tr w:rsidR="00C723C7" w14:paraId="32CF308E" w14:textId="77777777">
        <w:trPr>
          <w:tblCellSpacing w:w="15" w:type="dxa"/>
        </w:trPr>
        <w:tc>
          <w:tcPr>
            <w:tcW w:w="0" w:type="auto"/>
            <w:tcBorders>
              <w:top w:val="nil"/>
              <w:bottom w:val="nil"/>
            </w:tcBorders>
            <w:vAlign w:val="center"/>
          </w:tcPr>
          <w:p w14:paraId="0BC16317" w14:textId="77777777" w:rsidR="00C723C7" w:rsidRDefault="00000000">
            <w:pPr>
              <w:rPr>
                <w:rFonts w:ascii="Times New Roman" w:hAnsi="Times New Roman" w:cs="Times New Roman"/>
                <w:bCs/>
              </w:rPr>
            </w:pPr>
            <w:r>
              <w:rPr>
                <w:rFonts w:ascii="Times New Roman" w:hAnsi="Times New Roman" w:cs="Times New Roman"/>
              </w:rPr>
              <w:t>Albumin</w:t>
            </w:r>
          </w:p>
        </w:tc>
        <w:tc>
          <w:tcPr>
            <w:tcW w:w="3117" w:type="dxa"/>
            <w:tcBorders>
              <w:top w:val="nil"/>
              <w:bottom w:val="nil"/>
            </w:tcBorders>
            <w:vAlign w:val="center"/>
          </w:tcPr>
          <w:p w14:paraId="1503187D" w14:textId="77777777" w:rsidR="00C723C7" w:rsidRDefault="00000000">
            <w:pPr>
              <w:rPr>
                <w:rFonts w:ascii="Times New Roman" w:hAnsi="Times New Roman" w:cs="Times New Roman"/>
                <w:bCs/>
              </w:rPr>
            </w:pPr>
            <w:r>
              <w:rPr>
                <w:rFonts w:ascii="Times New Roman" w:eastAsia="宋体" w:hAnsi="Times New Roman" w:cs="Times New Roman"/>
                <w:kern w:val="0"/>
                <w:sz w:val="18"/>
                <w:szCs w:val="18"/>
              </w:rPr>
              <w:t>-0.0743513274</w:t>
            </w:r>
          </w:p>
        </w:tc>
      </w:tr>
      <w:tr w:rsidR="00C723C7" w14:paraId="0527C032" w14:textId="77777777">
        <w:trPr>
          <w:tblCellSpacing w:w="15" w:type="dxa"/>
        </w:trPr>
        <w:tc>
          <w:tcPr>
            <w:tcW w:w="0" w:type="auto"/>
            <w:tcBorders>
              <w:top w:val="nil"/>
              <w:bottom w:val="nil"/>
            </w:tcBorders>
            <w:vAlign w:val="center"/>
          </w:tcPr>
          <w:p w14:paraId="51867374" w14:textId="77777777" w:rsidR="00C723C7" w:rsidRDefault="00000000">
            <w:pPr>
              <w:rPr>
                <w:rFonts w:ascii="Times New Roman" w:hAnsi="Times New Roman" w:cs="Times New Roman"/>
                <w:bCs/>
              </w:rPr>
            </w:pPr>
            <w:r>
              <w:rPr>
                <w:rFonts w:ascii="Times New Roman" w:hAnsi="Times New Roman" w:cs="Times New Roman"/>
              </w:rPr>
              <w:t>Diabetes mellitus</w:t>
            </w:r>
          </w:p>
        </w:tc>
        <w:tc>
          <w:tcPr>
            <w:tcW w:w="3117" w:type="dxa"/>
            <w:tcBorders>
              <w:top w:val="nil"/>
              <w:bottom w:val="nil"/>
            </w:tcBorders>
            <w:vAlign w:val="center"/>
          </w:tcPr>
          <w:p w14:paraId="2E080800" w14:textId="77777777" w:rsidR="00C723C7" w:rsidRDefault="00000000">
            <w:pPr>
              <w:rPr>
                <w:rFonts w:ascii="Times New Roman" w:hAnsi="Times New Roman" w:cs="Times New Roman"/>
                <w:bCs/>
              </w:rPr>
            </w:pPr>
            <w:r>
              <w:rPr>
                <w:rFonts w:ascii="Times New Roman" w:eastAsia="宋体" w:hAnsi="Times New Roman" w:cs="Times New Roman"/>
                <w:kern w:val="0"/>
                <w:sz w:val="18"/>
                <w:szCs w:val="18"/>
              </w:rPr>
              <w:t>-0.0782733216</w:t>
            </w:r>
          </w:p>
        </w:tc>
      </w:tr>
      <w:tr w:rsidR="00C723C7" w14:paraId="0F0A1858" w14:textId="77777777">
        <w:trPr>
          <w:tblCellSpacing w:w="15" w:type="dxa"/>
        </w:trPr>
        <w:tc>
          <w:tcPr>
            <w:tcW w:w="0" w:type="auto"/>
            <w:tcBorders>
              <w:top w:val="nil"/>
              <w:bottom w:val="nil"/>
            </w:tcBorders>
            <w:vAlign w:val="center"/>
          </w:tcPr>
          <w:p w14:paraId="6104E99F" w14:textId="77777777" w:rsidR="00C723C7" w:rsidRDefault="00000000">
            <w:pPr>
              <w:rPr>
                <w:rFonts w:ascii="Times New Roman" w:hAnsi="Times New Roman" w:cs="Times New Roman"/>
                <w:bCs/>
              </w:rPr>
            </w:pPr>
            <w:r>
              <w:rPr>
                <w:rFonts w:ascii="Times New Roman" w:hAnsi="Times New Roman" w:cs="Times New Roman"/>
              </w:rPr>
              <w:t>Fibrinogen</w:t>
            </w:r>
          </w:p>
        </w:tc>
        <w:tc>
          <w:tcPr>
            <w:tcW w:w="3117" w:type="dxa"/>
            <w:tcBorders>
              <w:top w:val="nil"/>
              <w:bottom w:val="nil"/>
            </w:tcBorders>
            <w:vAlign w:val="center"/>
          </w:tcPr>
          <w:p w14:paraId="14836017" w14:textId="77777777" w:rsidR="00C723C7" w:rsidRDefault="00000000">
            <w:pPr>
              <w:rPr>
                <w:rFonts w:ascii="Times New Roman" w:hAnsi="Times New Roman" w:cs="Times New Roman"/>
                <w:bCs/>
              </w:rPr>
            </w:pPr>
            <w:r>
              <w:rPr>
                <w:rFonts w:ascii="Times New Roman" w:eastAsia="宋体" w:hAnsi="Times New Roman" w:cs="Times New Roman"/>
                <w:kern w:val="0"/>
                <w:sz w:val="18"/>
                <w:szCs w:val="18"/>
              </w:rPr>
              <w:t>-0.0581226436</w:t>
            </w:r>
          </w:p>
        </w:tc>
      </w:tr>
      <w:tr w:rsidR="00C723C7" w14:paraId="6F1E22D7" w14:textId="77777777">
        <w:trPr>
          <w:tblCellSpacing w:w="15" w:type="dxa"/>
        </w:trPr>
        <w:tc>
          <w:tcPr>
            <w:tcW w:w="0" w:type="auto"/>
            <w:tcBorders>
              <w:top w:val="nil"/>
              <w:bottom w:val="nil"/>
            </w:tcBorders>
            <w:vAlign w:val="center"/>
          </w:tcPr>
          <w:p w14:paraId="11548E1C" w14:textId="77777777" w:rsidR="00C723C7" w:rsidRDefault="00000000">
            <w:pPr>
              <w:rPr>
                <w:rFonts w:ascii="Times New Roman" w:hAnsi="Times New Roman" w:cs="Times New Roman"/>
                <w:bCs/>
              </w:rPr>
            </w:pPr>
            <w:r>
              <w:rPr>
                <w:rFonts w:ascii="Times New Roman" w:hAnsi="Times New Roman" w:cs="Times New Roman"/>
              </w:rPr>
              <w:t>Asthma</w:t>
            </w:r>
          </w:p>
        </w:tc>
        <w:tc>
          <w:tcPr>
            <w:tcW w:w="3117" w:type="dxa"/>
            <w:tcBorders>
              <w:top w:val="nil"/>
              <w:bottom w:val="nil"/>
            </w:tcBorders>
            <w:vAlign w:val="center"/>
          </w:tcPr>
          <w:p w14:paraId="73DC8D1A" w14:textId="77777777" w:rsidR="00C723C7" w:rsidRDefault="00000000">
            <w:pPr>
              <w:rPr>
                <w:rFonts w:ascii="Times New Roman" w:hAnsi="Times New Roman" w:cs="Times New Roman"/>
                <w:bCs/>
              </w:rPr>
            </w:pPr>
            <w:r>
              <w:rPr>
                <w:rFonts w:ascii="Times New Roman" w:eastAsia="宋体" w:hAnsi="Times New Roman" w:cs="Times New Roman"/>
                <w:kern w:val="0"/>
                <w:sz w:val="18"/>
                <w:szCs w:val="18"/>
              </w:rPr>
              <w:t>-0.127920487</w:t>
            </w:r>
          </w:p>
        </w:tc>
      </w:tr>
      <w:tr w:rsidR="00C723C7" w14:paraId="3B825A09" w14:textId="77777777">
        <w:trPr>
          <w:tblCellSpacing w:w="15" w:type="dxa"/>
        </w:trPr>
        <w:tc>
          <w:tcPr>
            <w:tcW w:w="0" w:type="auto"/>
            <w:tcBorders>
              <w:top w:val="nil"/>
              <w:bottom w:val="nil"/>
            </w:tcBorders>
            <w:vAlign w:val="center"/>
          </w:tcPr>
          <w:p w14:paraId="722B90CE" w14:textId="77777777" w:rsidR="00C723C7" w:rsidRDefault="00000000">
            <w:pPr>
              <w:rPr>
                <w:rFonts w:ascii="Times New Roman" w:hAnsi="Times New Roman" w:cs="Times New Roman"/>
                <w:bCs/>
              </w:rPr>
            </w:pPr>
            <w:r>
              <w:rPr>
                <w:rFonts w:ascii="Times New Roman" w:hAnsi="Times New Roman" w:cs="Times New Roman"/>
              </w:rPr>
              <w:t>Eosinophil percentage</w:t>
            </w:r>
          </w:p>
        </w:tc>
        <w:tc>
          <w:tcPr>
            <w:tcW w:w="3117" w:type="dxa"/>
            <w:tcBorders>
              <w:top w:val="nil"/>
              <w:bottom w:val="nil"/>
            </w:tcBorders>
            <w:vAlign w:val="center"/>
          </w:tcPr>
          <w:p w14:paraId="0C5F3509" w14:textId="77777777" w:rsidR="00C723C7" w:rsidRDefault="00000000">
            <w:pPr>
              <w:rPr>
                <w:rFonts w:ascii="Times New Roman" w:hAnsi="Times New Roman" w:cs="Times New Roman"/>
                <w:bCs/>
              </w:rPr>
            </w:pPr>
            <w:r>
              <w:rPr>
                <w:rFonts w:ascii="Times New Roman" w:eastAsia="宋体" w:hAnsi="Times New Roman" w:cs="Times New Roman"/>
                <w:kern w:val="0"/>
                <w:sz w:val="18"/>
                <w:szCs w:val="18"/>
              </w:rPr>
              <w:t>-0.179971609</w:t>
            </w:r>
          </w:p>
        </w:tc>
      </w:tr>
      <w:tr w:rsidR="00C723C7" w14:paraId="71C65995" w14:textId="77777777">
        <w:trPr>
          <w:tblCellSpacing w:w="15" w:type="dxa"/>
        </w:trPr>
        <w:tc>
          <w:tcPr>
            <w:tcW w:w="0" w:type="auto"/>
            <w:tcBorders>
              <w:top w:val="nil"/>
              <w:bottom w:val="nil"/>
            </w:tcBorders>
            <w:vAlign w:val="center"/>
          </w:tcPr>
          <w:p w14:paraId="12C4D4DA" w14:textId="77777777" w:rsidR="00C723C7" w:rsidRDefault="00000000">
            <w:pPr>
              <w:rPr>
                <w:rFonts w:ascii="Times New Roman" w:hAnsi="Times New Roman" w:cs="Times New Roman"/>
                <w:bCs/>
              </w:rPr>
            </w:pPr>
            <w:r>
              <w:rPr>
                <w:rFonts w:ascii="Times New Roman" w:hAnsi="Times New Roman" w:cs="Times New Roman"/>
              </w:rPr>
              <w:t>Monocyte percentage</w:t>
            </w:r>
          </w:p>
        </w:tc>
        <w:tc>
          <w:tcPr>
            <w:tcW w:w="3117" w:type="dxa"/>
            <w:tcBorders>
              <w:top w:val="nil"/>
              <w:bottom w:val="nil"/>
            </w:tcBorders>
            <w:vAlign w:val="center"/>
          </w:tcPr>
          <w:p w14:paraId="242670E9" w14:textId="77777777" w:rsidR="00C723C7" w:rsidRDefault="00000000">
            <w:pPr>
              <w:rPr>
                <w:rFonts w:ascii="Times New Roman" w:hAnsi="Times New Roman" w:cs="Times New Roman"/>
                <w:bCs/>
              </w:rPr>
            </w:pPr>
            <w:r>
              <w:rPr>
                <w:rFonts w:ascii="Times New Roman" w:eastAsia="宋体" w:hAnsi="Times New Roman" w:cs="Times New Roman"/>
                <w:kern w:val="0"/>
                <w:sz w:val="18"/>
                <w:szCs w:val="18"/>
              </w:rPr>
              <w:t>-0.0721661889</w:t>
            </w:r>
          </w:p>
        </w:tc>
      </w:tr>
      <w:tr w:rsidR="00C723C7" w14:paraId="4C40C919" w14:textId="77777777">
        <w:trPr>
          <w:tblCellSpacing w:w="15" w:type="dxa"/>
        </w:trPr>
        <w:tc>
          <w:tcPr>
            <w:tcW w:w="0" w:type="auto"/>
            <w:tcBorders>
              <w:top w:val="nil"/>
              <w:bottom w:val="nil"/>
            </w:tcBorders>
            <w:vAlign w:val="center"/>
          </w:tcPr>
          <w:p w14:paraId="61679925" w14:textId="77777777" w:rsidR="00C723C7" w:rsidRDefault="00000000">
            <w:pPr>
              <w:rPr>
                <w:rFonts w:ascii="Times New Roman" w:hAnsi="Times New Roman" w:cs="Times New Roman"/>
                <w:bCs/>
              </w:rPr>
            </w:pPr>
            <w:r>
              <w:rPr>
                <w:rFonts w:ascii="Times New Roman" w:hAnsi="Times New Roman" w:cs="Times New Roman"/>
              </w:rPr>
              <w:t>Arterial pH</w:t>
            </w:r>
          </w:p>
        </w:tc>
        <w:tc>
          <w:tcPr>
            <w:tcW w:w="3117" w:type="dxa"/>
            <w:tcBorders>
              <w:top w:val="nil"/>
              <w:bottom w:val="nil"/>
            </w:tcBorders>
            <w:vAlign w:val="center"/>
          </w:tcPr>
          <w:p w14:paraId="5E6B0F8F" w14:textId="77777777" w:rsidR="00C723C7" w:rsidRDefault="00000000">
            <w:pPr>
              <w:rPr>
                <w:rFonts w:ascii="Times New Roman" w:hAnsi="Times New Roman" w:cs="Times New Roman"/>
                <w:bCs/>
              </w:rPr>
            </w:pPr>
            <w:r>
              <w:rPr>
                <w:rFonts w:ascii="Times New Roman" w:eastAsia="宋体" w:hAnsi="Times New Roman" w:cs="Times New Roman"/>
                <w:kern w:val="0"/>
                <w:sz w:val="18"/>
                <w:szCs w:val="18"/>
              </w:rPr>
              <w:t>-0.105012730</w:t>
            </w:r>
          </w:p>
        </w:tc>
      </w:tr>
      <w:tr w:rsidR="00C723C7" w14:paraId="47CC8846" w14:textId="77777777">
        <w:trPr>
          <w:tblCellSpacing w:w="15" w:type="dxa"/>
        </w:trPr>
        <w:tc>
          <w:tcPr>
            <w:tcW w:w="0" w:type="auto"/>
            <w:tcBorders>
              <w:top w:val="nil"/>
              <w:bottom w:val="nil"/>
            </w:tcBorders>
            <w:vAlign w:val="center"/>
          </w:tcPr>
          <w:p w14:paraId="6C6FB05A" w14:textId="77777777" w:rsidR="00C723C7" w:rsidRDefault="00000000">
            <w:pPr>
              <w:rPr>
                <w:rFonts w:ascii="Times New Roman" w:hAnsi="Times New Roman" w:cs="Times New Roman"/>
                <w:bCs/>
              </w:rPr>
            </w:pPr>
            <w:r>
              <w:rPr>
                <w:rFonts w:ascii="Times New Roman" w:hAnsi="Times New Roman" w:cs="Times New Roman"/>
              </w:rPr>
              <w:t>Platelet count</w:t>
            </w:r>
          </w:p>
        </w:tc>
        <w:tc>
          <w:tcPr>
            <w:tcW w:w="3117" w:type="dxa"/>
            <w:tcBorders>
              <w:top w:val="nil"/>
              <w:bottom w:val="nil"/>
            </w:tcBorders>
            <w:vAlign w:val="center"/>
          </w:tcPr>
          <w:p w14:paraId="13CD5898" w14:textId="77777777" w:rsidR="00C723C7" w:rsidRDefault="00000000">
            <w:pPr>
              <w:rPr>
                <w:rFonts w:ascii="Times New Roman" w:hAnsi="Times New Roman" w:cs="Times New Roman"/>
                <w:bCs/>
              </w:rPr>
            </w:pPr>
            <w:r>
              <w:rPr>
                <w:rFonts w:ascii="Times New Roman" w:eastAsia="宋体" w:hAnsi="Times New Roman" w:cs="Times New Roman"/>
                <w:kern w:val="0"/>
                <w:sz w:val="18"/>
                <w:szCs w:val="18"/>
              </w:rPr>
              <w:t>-0.0817739484</w:t>
            </w:r>
          </w:p>
        </w:tc>
      </w:tr>
      <w:tr w:rsidR="00C723C7" w14:paraId="0D56C37A" w14:textId="77777777">
        <w:trPr>
          <w:tblCellSpacing w:w="15" w:type="dxa"/>
        </w:trPr>
        <w:tc>
          <w:tcPr>
            <w:tcW w:w="0" w:type="auto"/>
            <w:tcBorders>
              <w:top w:val="nil"/>
              <w:bottom w:val="nil"/>
            </w:tcBorders>
            <w:vAlign w:val="center"/>
          </w:tcPr>
          <w:p w14:paraId="0C94C318" w14:textId="77777777" w:rsidR="00C723C7" w:rsidRDefault="00000000">
            <w:pPr>
              <w:rPr>
                <w:rFonts w:ascii="Times New Roman" w:hAnsi="Times New Roman" w:cs="Times New Roman"/>
                <w:bCs/>
              </w:rPr>
            </w:pPr>
            <w:r>
              <w:rPr>
                <w:rFonts w:ascii="Times New Roman" w:hAnsi="Times New Roman" w:cs="Times New Roman"/>
              </w:rPr>
              <w:t>Urine output</w:t>
            </w:r>
          </w:p>
        </w:tc>
        <w:tc>
          <w:tcPr>
            <w:tcW w:w="3117" w:type="dxa"/>
            <w:tcBorders>
              <w:top w:val="nil"/>
              <w:bottom w:val="nil"/>
            </w:tcBorders>
            <w:vAlign w:val="center"/>
          </w:tcPr>
          <w:p w14:paraId="420D2525" w14:textId="77777777" w:rsidR="00C723C7" w:rsidRDefault="00000000">
            <w:pPr>
              <w:rPr>
                <w:rFonts w:ascii="Times New Roman" w:hAnsi="Times New Roman" w:cs="Times New Roman"/>
                <w:bCs/>
              </w:rPr>
            </w:pPr>
            <w:r>
              <w:rPr>
                <w:rFonts w:ascii="Times New Roman" w:eastAsia="宋体" w:hAnsi="Times New Roman" w:cs="Times New Roman"/>
                <w:kern w:val="0"/>
                <w:sz w:val="18"/>
                <w:szCs w:val="18"/>
              </w:rPr>
              <w:t>-0.107257029</w:t>
            </w:r>
          </w:p>
        </w:tc>
      </w:tr>
      <w:tr w:rsidR="00C723C7" w14:paraId="31CD081D" w14:textId="77777777">
        <w:trPr>
          <w:tblCellSpacing w:w="15" w:type="dxa"/>
        </w:trPr>
        <w:tc>
          <w:tcPr>
            <w:tcW w:w="0" w:type="auto"/>
            <w:tcBorders>
              <w:top w:val="nil"/>
              <w:bottom w:val="nil"/>
            </w:tcBorders>
            <w:vAlign w:val="center"/>
          </w:tcPr>
          <w:p w14:paraId="5495DA4A" w14:textId="77777777" w:rsidR="00C723C7" w:rsidRDefault="00000000">
            <w:pPr>
              <w:rPr>
                <w:rFonts w:ascii="Times New Roman" w:hAnsi="Times New Roman" w:cs="Times New Roman"/>
                <w:bCs/>
              </w:rPr>
            </w:pPr>
            <w:r>
              <w:rPr>
                <w:rFonts w:ascii="Times New Roman" w:hAnsi="Times New Roman" w:cs="Times New Roman"/>
              </w:rPr>
              <w:t>PaO₂/FiO₂ ratio</w:t>
            </w:r>
          </w:p>
        </w:tc>
        <w:tc>
          <w:tcPr>
            <w:tcW w:w="3117" w:type="dxa"/>
            <w:tcBorders>
              <w:top w:val="nil"/>
              <w:bottom w:val="nil"/>
            </w:tcBorders>
            <w:vAlign w:val="center"/>
          </w:tcPr>
          <w:p w14:paraId="13E420DA" w14:textId="77777777" w:rsidR="00C723C7" w:rsidRDefault="00000000">
            <w:pPr>
              <w:rPr>
                <w:rFonts w:ascii="Times New Roman" w:hAnsi="Times New Roman" w:cs="Times New Roman"/>
                <w:bCs/>
              </w:rPr>
            </w:pPr>
            <w:r>
              <w:rPr>
                <w:rFonts w:ascii="Times New Roman" w:eastAsia="宋体" w:hAnsi="Times New Roman" w:cs="Times New Roman"/>
                <w:kern w:val="0"/>
                <w:sz w:val="18"/>
                <w:szCs w:val="18"/>
              </w:rPr>
              <w:t>-0.201575927</w:t>
            </w:r>
          </w:p>
        </w:tc>
      </w:tr>
    </w:tbl>
    <w:p w14:paraId="51D16DC3" w14:textId="77777777" w:rsidR="00C723C7" w:rsidRDefault="00000000">
      <w:pPr>
        <w:rPr>
          <w:rFonts w:ascii="Times New Roman" w:hAnsi="Times New Roman" w:cs="Times New Roman"/>
          <w:bCs/>
        </w:rPr>
      </w:pPr>
      <w:r>
        <w:rPr>
          <w:rFonts w:ascii="Times New Roman" w:hAnsi="Times New Roman" w:cs="Times New Roman"/>
          <w:bCs/>
        </w:rPr>
        <w:t>Note: Total initial candidate clinical features = 75. After LASSO‑penalized logistic regression (λ = 0.0152), 30 non‑zero features were retained.</w:t>
      </w:r>
    </w:p>
    <w:p w14:paraId="0CD9EBF3" w14:textId="77777777" w:rsidR="00C723C7" w:rsidRDefault="00000000">
      <w:pPr>
        <w:rPr>
          <w:rFonts w:ascii="Times New Roman" w:hAnsi="Times New Roman" w:cs="Times New Roman"/>
          <w:bCs/>
        </w:rPr>
      </w:pPr>
      <w:r>
        <w:rPr>
          <w:rFonts w:ascii="Times New Roman" w:hAnsi="Times New Roman" w:cs="Times New Roman"/>
          <w:bCs/>
        </w:rPr>
        <w:t>Clin‑score = sum (feature × coefficient) + intercept.</w:t>
      </w:r>
    </w:p>
    <w:p w14:paraId="48200005" w14:textId="77777777" w:rsidR="00C723C7" w:rsidRDefault="00C723C7">
      <w:pPr>
        <w:rPr>
          <w:rFonts w:ascii="Times New Roman" w:hAnsi="Times New Roman" w:cs="Times New Roman"/>
          <w:b/>
        </w:rPr>
      </w:pPr>
    </w:p>
    <w:p w14:paraId="0D9D8021" w14:textId="77777777" w:rsidR="00C723C7" w:rsidRDefault="00C723C7">
      <w:pPr>
        <w:rPr>
          <w:rFonts w:ascii="Times New Roman" w:hAnsi="Times New Roman" w:cs="Times New Roman"/>
          <w:b/>
        </w:rPr>
      </w:pPr>
    </w:p>
    <w:p w14:paraId="08D2C506" w14:textId="77777777" w:rsidR="00C723C7" w:rsidRDefault="00C723C7">
      <w:pPr>
        <w:rPr>
          <w:rFonts w:ascii="Times New Roman" w:hAnsi="Times New Roman" w:cs="Times New Roman"/>
          <w:b/>
        </w:rPr>
      </w:pPr>
    </w:p>
    <w:p w14:paraId="32DCA91B" w14:textId="01C2CA8C" w:rsidR="00C723C7" w:rsidRDefault="00000000">
      <w:pPr>
        <w:rPr>
          <w:rFonts w:ascii="Times New Roman" w:hAnsi="Times New Roman" w:cs="Times New Roman"/>
          <w:bCs/>
        </w:rPr>
      </w:pPr>
      <w:r>
        <w:rPr>
          <w:rFonts w:ascii="Times New Roman" w:hAnsi="Times New Roman" w:cs="Times New Roman"/>
          <w:b/>
        </w:rPr>
        <w:lastRenderedPageBreak/>
        <w:t>Table S</w:t>
      </w:r>
      <w:r w:rsidR="00ED3BE8">
        <w:rPr>
          <w:rFonts w:ascii="Times New Roman" w:hAnsi="Times New Roman" w:cs="Times New Roman" w:hint="eastAsia"/>
          <w:b/>
        </w:rPr>
        <w:t>7</w:t>
      </w:r>
      <w:r>
        <w:rPr>
          <w:rFonts w:ascii="Times New Roman" w:hAnsi="Times New Roman" w:cs="Times New Roman" w:hint="eastAsia"/>
          <w:b/>
        </w:rPr>
        <w:t>.</w:t>
      </w:r>
      <w:r>
        <w:rPr>
          <w:rFonts w:ascii="Times New Roman" w:hAnsi="Times New Roman" w:cs="Times New Roman"/>
          <w:b/>
        </w:rPr>
        <w:t xml:space="preserve"> Selected radiomic features and </w:t>
      </w:r>
      <w:r>
        <w:rPr>
          <w:rFonts w:ascii="Times New Roman" w:hAnsi="Times New Roman" w:cs="Times New Roman" w:hint="eastAsia"/>
          <w:b/>
        </w:rPr>
        <w:t xml:space="preserve">logistic </w:t>
      </w:r>
      <w:r>
        <w:rPr>
          <w:rFonts w:ascii="Times New Roman" w:hAnsi="Times New Roman" w:cs="Times New Roman"/>
          <w:b/>
        </w:rPr>
        <w:t xml:space="preserve">coefficients for </w:t>
      </w:r>
      <w:r>
        <w:rPr>
          <w:rFonts w:ascii="Times New Roman" w:hAnsi="Times New Roman" w:cs="Times New Roman" w:hint="eastAsia"/>
          <w:b/>
        </w:rPr>
        <w:t>radiomics model.</w:t>
      </w:r>
    </w:p>
    <w:tbl>
      <w:tblPr>
        <w:tblW w:w="5000" w:type="pct"/>
        <w:tblCellMar>
          <w:top w:w="15" w:type="dxa"/>
          <w:left w:w="15" w:type="dxa"/>
          <w:bottom w:w="15" w:type="dxa"/>
          <w:right w:w="15" w:type="dxa"/>
        </w:tblCellMar>
        <w:tblLook w:val="04A0" w:firstRow="1" w:lastRow="0" w:firstColumn="1" w:lastColumn="0" w:noHBand="0" w:noVBand="1"/>
      </w:tblPr>
      <w:tblGrid>
        <w:gridCol w:w="6103"/>
        <w:gridCol w:w="2187"/>
      </w:tblGrid>
      <w:tr w:rsidR="00C723C7" w14:paraId="1525C26D" w14:textId="77777777">
        <w:trPr>
          <w:tblHeader/>
        </w:trPr>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47218C61" w14:textId="77777777" w:rsidR="00C723C7" w:rsidRDefault="00000000">
            <w:pPr>
              <w:widowControl/>
              <w:jc w:val="left"/>
              <w:rPr>
                <w:rFonts w:ascii="Times New Roman" w:eastAsia="宋体" w:hAnsi="Times New Roman" w:cs="Times New Roman"/>
                <w:b/>
                <w:bCs/>
                <w:kern w:val="0"/>
                <w:sz w:val="18"/>
                <w:szCs w:val="18"/>
              </w:rPr>
            </w:pPr>
            <w:r>
              <w:rPr>
                <w:rFonts w:ascii="Times New Roman" w:eastAsia="宋体" w:hAnsi="Times New Roman" w:cs="Times New Roman"/>
                <w:b/>
                <w:bCs/>
                <w:kern w:val="0"/>
                <w:sz w:val="18"/>
                <w:szCs w:val="18"/>
              </w:rPr>
              <w:t>Feature</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6D1336AF" w14:textId="77777777" w:rsidR="00C723C7" w:rsidRDefault="00000000">
            <w:pPr>
              <w:widowControl/>
              <w:jc w:val="left"/>
              <w:rPr>
                <w:rFonts w:ascii="Times New Roman" w:eastAsia="宋体" w:hAnsi="Times New Roman" w:cs="Times New Roman"/>
                <w:b/>
                <w:bCs/>
                <w:kern w:val="0"/>
                <w:sz w:val="18"/>
                <w:szCs w:val="18"/>
              </w:rPr>
            </w:pPr>
            <w:r>
              <w:rPr>
                <w:rFonts w:ascii="Times New Roman" w:eastAsia="宋体" w:hAnsi="Times New Roman" w:cs="Times New Roman"/>
                <w:b/>
                <w:bCs/>
                <w:kern w:val="0"/>
                <w:sz w:val="18"/>
                <w:szCs w:val="18"/>
              </w:rPr>
              <w:t>Coefficient</w:t>
            </w:r>
          </w:p>
        </w:tc>
      </w:tr>
      <w:tr w:rsidR="00C723C7" w14:paraId="2E1A747B"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64A083F8" w14:textId="77777777" w:rsidR="00C723C7" w:rsidRDefault="00000000">
            <w:pPr>
              <w:widowControl/>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original_firstorder_10Percentile</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7CF3C005" w14:textId="77777777" w:rsidR="00C723C7" w:rsidRDefault="00000000">
            <w:pPr>
              <w:widowControl/>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-0.143006225</w:t>
            </w:r>
          </w:p>
        </w:tc>
      </w:tr>
      <w:tr w:rsidR="00C723C7" w14:paraId="2332CE5D"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47F3657B" w14:textId="77777777" w:rsidR="00C723C7" w:rsidRDefault="00000000">
            <w:pPr>
              <w:widowControl/>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original_firstorder_90Percentile</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5F88EE82" w14:textId="77777777" w:rsidR="00C723C7" w:rsidRDefault="00000000">
            <w:pPr>
              <w:widowControl/>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-0.199796355</w:t>
            </w:r>
          </w:p>
        </w:tc>
      </w:tr>
      <w:tr w:rsidR="00C723C7" w14:paraId="70F143ED"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6F239728" w14:textId="77777777" w:rsidR="00C723C7" w:rsidRDefault="00000000">
            <w:pPr>
              <w:widowControl/>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original_firstorder_Kurtosis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436ABD69" w14:textId="77777777" w:rsidR="00C723C7" w:rsidRDefault="00000000">
            <w:pPr>
              <w:widowControl/>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-0.00201572842</w:t>
            </w:r>
          </w:p>
        </w:tc>
      </w:tr>
      <w:tr w:rsidR="00C723C7" w14:paraId="177903FB"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72C7D2AE" w14:textId="77777777" w:rsidR="00C723C7" w:rsidRDefault="00000000">
            <w:pPr>
              <w:widowControl/>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original_firstorder_Maximum</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76EA5984" w14:textId="77777777" w:rsidR="00C723C7" w:rsidRDefault="00000000">
            <w:pPr>
              <w:widowControl/>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0.0566138703</w:t>
            </w:r>
          </w:p>
        </w:tc>
      </w:tr>
      <w:tr w:rsidR="00C723C7" w14:paraId="6C673324"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189A84BC" w14:textId="77777777" w:rsidR="00C723C7" w:rsidRDefault="00000000">
            <w:pPr>
              <w:widowControl/>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original_firstorder_Minimum</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7AE2DDE2" w14:textId="77777777" w:rsidR="00C723C7" w:rsidRDefault="00000000">
            <w:pPr>
              <w:widowControl/>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-0.00623430823</w:t>
            </w:r>
          </w:p>
        </w:tc>
      </w:tr>
      <w:tr w:rsidR="00C723C7" w14:paraId="0F92B9ED"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4E21D8A6" w14:textId="77777777" w:rsidR="00C723C7" w:rsidRDefault="00000000">
            <w:pPr>
              <w:widowControl/>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original_firstorder_RobustMeanAbsoluteDeviation</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038139CA" w14:textId="77777777" w:rsidR="00C723C7" w:rsidRDefault="00000000">
            <w:pPr>
              <w:widowControl/>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-0.228109750</w:t>
            </w:r>
          </w:p>
        </w:tc>
      </w:tr>
      <w:tr w:rsidR="00C723C7" w14:paraId="6B30F18A"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0AF36DC7" w14:textId="77777777" w:rsidR="00C723C7" w:rsidRDefault="00000000">
            <w:pPr>
              <w:widowControl/>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original_firstorder_Skewness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37C71301" w14:textId="77777777" w:rsidR="00C723C7" w:rsidRDefault="00000000">
            <w:pPr>
              <w:widowControl/>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-0.477695825</w:t>
            </w:r>
          </w:p>
        </w:tc>
      </w:tr>
      <w:tr w:rsidR="00C723C7" w14:paraId="69C19B98"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4FAF35B7" w14:textId="77777777" w:rsidR="00C723C7" w:rsidRDefault="00000000">
            <w:pPr>
              <w:widowControl/>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original_shape_Maximum2DDiameterRow</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0FAC8D9E" w14:textId="77777777" w:rsidR="00C723C7" w:rsidRDefault="00000000">
            <w:pPr>
              <w:widowControl/>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0.0294933538</w:t>
            </w:r>
          </w:p>
        </w:tc>
      </w:tr>
      <w:tr w:rsidR="00C723C7" w14:paraId="46A771A4"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437B1513" w14:textId="77777777" w:rsidR="00C723C7" w:rsidRDefault="00000000">
            <w:pPr>
              <w:widowControl/>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original_shape_Maximum2DDiameterSlice</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63E4413B" w14:textId="77777777" w:rsidR="00C723C7" w:rsidRDefault="00000000">
            <w:pPr>
              <w:widowControl/>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-0.181315262</w:t>
            </w:r>
          </w:p>
        </w:tc>
      </w:tr>
      <w:tr w:rsidR="00C723C7" w14:paraId="4CFE52AC"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20BF6810" w14:textId="77777777" w:rsidR="00C723C7" w:rsidRDefault="00000000">
            <w:pPr>
              <w:widowControl/>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original_shape_Maximum3DDiameter</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6A07EC3A" w14:textId="77777777" w:rsidR="00C723C7" w:rsidRDefault="00000000">
            <w:pPr>
              <w:widowControl/>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0.0959745811</w:t>
            </w:r>
          </w:p>
        </w:tc>
      </w:tr>
      <w:tr w:rsidR="00C723C7" w14:paraId="6262D5FC"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53B67603" w14:textId="77777777" w:rsidR="00C723C7" w:rsidRDefault="00000000">
            <w:pPr>
              <w:widowControl/>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original_shape_Sphericity</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19DA2FA7" w14:textId="77777777" w:rsidR="00C723C7" w:rsidRDefault="00000000">
            <w:pPr>
              <w:widowControl/>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0.0294365875</w:t>
            </w:r>
          </w:p>
        </w:tc>
      </w:tr>
      <w:tr w:rsidR="00C723C7" w14:paraId="490C1D40"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04B806DB" w14:textId="77777777" w:rsidR="00C723C7" w:rsidRDefault="00000000">
            <w:pPr>
              <w:widowControl/>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original_glcm_DifferenceVariance</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22EBBF06" w14:textId="77777777" w:rsidR="00C723C7" w:rsidRDefault="00000000">
            <w:pPr>
              <w:widowControl/>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0.105633662</w:t>
            </w:r>
          </w:p>
        </w:tc>
      </w:tr>
      <w:tr w:rsidR="00C723C7" w14:paraId="59F0B315"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70CAF272" w14:textId="77777777" w:rsidR="00C723C7" w:rsidRDefault="00000000">
            <w:pPr>
              <w:widowControl/>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original_glcm_SumEntropy</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34C3E338" w14:textId="77777777" w:rsidR="00C723C7" w:rsidRDefault="00000000">
            <w:pPr>
              <w:widowControl/>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0.228922079</w:t>
            </w:r>
          </w:p>
        </w:tc>
      </w:tr>
      <w:tr w:rsidR="00C723C7" w14:paraId="52D1B7D8"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0213215F" w14:textId="77777777" w:rsidR="00C723C7" w:rsidRDefault="00000000">
            <w:pPr>
              <w:widowControl/>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original_glrlm_LongRunLowGrayLevelEmphasis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32F3ECD7" w14:textId="77777777" w:rsidR="00C723C7" w:rsidRDefault="00000000">
            <w:pPr>
              <w:widowControl/>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-0.0189119086</w:t>
            </w:r>
          </w:p>
        </w:tc>
      </w:tr>
      <w:tr w:rsidR="00C723C7" w14:paraId="6521E1F1"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5286ABBD" w14:textId="77777777" w:rsidR="00C723C7" w:rsidRDefault="00000000">
            <w:pPr>
              <w:widowControl/>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original_glszm_GrayLevelVariance</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13775C70" w14:textId="77777777" w:rsidR="00C723C7" w:rsidRDefault="00000000">
            <w:pPr>
              <w:widowControl/>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-0.0172315423</w:t>
            </w:r>
          </w:p>
        </w:tc>
      </w:tr>
      <w:tr w:rsidR="00C723C7" w14:paraId="0E179398"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5FE5CFA9" w14:textId="77777777" w:rsidR="00C723C7" w:rsidRDefault="00000000">
            <w:pPr>
              <w:widowControl/>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original_glszm_LargeAreaEmphasis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0E5C82EE" w14:textId="77777777" w:rsidR="00C723C7" w:rsidRDefault="00000000">
            <w:pPr>
              <w:widowControl/>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0.0142192835</w:t>
            </w:r>
          </w:p>
        </w:tc>
      </w:tr>
      <w:tr w:rsidR="00C723C7" w14:paraId="46DC8787"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3985EB5C" w14:textId="77777777" w:rsidR="00C723C7" w:rsidRDefault="00000000">
            <w:pPr>
              <w:widowControl/>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original_glszm_LargeAreaHighGrayLevelEmphasis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61A30AA7" w14:textId="77777777" w:rsidR="00C723C7" w:rsidRDefault="00000000">
            <w:pPr>
              <w:widowControl/>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-0.0605265283</w:t>
            </w:r>
          </w:p>
        </w:tc>
      </w:tr>
      <w:tr w:rsidR="00C723C7" w14:paraId="049055BA"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15481E3D" w14:textId="77777777" w:rsidR="00C723C7" w:rsidRDefault="00000000">
            <w:pPr>
              <w:widowControl/>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original_glszm_SizeZoneNonUniformityNormalized</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0ABCB59F" w14:textId="77777777" w:rsidR="00C723C7" w:rsidRDefault="00000000">
            <w:pPr>
              <w:widowControl/>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-0.170049991</w:t>
            </w:r>
          </w:p>
        </w:tc>
      </w:tr>
      <w:tr w:rsidR="00C723C7" w14:paraId="5D5DB14A"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3035868E" w14:textId="77777777" w:rsidR="00C723C7" w:rsidRDefault="00000000">
            <w:pPr>
              <w:widowControl/>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original_glszm_ZoneVariance</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1077C217" w14:textId="77777777" w:rsidR="00C723C7" w:rsidRDefault="00000000">
            <w:pPr>
              <w:widowControl/>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0.0142313074</w:t>
            </w:r>
          </w:p>
        </w:tc>
      </w:tr>
      <w:tr w:rsidR="00C723C7" w14:paraId="06E3C229"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6E6741EA" w14:textId="77777777" w:rsidR="00C723C7" w:rsidRDefault="00000000">
            <w:pPr>
              <w:widowControl/>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original_gldm_DependenceEntropy</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0A58ACA4" w14:textId="77777777" w:rsidR="00C723C7" w:rsidRDefault="00000000">
            <w:pPr>
              <w:widowControl/>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-0.0235762644</w:t>
            </w:r>
          </w:p>
        </w:tc>
      </w:tr>
      <w:tr w:rsidR="00C723C7" w14:paraId="2DF93871"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6A9C434F" w14:textId="77777777" w:rsidR="00C723C7" w:rsidRDefault="00000000">
            <w:pPr>
              <w:widowControl/>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original_gldm_DependenceVariance</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07CF122F" w14:textId="77777777" w:rsidR="00C723C7" w:rsidRDefault="00000000">
            <w:pPr>
              <w:widowControl/>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0.101408323</w:t>
            </w:r>
          </w:p>
        </w:tc>
      </w:tr>
      <w:tr w:rsidR="00C723C7" w14:paraId="1FD972C3"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4CF716B3" w14:textId="77777777" w:rsidR="00C723C7" w:rsidRDefault="00000000">
            <w:pPr>
              <w:widowControl/>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original_gldm_GrayLevelNonUniformity</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3E2EAE17" w14:textId="77777777" w:rsidR="00C723C7" w:rsidRDefault="00000000">
            <w:pPr>
              <w:widowControl/>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0.000346427115</w:t>
            </w:r>
          </w:p>
        </w:tc>
      </w:tr>
      <w:tr w:rsidR="00C723C7" w14:paraId="62F14CE1"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74146479" w14:textId="77777777" w:rsidR="00C723C7" w:rsidRDefault="00000000">
            <w:pPr>
              <w:widowControl/>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lastRenderedPageBreak/>
              <w:t>original_ngtdm_Busyness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4D5F7AA8" w14:textId="77777777" w:rsidR="00C723C7" w:rsidRDefault="00000000">
            <w:pPr>
              <w:widowControl/>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-0.0421280436</w:t>
            </w:r>
          </w:p>
        </w:tc>
      </w:tr>
      <w:tr w:rsidR="00C723C7" w14:paraId="766D0F83"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5E1F4960" w14:textId="77777777" w:rsidR="00C723C7" w:rsidRDefault="00000000">
            <w:pPr>
              <w:widowControl/>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original_ngtdm_Complexity</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714EC874" w14:textId="77777777" w:rsidR="00C723C7" w:rsidRDefault="00000000">
            <w:pPr>
              <w:widowControl/>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-0.0786800054</w:t>
            </w:r>
          </w:p>
        </w:tc>
      </w:tr>
      <w:tr w:rsidR="00C723C7" w14:paraId="607FAD2E"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50F8FAB7" w14:textId="77777777" w:rsidR="00C723C7" w:rsidRDefault="00000000">
            <w:pPr>
              <w:widowControl/>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original_ngtdm_Contrast</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7AB72E7F" w14:textId="77777777" w:rsidR="00C723C7" w:rsidRDefault="00000000">
            <w:pPr>
              <w:widowControl/>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0.0794919585</w:t>
            </w:r>
          </w:p>
        </w:tc>
      </w:tr>
    </w:tbl>
    <w:p w14:paraId="1D239F0C" w14:textId="77777777" w:rsidR="00C723C7" w:rsidRDefault="00C723C7">
      <w:pPr>
        <w:rPr>
          <w:rFonts w:ascii="Times New Roman" w:hAnsi="Times New Roman" w:cs="Times New Roman"/>
          <w:sz w:val="18"/>
          <w:szCs w:val="18"/>
        </w:rPr>
      </w:pPr>
    </w:p>
    <w:p w14:paraId="7A9940F5" w14:textId="77777777" w:rsidR="00C723C7" w:rsidRDefault="00000000">
      <w:pPr>
        <w:rPr>
          <w:rFonts w:ascii="Times New Roman" w:hAnsi="Times New Roman" w:cs="Times New Roman"/>
          <w:sz w:val="18"/>
          <w:szCs w:val="18"/>
        </w:rPr>
      </w:pPr>
      <w:r>
        <w:rPr>
          <w:rFonts w:ascii="Times New Roman" w:hAnsi="Times New Roman" w:cs="Times New Roman"/>
          <w:sz w:val="18"/>
          <w:szCs w:val="18"/>
        </w:rPr>
        <w:t>Intercept = -0.48469257</w:t>
      </w:r>
    </w:p>
    <w:p w14:paraId="645E00A5" w14:textId="77777777" w:rsidR="00C723C7" w:rsidRDefault="00C723C7">
      <w:pPr>
        <w:rPr>
          <w:rFonts w:ascii="Times New Roman" w:hAnsi="Times New Roman" w:cs="Times New Roman"/>
          <w:sz w:val="18"/>
          <w:szCs w:val="18"/>
        </w:rPr>
      </w:pPr>
    </w:p>
    <w:p w14:paraId="50FB1385" w14:textId="77777777" w:rsidR="00C723C7" w:rsidRDefault="00C723C7">
      <w:pPr>
        <w:rPr>
          <w:rFonts w:ascii="Times New Roman" w:hAnsi="Times New Roman" w:cs="Times New Roman"/>
          <w:b/>
          <w:bCs/>
        </w:rPr>
      </w:pPr>
    </w:p>
    <w:p w14:paraId="75442723" w14:textId="77777777" w:rsidR="00C723C7" w:rsidRDefault="00C723C7">
      <w:pPr>
        <w:rPr>
          <w:rFonts w:ascii="Times New Roman" w:hAnsi="Times New Roman" w:cs="Times New Roman"/>
          <w:b/>
          <w:bCs/>
        </w:rPr>
      </w:pPr>
    </w:p>
    <w:p w14:paraId="2077E389" w14:textId="77777777" w:rsidR="00C723C7" w:rsidRDefault="00C723C7">
      <w:pPr>
        <w:rPr>
          <w:rFonts w:ascii="Times New Roman" w:hAnsi="Times New Roman" w:cs="Times New Roman"/>
          <w:b/>
          <w:bCs/>
        </w:rPr>
      </w:pPr>
    </w:p>
    <w:p w14:paraId="43130784" w14:textId="77777777" w:rsidR="00C723C7" w:rsidRDefault="00C723C7">
      <w:pPr>
        <w:rPr>
          <w:rFonts w:ascii="Times New Roman" w:hAnsi="Times New Roman" w:cs="Times New Roman"/>
          <w:b/>
          <w:bCs/>
        </w:rPr>
      </w:pPr>
    </w:p>
    <w:p w14:paraId="22DD1635" w14:textId="5D2E2590" w:rsidR="00C723C7" w:rsidRDefault="00000000">
      <w:pPr>
        <w:widowControl/>
        <w:jc w:val="left"/>
        <w:rPr>
          <w:rFonts w:ascii="Times New Roman" w:hAnsi="Times New Roman" w:cs="Times New Roman"/>
          <w:b/>
          <w:bCs/>
        </w:rPr>
      </w:pPr>
      <w:r>
        <w:rPr>
          <w:rFonts w:ascii="Times New Roman" w:hAnsi="Times New Roman" w:cs="Times New Roman"/>
          <w:b/>
          <w:bCs/>
        </w:rPr>
        <w:br w:type="page"/>
      </w:r>
      <w:r>
        <w:rPr>
          <w:rFonts w:ascii="Times New Roman" w:hAnsi="Times New Roman" w:cs="Times New Roman"/>
          <w:b/>
          <w:bCs/>
        </w:rPr>
        <w:lastRenderedPageBreak/>
        <w:t>Table S</w:t>
      </w:r>
      <w:r w:rsidR="00ED3BE8">
        <w:rPr>
          <w:rFonts w:ascii="Times New Roman" w:hAnsi="Times New Roman" w:cs="Times New Roman" w:hint="eastAsia"/>
          <w:b/>
          <w:bCs/>
        </w:rPr>
        <w:t>8</w:t>
      </w:r>
      <w:r>
        <w:rPr>
          <w:rFonts w:ascii="Times New Roman" w:hAnsi="Times New Roman" w:cs="Times New Roman" w:hint="eastAsia"/>
          <w:b/>
          <w:bCs/>
        </w:rPr>
        <w:t xml:space="preserve">. </w:t>
      </w:r>
      <w:r>
        <w:rPr>
          <w:rFonts w:ascii="Times New Roman" w:hAnsi="Times New Roman" w:cs="Times New Roman"/>
          <w:b/>
          <w:bCs/>
        </w:rPr>
        <w:t>ARDS‑Net Hyper‑parameters</w:t>
      </w:r>
    </w:p>
    <w:tbl>
      <w:tblPr>
        <w:tblW w:w="5000" w:type="pct"/>
        <w:tblCellMar>
          <w:top w:w="15" w:type="dxa"/>
          <w:left w:w="15" w:type="dxa"/>
          <w:bottom w:w="15" w:type="dxa"/>
          <w:right w:w="15" w:type="dxa"/>
        </w:tblCellMar>
        <w:tblLook w:val="04A0" w:firstRow="1" w:lastRow="0" w:firstColumn="1" w:lastColumn="0" w:noHBand="0" w:noVBand="1"/>
      </w:tblPr>
      <w:tblGrid>
        <w:gridCol w:w="2204"/>
        <w:gridCol w:w="6086"/>
      </w:tblGrid>
      <w:tr w:rsidR="00C723C7" w14:paraId="5647358A" w14:textId="77777777">
        <w:trPr>
          <w:tblHeader/>
        </w:trPr>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16A9C1AE" w14:textId="77777777" w:rsidR="00C723C7" w:rsidRDefault="00000000">
            <w:pPr>
              <w:widowControl/>
              <w:jc w:val="left"/>
              <w:rPr>
                <w:rFonts w:ascii="Times New Roman" w:eastAsia="宋体" w:hAnsi="Times New Roman" w:cs="Times New Roman"/>
                <w:b/>
                <w:bCs/>
                <w:kern w:val="0"/>
                <w:sz w:val="20"/>
                <w:szCs w:val="20"/>
              </w:rPr>
            </w:pPr>
            <w:r>
              <w:rPr>
                <w:rFonts w:ascii="Times New Roman" w:eastAsia="宋体" w:hAnsi="Times New Roman" w:cs="Times New Roman" w:hint="eastAsia"/>
                <w:b/>
                <w:bCs/>
                <w:kern w:val="0"/>
                <w:sz w:val="20"/>
                <w:szCs w:val="20"/>
              </w:rPr>
              <w:t>Parameter</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0977DC33" w14:textId="77777777" w:rsidR="00C723C7" w:rsidRDefault="00000000">
            <w:pPr>
              <w:widowControl/>
              <w:jc w:val="left"/>
              <w:rPr>
                <w:rFonts w:ascii="Times New Roman" w:eastAsia="宋体" w:hAnsi="Times New Roman" w:cs="Times New Roman"/>
                <w:b/>
                <w:bCs/>
                <w:kern w:val="0"/>
                <w:sz w:val="20"/>
                <w:szCs w:val="20"/>
              </w:rPr>
            </w:pPr>
            <w:r>
              <w:rPr>
                <w:rFonts w:ascii="Times New Roman" w:eastAsia="宋体" w:hAnsi="Times New Roman" w:cs="Times New Roman" w:hint="eastAsia"/>
                <w:b/>
                <w:bCs/>
                <w:kern w:val="0"/>
                <w:sz w:val="20"/>
                <w:szCs w:val="20"/>
              </w:rPr>
              <w:t>Value</w:t>
            </w:r>
          </w:p>
        </w:tc>
      </w:tr>
      <w:tr w:rsidR="00C723C7" w14:paraId="4EFCE07C"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04DDE500" w14:textId="77777777" w:rsidR="00C723C7" w:rsidRDefault="00000000">
            <w:pPr>
              <w:widowControl/>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Network backbone</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4FA6D9C3" w14:textId="77777777" w:rsidR="00C723C7" w:rsidRDefault="00000000">
            <w:pPr>
              <w:widowControl/>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ResidualNetUseMask (3D ResNet</w:t>
            </w:r>
            <w:r>
              <w:rPr>
                <w:rFonts w:ascii="Times New Roman" w:eastAsia="宋体" w:hAnsi="Times New Roman" w:cs="Times New Roman" w:hint="eastAsia"/>
                <w:kern w:val="0"/>
                <w:sz w:val="20"/>
                <w:szCs w:val="20"/>
              </w:rPr>
              <w:noBreakHyphen/>
              <w:t>based)</w:t>
            </w:r>
          </w:p>
        </w:tc>
      </w:tr>
      <w:tr w:rsidR="00C723C7" w14:paraId="55E99E88"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563CDC4C" w14:textId="77777777" w:rsidR="00C723C7" w:rsidRDefault="00000000">
            <w:pPr>
              <w:widowControl/>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Input crop size</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77DC34FC" w14:textId="77777777" w:rsidR="00C723C7" w:rsidRDefault="00000000">
            <w:pPr>
              <w:widowControl/>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 xml:space="preserve">256 </w:t>
            </w:r>
            <w:r>
              <w:rPr>
                <w:rFonts w:ascii="Times New Roman" w:eastAsia="宋体" w:hAnsi="Times New Roman" w:cs="Times New Roman" w:hint="eastAsia"/>
                <w:kern w:val="0"/>
                <w:sz w:val="20"/>
                <w:szCs w:val="20"/>
              </w:rPr>
              <w:t>×</w:t>
            </w:r>
            <w:r>
              <w:rPr>
                <w:rFonts w:ascii="Times New Roman" w:eastAsia="宋体" w:hAnsi="Times New Roman" w:cs="Times New Roman" w:hint="eastAsia"/>
                <w:kern w:val="0"/>
                <w:sz w:val="20"/>
                <w:szCs w:val="20"/>
              </w:rPr>
              <w:t xml:space="preserve"> 256 </w:t>
            </w:r>
            <w:r>
              <w:rPr>
                <w:rFonts w:ascii="Times New Roman" w:eastAsia="宋体" w:hAnsi="Times New Roman" w:cs="Times New Roman" w:hint="eastAsia"/>
                <w:kern w:val="0"/>
                <w:sz w:val="20"/>
                <w:szCs w:val="20"/>
              </w:rPr>
              <w:t>×</w:t>
            </w:r>
            <w:r>
              <w:rPr>
                <w:rFonts w:ascii="Times New Roman" w:eastAsia="宋体" w:hAnsi="Times New Roman" w:cs="Times New Roman" w:hint="eastAsia"/>
                <w:kern w:val="0"/>
                <w:sz w:val="20"/>
                <w:szCs w:val="20"/>
              </w:rPr>
              <w:t xml:space="preserve"> 128</w:t>
            </w:r>
          </w:p>
        </w:tc>
      </w:tr>
      <w:tr w:rsidR="00C723C7" w14:paraId="3C60F98F"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7E73B253" w14:textId="77777777" w:rsidR="00C723C7" w:rsidRDefault="00000000">
            <w:pPr>
              <w:widowControl/>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Voxel spacing [w,h,d]</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378D2213" w14:textId="77777777" w:rsidR="00C723C7" w:rsidRDefault="00000000">
            <w:pPr>
              <w:widowControl/>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1</w:t>
            </w:r>
            <w:r>
              <w:rPr>
                <w:rFonts w:ascii="Times New Roman" w:eastAsia="宋体" w:hAnsi="Times New Roman" w:cs="Times New Roman"/>
                <w:kern w:val="0"/>
                <w:sz w:val="20"/>
                <w:szCs w:val="20"/>
              </w:rPr>
              <w:t> </w:t>
            </w:r>
            <w:r>
              <w:rPr>
                <w:rFonts w:ascii="Times New Roman" w:eastAsia="宋体" w:hAnsi="Times New Roman" w:cs="Times New Roman" w:hint="eastAsia"/>
                <w:kern w:val="0"/>
                <w:sz w:val="20"/>
                <w:szCs w:val="20"/>
              </w:rPr>
              <w:t>mm, 1</w:t>
            </w:r>
            <w:r>
              <w:rPr>
                <w:rFonts w:ascii="Times New Roman" w:eastAsia="宋体" w:hAnsi="Times New Roman" w:cs="Times New Roman"/>
                <w:kern w:val="0"/>
                <w:sz w:val="20"/>
                <w:szCs w:val="20"/>
              </w:rPr>
              <w:t> </w:t>
            </w:r>
            <w:r>
              <w:rPr>
                <w:rFonts w:ascii="Times New Roman" w:eastAsia="宋体" w:hAnsi="Times New Roman" w:cs="Times New Roman" w:hint="eastAsia"/>
                <w:kern w:val="0"/>
                <w:sz w:val="20"/>
                <w:szCs w:val="20"/>
              </w:rPr>
              <w:t>mm, 3</w:t>
            </w:r>
            <w:r>
              <w:rPr>
                <w:rFonts w:ascii="Times New Roman" w:eastAsia="宋体" w:hAnsi="Times New Roman" w:cs="Times New Roman"/>
                <w:kern w:val="0"/>
                <w:sz w:val="20"/>
                <w:szCs w:val="20"/>
              </w:rPr>
              <w:t> </w:t>
            </w:r>
            <w:r>
              <w:rPr>
                <w:rFonts w:ascii="Times New Roman" w:eastAsia="宋体" w:hAnsi="Times New Roman" w:cs="Times New Roman" w:hint="eastAsia"/>
                <w:kern w:val="0"/>
                <w:sz w:val="20"/>
                <w:szCs w:val="20"/>
              </w:rPr>
              <w:t>mm</w:t>
            </w:r>
          </w:p>
        </w:tc>
      </w:tr>
      <w:tr w:rsidR="00C723C7" w14:paraId="7250B77A"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6F52C7CD" w14:textId="77777777" w:rsidR="00C723C7" w:rsidRDefault="00000000">
            <w:pPr>
              <w:widowControl/>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Input channel</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55C7F00B" w14:textId="77777777" w:rsidR="00C723C7" w:rsidRDefault="00000000">
            <w:pPr>
              <w:widowControl/>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1</w:t>
            </w:r>
          </w:p>
        </w:tc>
      </w:tr>
      <w:tr w:rsidR="00C723C7" w14:paraId="60E9CF76"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1D9BA93A" w14:textId="77777777" w:rsidR="00C723C7" w:rsidRDefault="00000000">
            <w:pPr>
              <w:widowControl/>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Normalizer</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77B7CABE" w14:textId="77777777" w:rsidR="00C723C7" w:rsidRDefault="00000000">
            <w:pPr>
              <w:widowControl/>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FixedNormalizer(mean=-600, stddev=750, clip=True)</w:t>
            </w:r>
          </w:p>
        </w:tc>
      </w:tr>
      <w:tr w:rsidR="00C723C7" w14:paraId="2D9177AE"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04C8C633" w14:textId="77777777" w:rsidR="00C723C7" w:rsidRDefault="00000000">
            <w:pPr>
              <w:widowControl/>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Loss function</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25684E52" w14:textId="77777777" w:rsidR="00C723C7" w:rsidRDefault="00000000">
            <w:pPr>
              <w:widowControl/>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Focal loss (</w:t>
            </w:r>
            <w:r>
              <w:rPr>
                <w:rFonts w:ascii="Times New Roman" w:eastAsia="宋体" w:hAnsi="Times New Roman" w:cs="Times New Roman" w:hint="eastAsia"/>
                <w:kern w:val="0"/>
                <w:sz w:val="20"/>
                <w:szCs w:val="20"/>
              </w:rPr>
              <w:t>γ</w:t>
            </w:r>
            <w:r>
              <w:rPr>
                <w:rFonts w:ascii="Times New Roman" w:eastAsia="宋体" w:hAnsi="Times New Roman" w:cs="Times New Roman"/>
                <w:kern w:val="0"/>
                <w:sz w:val="20"/>
                <w:szCs w:val="20"/>
              </w:rPr>
              <w:t> </w:t>
            </w:r>
            <w:r>
              <w:rPr>
                <w:rFonts w:ascii="Times New Roman" w:eastAsia="宋体" w:hAnsi="Times New Roman" w:cs="Times New Roman" w:hint="eastAsia"/>
                <w:kern w:val="0"/>
                <w:sz w:val="20"/>
                <w:szCs w:val="20"/>
              </w:rPr>
              <w:t>=</w:t>
            </w:r>
            <w:r>
              <w:rPr>
                <w:rFonts w:ascii="Times New Roman" w:eastAsia="宋体" w:hAnsi="Times New Roman" w:cs="Times New Roman"/>
                <w:kern w:val="0"/>
                <w:sz w:val="20"/>
                <w:szCs w:val="20"/>
              </w:rPr>
              <w:t> </w:t>
            </w:r>
            <w:r>
              <w:rPr>
                <w:rFonts w:ascii="Times New Roman" w:eastAsia="宋体" w:hAnsi="Times New Roman" w:cs="Times New Roman" w:hint="eastAsia"/>
                <w:kern w:val="0"/>
                <w:sz w:val="20"/>
                <w:szCs w:val="20"/>
              </w:rPr>
              <w:t>0) + CAM auxiliary loss (weight</w:t>
            </w:r>
            <w:r>
              <w:rPr>
                <w:rFonts w:ascii="Times New Roman" w:eastAsia="宋体" w:hAnsi="Times New Roman" w:cs="Times New Roman"/>
                <w:kern w:val="0"/>
                <w:sz w:val="20"/>
                <w:szCs w:val="20"/>
              </w:rPr>
              <w:t> </w:t>
            </w:r>
            <w:r>
              <w:rPr>
                <w:rFonts w:ascii="Times New Roman" w:eastAsia="宋体" w:hAnsi="Times New Roman" w:cs="Times New Roman" w:hint="eastAsia"/>
                <w:kern w:val="0"/>
                <w:sz w:val="20"/>
                <w:szCs w:val="20"/>
              </w:rPr>
              <w:t>=</w:t>
            </w:r>
            <w:r>
              <w:rPr>
                <w:rFonts w:ascii="Times New Roman" w:eastAsia="宋体" w:hAnsi="Times New Roman" w:cs="Times New Roman"/>
                <w:kern w:val="0"/>
                <w:sz w:val="20"/>
                <w:szCs w:val="20"/>
              </w:rPr>
              <w:t> </w:t>
            </w:r>
            <w:r>
              <w:rPr>
                <w:rFonts w:ascii="Times New Roman" w:eastAsia="宋体" w:hAnsi="Times New Roman" w:cs="Times New Roman" w:hint="eastAsia"/>
                <w:kern w:val="0"/>
                <w:sz w:val="20"/>
                <w:szCs w:val="20"/>
              </w:rPr>
              <w:t>0.3)</w:t>
            </w:r>
          </w:p>
        </w:tc>
      </w:tr>
      <w:tr w:rsidR="00C723C7" w14:paraId="56FD3E79"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40A92A86" w14:textId="77777777" w:rsidR="00C723C7" w:rsidRDefault="00000000">
            <w:pPr>
              <w:widowControl/>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Optimizer</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34D12821" w14:textId="77777777" w:rsidR="00C723C7" w:rsidRDefault="00000000">
            <w:pPr>
              <w:widowControl/>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Adam, lr</w:t>
            </w:r>
            <w:r>
              <w:rPr>
                <w:rFonts w:ascii="Times New Roman" w:eastAsia="宋体" w:hAnsi="Times New Roman" w:cs="Times New Roman"/>
                <w:kern w:val="0"/>
                <w:sz w:val="20"/>
                <w:szCs w:val="20"/>
              </w:rPr>
              <w:t> </w:t>
            </w:r>
            <w:r>
              <w:rPr>
                <w:rFonts w:ascii="Times New Roman" w:eastAsia="宋体" w:hAnsi="Times New Roman" w:cs="Times New Roman" w:hint="eastAsia"/>
                <w:kern w:val="0"/>
                <w:sz w:val="20"/>
                <w:szCs w:val="20"/>
              </w:rPr>
              <w:t>=</w:t>
            </w:r>
            <w:r>
              <w:rPr>
                <w:rFonts w:ascii="Times New Roman" w:eastAsia="宋体" w:hAnsi="Times New Roman" w:cs="Times New Roman"/>
                <w:kern w:val="0"/>
                <w:sz w:val="20"/>
                <w:szCs w:val="20"/>
              </w:rPr>
              <w:t> </w:t>
            </w:r>
            <w:r>
              <w:rPr>
                <w:rFonts w:ascii="Times New Roman" w:eastAsia="宋体" w:hAnsi="Times New Roman" w:cs="Times New Roman" w:hint="eastAsia"/>
                <w:kern w:val="0"/>
                <w:sz w:val="20"/>
                <w:szCs w:val="20"/>
              </w:rPr>
              <w:t>1e</w:t>
            </w:r>
            <w:r>
              <w:rPr>
                <w:rFonts w:ascii="Times New Roman" w:eastAsia="宋体" w:hAnsi="Times New Roman" w:cs="Times New Roman" w:hint="eastAsia"/>
                <w:kern w:val="0"/>
                <w:sz w:val="20"/>
                <w:szCs w:val="20"/>
                <w:vertAlign w:val="superscript"/>
              </w:rPr>
              <w:noBreakHyphen/>
              <w:t>4</w:t>
            </w:r>
            <w:r>
              <w:rPr>
                <w:rFonts w:ascii="Times New Roman" w:eastAsia="宋体" w:hAnsi="Times New Roman" w:cs="Times New Roman" w:hint="eastAsia"/>
                <w:kern w:val="0"/>
                <w:sz w:val="20"/>
                <w:szCs w:val="20"/>
              </w:rPr>
              <w:t xml:space="preserve">, betas=(0.9,0.999), </w:t>
            </w:r>
            <w:r>
              <w:rPr>
                <w:rFonts w:ascii="Times New Roman" w:eastAsia="宋体" w:hAnsi="Times New Roman" w:cs="Times New Roman" w:hint="eastAsia"/>
                <w:kern w:val="0"/>
                <w:sz w:val="20"/>
                <w:szCs w:val="20"/>
              </w:rPr>
              <w:t>ε</w:t>
            </w:r>
            <w:r>
              <w:rPr>
                <w:rFonts w:ascii="Times New Roman" w:eastAsia="宋体" w:hAnsi="Times New Roman" w:cs="Times New Roman" w:hint="eastAsia"/>
                <w:kern w:val="0"/>
                <w:sz w:val="20"/>
                <w:szCs w:val="20"/>
              </w:rPr>
              <w:t>=1e</w:t>
            </w:r>
            <w:r>
              <w:rPr>
                <w:rFonts w:ascii="Times New Roman" w:eastAsia="宋体" w:hAnsi="Times New Roman" w:cs="Times New Roman" w:hint="eastAsia"/>
                <w:kern w:val="0"/>
                <w:sz w:val="20"/>
                <w:szCs w:val="20"/>
                <w:vertAlign w:val="superscript"/>
              </w:rPr>
              <w:noBreakHyphen/>
              <w:t>8</w:t>
            </w:r>
          </w:p>
        </w:tc>
      </w:tr>
      <w:tr w:rsidR="00C723C7" w14:paraId="4E6434F4"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4C52828B" w14:textId="77777777" w:rsidR="00C723C7" w:rsidRDefault="00000000">
            <w:pPr>
              <w:widowControl/>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LR scheduler</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1466FF7E" w14:textId="77777777" w:rsidR="00C723C7" w:rsidRDefault="00000000">
            <w:pPr>
              <w:widowControl/>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Step(step_size=100, gamma=0.8) + GradualWarmup (100 epochs)</w:t>
            </w:r>
          </w:p>
        </w:tc>
      </w:tr>
      <w:tr w:rsidR="00C723C7" w14:paraId="75B68C00"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7550469C" w14:textId="77777777" w:rsidR="00C723C7" w:rsidRDefault="00000000">
            <w:pPr>
              <w:widowControl/>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Batch size</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23B1C3F0" w14:textId="77777777" w:rsidR="00C723C7" w:rsidRDefault="00000000">
            <w:pPr>
              <w:widowControl/>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8</w:t>
            </w:r>
          </w:p>
        </w:tc>
      </w:tr>
      <w:tr w:rsidR="00C723C7" w14:paraId="564BCFFA"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7725D694" w14:textId="77777777" w:rsidR="00C723C7" w:rsidRDefault="00000000">
            <w:pPr>
              <w:widowControl/>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Total training epochs</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01A5F244" w14:textId="77777777" w:rsidR="00C723C7" w:rsidRDefault="00000000">
            <w:pPr>
              <w:widowControl/>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2001</w:t>
            </w:r>
          </w:p>
        </w:tc>
      </w:tr>
      <w:tr w:rsidR="00C723C7" w14:paraId="27858394"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35768948" w14:textId="77777777" w:rsidR="00C723C7" w:rsidRDefault="00000000">
            <w:pPr>
              <w:widowControl/>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GPU</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1F7D5DD5" w14:textId="77777777" w:rsidR="00C723C7" w:rsidRDefault="00000000">
            <w:pPr>
              <w:widowControl/>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Single GPU</w:t>
            </w:r>
          </w:p>
        </w:tc>
      </w:tr>
      <w:tr w:rsidR="00C723C7" w14:paraId="76B845E6"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48159E61" w14:textId="77777777" w:rsidR="00C723C7" w:rsidRDefault="00000000">
            <w:pPr>
              <w:widowControl/>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Augmentation</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0069D25F" w14:textId="77777777" w:rsidR="00C723C7" w:rsidRDefault="00000000">
            <w:pPr>
              <w:widowControl/>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Random z</w:t>
            </w:r>
            <w:r>
              <w:rPr>
                <w:rFonts w:ascii="Times New Roman" w:eastAsia="宋体" w:hAnsi="Times New Roman" w:cs="Times New Roman" w:hint="eastAsia"/>
                <w:kern w:val="0"/>
                <w:sz w:val="20"/>
                <w:szCs w:val="20"/>
              </w:rPr>
              <w:noBreakHyphen/>
              <w:t>flip; random z</w:t>
            </w:r>
            <w:r>
              <w:rPr>
                <w:rFonts w:ascii="Times New Roman" w:eastAsia="宋体" w:hAnsi="Times New Roman" w:cs="Times New Roman" w:hint="eastAsia"/>
                <w:kern w:val="0"/>
                <w:sz w:val="20"/>
                <w:szCs w:val="20"/>
              </w:rPr>
              <w:noBreakHyphen/>
              <w:t>axis rotation; isotropic scaling; mix</w:t>
            </w:r>
            <w:r>
              <w:rPr>
                <w:rFonts w:ascii="Times New Roman" w:eastAsia="宋体" w:hAnsi="Times New Roman" w:cs="Times New Roman" w:hint="eastAsia"/>
                <w:kern w:val="0"/>
                <w:sz w:val="20"/>
                <w:szCs w:val="20"/>
              </w:rPr>
              <w:noBreakHyphen/>
              <w:t>up</w:t>
            </w:r>
          </w:p>
        </w:tc>
      </w:tr>
      <w:tr w:rsidR="00C723C7" w14:paraId="3A1F5A78" w14:textId="77777777">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2BC42E54" w14:textId="77777777" w:rsidR="00C723C7" w:rsidRDefault="00000000">
            <w:pPr>
              <w:widowControl/>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Random seed</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tcPr>
          <w:p w14:paraId="20320610" w14:textId="77777777" w:rsidR="00C723C7" w:rsidRDefault="00000000">
            <w:pPr>
              <w:widowControl/>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42</w:t>
            </w:r>
          </w:p>
        </w:tc>
      </w:tr>
    </w:tbl>
    <w:p w14:paraId="26A8554C" w14:textId="77777777" w:rsidR="00C723C7" w:rsidRDefault="00C723C7">
      <w:pPr>
        <w:rPr>
          <w:rFonts w:ascii="Times New Roman" w:hAnsi="Times New Roman" w:cs="Times New Roman"/>
          <w:b/>
          <w:bCs/>
        </w:rPr>
      </w:pPr>
    </w:p>
    <w:p w14:paraId="1D152F6F" w14:textId="77777777" w:rsidR="00C723C7" w:rsidRDefault="00000000">
      <w:pPr>
        <w:widowControl/>
        <w:jc w:val="left"/>
        <w:rPr>
          <w:rFonts w:ascii="Times New Roman" w:hAnsi="Times New Roman" w:cs="Times New Roman"/>
          <w:b/>
          <w:bCs/>
        </w:rPr>
      </w:pPr>
      <w:r>
        <w:rPr>
          <w:rFonts w:ascii="Times New Roman" w:hAnsi="Times New Roman" w:cs="Times New Roman"/>
          <w:b/>
          <w:bCs/>
        </w:rPr>
        <w:br w:type="page"/>
      </w:r>
    </w:p>
    <w:p w14:paraId="50C96E32" w14:textId="692CA490" w:rsidR="00C723C7" w:rsidRDefault="00000000">
      <w:pPr>
        <w:spacing w:line="440" w:lineRule="exact"/>
        <w:rPr>
          <w:rFonts w:ascii="Times New Roman" w:hAnsi="Times New Roman" w:cs="Times New Roman"/>
          <w:b/>
          <w:bCs/>
        </w:rPr>
      </w:pPr>
      <w:r>
        <w:rPr>
          <w:rFonts w:ascii="Times New Roman" w:hAnsi="Times New Roman" w:cs="Times New Roman"/>
          <w:b/>
          <w:bCs/>
        </w:rPr>
        <w:lastRenderedPageBreak/>
        <w:t>Table S</w:t>
      </w:r>
      <w:r w:rsidR="00ED3BE8">
        <w:rPr>
          <w:rFonts w:ascii="Times New Roman" w:hAnsi="Times New Roman" w:cs="Times New Roman" w:hint="eastAsia"/>
          <w:b/>
          <w:bCs/>
        </w:rPr>
        <w:t>9</w:t>
      </w:r>
      <w:r>
        <w:rPr>
          <w:rFonts w:ascii="Times New Roman" w:hAnsi="Times New Roman" w:cs="Times New Roman" w:hint="eastAsia"/>
          <w:b/>
          <w:bCs/>
        </w:rPr>
        <w:t>.</w:t>
      </w:r>
      <w:r>
        <w:rPr>
          <w:rFonts w:ascii="Times New Roman" w:hAnsi="Times New Roman" w:cs="Times New Roman"/>
          <w:b/>
          <w:bCs/>
        </w:rPr>
        <w:t xml:space="preserve"> Selected protein features and corresponding coefficients for </w:t>
      </w:r>
      <w:r>
        <w:rPr>
          <w:rFonts w:ascii="Times New Roman" w:hAnsi="Times New Roman" w:cs="Times New Roman" w:hint="eastAsia"/>
          <w:b/>
          <w:bCs/>
        </w:rPr>
        <w:t>proteomic</w:t>
      </w:r>
      <w:r>
        <w:rPr>
          <w:rFonts w:ascii="Times New Roman" w:hAnsi="Times New Roman" w:cs="Times New Roman"/>
          <w:b/>
          <w:bCs/>
        </w:rPr>
        <w:t xml:space="preserve"> score</w:t>
      </w: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596"/>
        <w:gridCol w:w="1665"/>
        <w:gridCol w:w="992"/>
        <w:gridCol w:w="4053"/>
      </w:tblGrid>
      <w:tr w:rsidR="00C723C7" w14:paraId="45116A15" w14:textId="77777777">
        <w:trPr>
          <w:tblHeader/>
          <w:tblCellSpacing w:w="15" w:type="dxa"/>
        </w:trPr>
        <w:tc>
          <w:tcPr>
            <w:tcW w:w="1551" w:type="dxa"/>
            <w:tcBorders>
              <w:top w:val="nil"/>
              <w:bottom w:val="single" w:sz="4" w:space="0" w:color="auto"/>
            </w:tcBorders>
            <w:vAlign w:val="center"/>
          </w:tcPr>
          <w:p w14:paraId="330B5D9D" w14:textId="77777777" w:rsidR="00C723C7" w:rsidRDefault="00000000">
            <w:pPr>
              <w:rPr>
                <w:rFonts w:ascii="Times New Roman" w:hAnsi="Times New Roman" w:cs="Times New Roman"/>
                <w:b/>
                <w:bCs/>
                <w:sz w:val="18"/>
                <w:szCs w:val="20"/>
              </w:rPr>
            </w:pPr>
            <w:r>
              <w:rPr>
                <w:rFonts w:ascii="Times New Roman" w:hAnsi="Times New Roman" w:cs="Times New Roman"/>
                <w:b/>
                <w:bCs/>
                <w:sz w:val="18"/>
                <w:szCs w:val="20"/>
              </w:rPr>
              <w:t>Feature</w:t>
            </w:r>
          </w:p>
        </w:tc>
        <w:tc>
          <w:tcPr>
            <w:tcW w:w="1635" w:type="dxa"/>
            <w:tcBorders>
              <w:top w:val="nil"/>
              <w:bottom w:val="single" w:sz="4" w:space="0" w:color="auto"/>
            </w:tcBorders>
            <w:vAlign w:val="center"/>
          </w:tcPr>
          <w:p w14:paraId="56131711" w14:textId="77777777" w:rsidR="00C723C7" w:rsidRDefault="00000000">
            <w:pPr>
              <w:rPr>
                <w:rFonts w:ascii="Times New Roman" w:hAnsi="Times New Roman" w:cs="Times New Roman"/>
                <w:b/>
                <w:bCs/>
                <w:sz w:val="18"/>
                <w:szCs w:val="20"/>
              </w:rPr>
            </w:pPr>
            <w:r>
              <w:rPr>
                <w:rFonts w:ascii="Times New Roman" w:hAnsi="Times New Roman" w:cs="Times New Roman"/>
                <w:b/>
                <w:bCs/>
                <w:sz w:val="18"/>
                <w:szCs w:val="20"/>
              </w:rPr>
              <w:t>English full name</w:t>
            </w:r>
          </w:p>
        </w:tc>
        <w:tc>
          <w:tcPr>
            <w:tcW w:w="962" w:type="dxa"/>
            <w:tcBorders>
              <w:top w:val="nil"/>
              <w:bottom w:val="single" w:sz="4" w:space="0" w:color="auto"/>
            </w:tcBorders>
            <w:vAlign w:val="center"/>
          </w:tcPr>
          <w:p w14:paraId="3568C882" w14:textId="77777777" w:rsidR="00C723C7" w:rsidRDefault="00000000">
            <w:pPr>
              <w:rPr>
                <w:rFonts w:ascii="Times New Roman" w:hAnsi="Times New Roman" w:cs="Times New Roman"/>
                <w:b/>
                <w:bCs/>
                <w:sz w:val="18"/>
                <w:szCs w:val="20"/>
              </w:rPr>
            </w:pPr>
            <w:r>
              <w:rPr>
                <w:rFonts w:ascii="Times New Roman" w:hAnsi="Times New Roman" w:cs="Times New Roman"/>
                <w:b/>
                <w:bCs/>
                <w:sz w:val="18"/>
                <w:szCs w:val="20"/>
              </w:rPr>
              <w:t>Coefficient</w:t>
            </w:r>
          </w:p>
        </w:tc>
        <w:tc>
          <w:tcPr>
            <w:tcW w:w="4008" w:type="dxa"/>
            <w:tcBorders>
              <w:top w:val="nil"/>
              <w:bottom w:val="single" w:sz="4" w:space="0" w:color="auto"/>
            </w:tcBorders>
            <w:vAlign w:val="center"/>
          </w:tcPr>
          <w:p w14:paraId="0FE0FB32" w14:textId="77777777" w:rsidR="00C723C7" w:rsidRDefault="00000000">
            <w:pPr>
              <w:rPr>
                <w:rFonts w:ascii="Times New Roman" w:hAnsi="Times New Roman" w:cs="Times New Roman"/>
                <w:b/>
                <w:bCs/>
                <w:sz w:val="18"/>
                <w:szCs w:val="20"/>
              </w:rPr>
            </w:pPr>
            <w:r>
              <w:rPr>
                <w:rFonts w:ascii="Times New Roman" w:hAnsi="Times New Roman" w:cs="Times New Roman"/>
                <w:b/>
                <w:bCs/>
                <w:sz w:val="18"/>
                <w:szCs w:val="20"/>
              </w:rPr>
              <w:t>Main biological function</w:t>
            </w:r>
          </w:p>
        </w:tc>
      </w:tr>
      <w:tr w:rsidR="00C723C7" w14:paraId="073D8ACA" w14:textId="77777777">
        <w:trPr>
          <w:tblCellSpacing w:w="15" w:type="dxa"/>
        </w:trPr>
        <w:tc>
          <w:tcPr>
            <w:tcW w:w="1551" w:type="dxa"/>
            <w:vAlign w:val="center"/>
          </w:tcPr>
          <w:p w14:paraId="481F74F4" w14:textId="77777777" w:rsidR="00C723C7" w:rsidRDefault="00000000">
            <w:pPr>
              <w:rPr>
                <w:rFonts w:ascii="Times New Roman" w:hAnsi="Times New Roman" w:cs="Times New Roman"/>
                <w:sz w:val="18"/>
                <w:szCs w:val="20"/>
              </w:rPr>
            </w:pPr>
            <w:r>
              <w:rPr>
                <w:rFonts w:ascii="Times New Roman" w:hAnsi="Times New Roman" w:cs="Times New Roman"/>
                <w:sz w:val="18"/>
                <w:szCs w:val="20"/>
              </w:rPr>
              <w:t>HEXIM1</w:t>
            </w:r>
          </w:p>
        </w:tc>
        <w:tc>
          <w:tcPr>
            <w:tcW w:w="1635" w:type="dxa"/>
            <w:vAlign w:val="center"/>
          </w:tcPr>
          <w:p w14:paraId="79D69FDC" w14:textId="77777777" w:rsidR="00C723C7" w:rsidRDefault="00000000">
            <w:pPr>
              <w:jc w:val="left"/>
              <w:rPr>
                <w:rFonts w:ascii="Times New Roman" w:hAnsi="Times New Roman" w:cs="Times New Roman"/>
                <w:sz w:val="18"/>
                <w:szCs w:val="20"/>
              </w:rPr>
            </w:pPr>
            <w:r>
              <w:rPr>
                <w:rFonts w:ascii="Times New Roman" w:hAnsi="Times New Roman" w:cs="Times New Roman"/>
                <w:sz w:val="18"/>
                <w:szCs w:val="20"/>
              </w:rPr>
              <w:t>Hexamethylene Bisacetamide Inducible 1</w:t>
            </w:r>
          </w:p>
        </w:tc>
        <w:tc>
          <w:tcPr>
            <w:tcW w:w="962" w:type="dxa"/>
            <w:vAlign w:val="center"/>
          </w:tcPr>
          <w:p w14:paraId="39BFB85A" w14:textId="77777777" w:rsidR="00C723C7" w:rsidRDefault="00000000">
            <w:pPr>
              <w:rPr>
                <w:rFonts w:ascii="Times New Roman" w:hAnsi="Times New Roman" w:cs="Times New Roman"/>
                <w:sz w:val="18"/>
                <w:szCs w:val="20"/>
              </w:rPr>
            </w:pPr>
            <w:r>
              <w:rPr>
                <w:rFonts w:ascii="Times New Roman" w:eastAsia="宋体" w:hAnsi="Times New Roman" w:cs="Times New Roman"/>
                <w:kern w:val="0"/>
                <w:sz w:val="18"/>
                <w:szCs w:val="18"/>
              </w:rPr>
              <w:t>0.33231604</w:t>
            </w:r>
          </w:p>
        </w:tc>
        <w:tc>
          <w:tcPr>
            <w:tcW w:w="4008" w:type="dxa"/>
            <w:vAlign w:val="center"/>
          </w:tcPr>
          <w:p w14:paraId="0B10313C" w14:textId="0F8A8416" w:rsidR="00C723C7" w:rsidRDefault="00000000">
            <w:pPr>
              <w:rPr>
                <w:rFonts w:ascii="Times New Roman" w:hAnsi="Times New Roman" w:cs="Times New Roman"/>
                <w:sz w:val="18"/>
                <w:szCs w:val="20"/>
              </w:rPr>
            </w:pPr>
            <w:r>
              <w:rPr>
                <w:rFonts w:ascii="Times New Roman" w:hAnsi="Times New Roman" w:cs="Times New Roman"/>
                <w:sz w:val="18"/>
                <w:szCs w:val="20"/>
              </w:rPr>
              <w:t>Transcriptional regulator that inhibits P-TEFb-dependent RNA polymerase II elongation; involved in cellular stress responses, proliferation, and inflammatory transcription</w:t>
            </w:r>
            <w:r>
              <w:rPr>
                <w:rFonts w:ascii="Times New Roman" w:hAnsi="Times New Roman" w:cs="Times New Roman" w:hint="eastAsia"/>
                <w:sz w:val="18"/>
                <w:szCs w:val="20"/>
              </w:rPr>
              <w:t xml:space="preserve"> </w:t>
            </w:r>
            <w:r>
              <w:rPr>
                <w:rFonts w:ascii="Times New Roman" w:hAnsi="Times New Roman" w:cs="Times New Roman"/>
                <w:sz w:val="18"/>
                <w:szCs w:val="20"/>
              </w:rPr>
              <w:fldChar w:fldCharType="begin"/>
            </w:r>
            <w:r w:rsidR="00A804EA">
              <w:rPr>
                <w:rFonts w:ascii="Times New Roman" w:hAnsi="Times New Roman" w:cs="Times New Roman"/>
                <w:sz w:val="18"/>
                <w:szCs w:val="20"/>
              </w:rPr>
              <w:instrText xml:space="preserve"> ADDIN EN.CITE &lt;EndNote&gt;&lt;Cite&gt;&lt;Author&gt;Dey&lt;/Author&gt;&lt;Year&gt;2007&lt;/Year&gt;&lt;RecNum&gt;620&lt;/RecNum&gt;&lt;DisplayText&gt;[11]&lt;/DisplayText&gt;&lt;record&gt;&lt;rec-number&gt;620&lt;/rec-number&gt;&lt;foreign-keys&gt;&lt;key app="EN" db-id="va0vwdrrpewve7etaerxrpf5vw2d0xf5d2sf" timestamp="1789109162"&gt;620&lt;/key&gt;&lt;/foreign-keys&gt;&lt;ref-type name="Journal Article"&gt;17&lt;/ref-type&gt;&lt;contributors&gt;&lt;authors&gt;&lt;author&gt;Dey, A.&lt;/author&gt;&lt;author&gt;Chao, S. H.&lt;/author&gt;&lt;author&gt;Lane, D. P.&lt;/author&gt;&lt;/authors&gt;&lt;/contributors&gt;&lt;auth-address&gt;Department of Cell Cycle Control, Institute of Molecular and Cell Biology, Singapore, Singapore.&lt;/auth-address&gt;&lt;titles&gt;&lt;title&gt;HEXIM1 and the control of transcription elongation: from cancer and inflammation to AIDS and cardiac hypertrophy&lt;/title&gt;&lt;secondary-title&gt;Cell Cycle&lt;/secondary-title&gt;&lt;/titles&gt;&lt;periodical&gt;&lt;full-title&gt;Cell Cycle&lt;/full-title&gt;&lt;/periodical&gt;&lt;pages&gt;1856-63&lt;/pages&gt;&lt;volume&gt;6&lt;/volume&gt;&lt;number&gt;15&lt;/number&gt;&lt;edition&gt;20070606&lt;/edition&gt;&lt;keywords&gt;&lt;keyword&gt;Acquired Immunodeficiency Syndrome/genetics/*metabolism&lt;/keyword&gt;&lt;keyword&gt;Animals&lt;/keyword&gt;&lt;keyword&gt;Cardiomegaly/*metabolism&lt;/keyword&gt;&lt;keyword&gt;Humans&lt;/keyword&gt;&lt;keyword&gt;Inflammation/genetics/*metabolism&lt;/keyword&gt;&lt;keyword&gt;Neoplasms/*metabolism&lt;/keyword&gt;&lt;keyword&gt;RNA-Binding Proteins/antagonists &amp;amp; inhibitors/*metabolism&lt;/keyword&gt;&lt;keyword&gt;Transcriptional Elongation Factors/antagonists &amp;amp; inhibitors/*metabolism&lt;/keyword&gt;&lt;/keywords&gt;&lt;dates&gt;&lt;year&gt;2007&lt;/year&gt;&lt;pub-dates&gt;&lt;date&gt;Aug 1&lt;/date&gt;&lt;/pub-dates&gt;&lt;/dates&gt;&lt;isbn&gt;1551-4005 (Electronic)&amp;#xD;1551-4005 (Linking)&lt;/isbn&gt;&lt;accession-num&gt;17671421&lt;/accession-num&gt;&lt;urls&gt;&lt;related-urls&gt;&lt;url&gt;https://www.ncbi.nlm.nih.gov/pubmed/17671421&lt;/url&gt;&lt;/related-urls&gt;&lt;/urls&gt;&lt;electronic-resource-num&gt;10.4161/cc.6.15.4556&lt;/electronic-resource-num&gt;&lt;remote-database-name&gt;Medline&lt;/remote-database-name&gt;&lt;remote-database-provider&gt;NLM&lt;/remote-database-provider&gt;&lt;/record&gt;&lt;/Cite&gt;&lt;/EndNote&gt;</w:instrText>
            </w:r>
            <w:r>
              <w:rPr>
                <w:rFonts w:ascii="Times New Roman" w:hAnsi="Times New Roman" w:cs="Times New Roman"/>
                <w:sz w:val="18"/>
                <w:szCs w:val="20"/>
              </w:rPr>
              <w:fldChar w:fldCharType="separate"/>
            </w:r>
            <w:r w:rsidR="00A804EA">
              <w:rPr>
                <w:rFonts w:ascii="Times New Roman" w:hAnsi="Times New Roman" w:cs="Times New Roman"/>
                <w:noProof/>
                <w:sz w:val="18"/>
                <w:szCs w:val="20"/>
              </w:rPr>
              <w:t>[11]</w:t>
            </w:r>
            <w:r>
              <w:rPr>
                <w:rFonts w:ascii="Times New Roman" w:hAnsi="Times New Roman" w:cs="Times New Roman"/>
                <w:sz w:val="18"/>
                <w:szCs w:val="20"/>
              </w:rPr>
              <w:fldChar w:fldCharType="end"/>
            </w:r>
            <w:r>
              <w:rPr>
                <w:rFonts w:ascii="Times New Roman" w:hAnsi="Times New Roman" w:cs="Times New Roman"/>
                <w:sz w:val="18"/>
                <w:szCs w:val="20"/>
              </w:rPr>
              <w:t>.</w:t>
            </w:r>
          </w:p>
        </w:tc>
      </w:tr>
      <w:tr w:rsidR="00C723C7" w14:paraId="0E51C90F" w14:textId="77777777">
        <w:trPr>
          <w:tblCellSpacing w:w="15" w:type="dxa"/>
        </w:trPr>
        <w:tc>
          <w:tcPr>
            <w:tcW w:w="1551" w:type="dxa"/>
            <w:vAlign w:val="center"/>
          </w:tcPr>
          <w:p w14:paraId="5F021F81" w14:textId="77777777" w:rsidR="00C723C7" w:rsidRDefault="00000000">
            <w:pPr>
              <w:rPr>
                <w:rFonts w:ascii="Times New Roman" w:hAnsi="Times New Roman" w:cs="Times New Roman"/>
                <w:sz w:val="18"/>
                <w:szCs w:val="20"/>
              </w:rPr>
            </w:pPr>
            <w:r>
              <w:rPr>
                <w:rFonts w:ascii="Times New Roman" w:hAnsi="Times New Roman" w:cs="Times New Roman"/>
                <w:sz w:val="18"/>
                <w:szCs w:val="20"/>
              </w:rPr>
              <w:t>KRT19</w:t>
            </w:r>
          </w:p>
        </w:tc>
        <w:tc>
          <w:tcPr>
            <w:tcW w:w="1635" w:type="dxa"/>
            <w:vAlign w:val="center"/>
          </w:tcPr>
          <w:p w14:paraId="6F7F7393" w14:textId="77777777" w:rsidR="00C723C7" w:rsidRDefault="00000000">
            <w:pPr>
              <w:jc w:val="left"/>
              <w:rPr>
                <w:rFonts w:ascii="Times New Roman" w:hAnsi="Times New Roman" w:cs="Times New Roman"/>
                <w:sz w:val="18"/>
                <w:szCs w:val="20"/>
              </w:rPr>
            </w:pPr>
            <w:r>
              <w:rPr>
                <w:rFonts w:ascii="Times New Roman" w:hAnsi="Times New Roman" w:cs="Times New Roman"/>
                <w:sz w:val="18"/>
                <w:szCs w:val="20"/>
              </w:rPr>
              <w:t>Keratin 19</w:t>
            </w:r>
          </w:p>
        </w:tc>
        <w:tc>
          <w:tcPr>
            <w:tcW w:w="962" w:type="dxa"/>
            <w:vAlign w:val="center"/>
          </w:tcPr>
          <w:p w14:paraId="0781B4D5" w14:textId="77777777" w:rsidR="00C723C7" w:rsidRDefault="00000000">
            <w:pPr>
              <w:rPr>
                <w:rFonts w:ascii="Times New Roman" w:hAnsi="Times New Roman" w:cs="Times New Roman"/>
                <w:sz w:val="18"/>
                <w:szCs w:val="20"/>
              </w:rPr>
            </w:pPr>
            <w:r>
              <w:rPr>
                <w:rFonts w:ascii="Times New Roman" w:eastAsia="宋体" w:hAnsi="Times New Roman" w:cs="Times New Roman"/>
                <w:kern w:val="0"/>
                <w:sz w:val="18"/>
                <w:szCs w:val="18"/>
              </w:rPr>
              <w:t>0.33809886</w:t>
            </w:r>
          </w:p>
        </w:tc>
        <w:tc>
          <w:tcPr>
            <w:tcW w:w="4008" w:type="dxa"/>
            <w:vAlign w:val="center"/>
          </w:tcPr>
          <w:p w14:paraId="16030E8C" w14:textId="326DCCBC" w:rsidR="00C723C7" w:rsidRDefault="00000000">
            <w:pPr>
              <w:rPr>
                <w:rFonts w:ascii="Times New Roman" w:hAnsi="Times New Roman" w:cs="Times New Roman"/>
                <w:sz w:val="18"/>
                <w:szCs w:val="20"/>
              </w:rPr>
            </w:pPr>
            <w:r>
              <w:rPr>
                <w:rFonts w:ascii="Times New Roman" w:hAnsi="Times New Roman" w:cs="Times New Roman"/>
                <w:sz w:val="18"/>
                <w:szCs w:val="20"/>
              </w:rPr>
              <w:t>Type I intermediate-filament protein expressed in epithelial cells; maintains epithelial structural integrity and is released during epithelial injury and cell death</w:t>
            </w:r>
            <w:r>
              <w:rPr>
                <w:rFonts w:ascii="Times New Roman" w:hAnsi="Times New Roman" w:cs="Times New Roman" w:hint="eastAsia"/>
                <w:sz w:val="18"/>
                <w:szCs w:val="20"/>
              </w:rPr>
              <w:t xml:space="preserve"> </w:t>
            </w:r>
            <w:r>
              <w:rPr>
                <w:rFonts w:ascii="Times New Roman" w:hAnsi="Times New Roman" w:cs="Times New Roman"/>
                <w:sz w:val="18"/>
                <w:szCs w:val="20"/>
              </w:rPr>
              <w:fldChar w:fldCharType="begin"/>
            </w:r>
            <w:r w:rsidR="00A804EA">
              <w:rPr>
                <w:rFonts w:ascii="Times New Roman" w:hAnsi="Times New Roman" w:cs="Times New Roman"/>
                <w:sz w:val="18"/>
                <w:szCs w:val="20"/>
              </w:rPr>
              <w:instrText xml:space="preserve"> ADDIN EN.CITE &lt;EndNote&gt;&lt;Cite&gt;&lt;Author&gt;Stern&lt;/Author&gt;&lt;Year&gt;2006&lt;/Year&gt;&lt;RecNum&gt;622&lt;/RecNum&gt;&lt;DisplayText&gt;[12]&lt;/DisplayText&gt;&lt;record&gt;&lt;rec-number&gt;622&lt;/rec-number&gt;&lt;foreign-keys&gt;&lt;key app="EN" db-id="va0vwdrrpewve7etaerxrpf5vw2d0xf5d2sf" timestamp="1789109199"&gt;622&lt;/key&gt;&lt;/foreign-keys&gt;&lt;ref-type name="Journal Article"&gt;17&lt;/ref-type&gt;&lt;contributors&gt;&lt;authors&gt;&lt;author&gt;Stern, J. B.&lt;/author&gt;&lt;author&gt;Paugam, C.&lt;/author&gt;&lt;author&gt;Validire, P.&lt;/author&gt;&lt;author&gt;Adle-Biassette, H.&lt;/author&gt;&lt;author&gt;Jaffre, S.&lt;/author&gt;&lt;author&gt;Dehoux, M.&lt;/author&gt;&lt;author&gt;Crestani, B.&lt;/author&gt;&lt;/authors&gt;&lt;/contributors&gt;&lt;auth-address&gt;Institut Mutualiste Montsouris, Departement Thoracique, 42 bd Jourdan, 75014 Paris, France. jean-baptiste.stern@imm.fr&lt;/auth-address&gt;&lt;titles&gt;&lt;title&gt;Cytokeratin 19 fragments in patients with acute lung injury: a preliminary observation&lt;/title&gt;&lt;secondary-title&gt;Intensive Care Med&lt;/secondary-title&gt;&lt;/titles&gt;&lt;periodical&gt;&lt;full-title&gt;Intensive Care Med&lt;/full-title&gt;&lt;/periodical&gt;&lt;pages&gt;910-4&lt;/pages&gt;&lt;volume&gt;32&lt;/volume&gt;&lt;number&gt;6&lt;/number&gt;&lt;edition&gt;20060329&lt;/edition&gt;&lt;keywords&gt;&lt;keyword&gt;Bronchoalveolar Lavage Fluid&lt;/keyword&gt;&lt;keyword&gt;France&lt;/keyword&gt;&lt;keyword&gt;Humans&lt;/keyword&gt;&lt;keyword&gt;Keratin-19/*analysis&lt;/keyword&gt;&lt;keyword&gt;Prospective Studies&lt;/keyword&gt;&lt;keyword&gt;Respiratory Distress Syndrome/*diagnosis/physiopathology&lt;/keyword&gt;&lt;/keywords&gt;&lt;dates&gt;&lt;year&gt;2006&lt;/year&gt;&lt;pub-dates&gt;&lt;date&gt;Jun&lt;/date&gt;&lt;/pub-dates&gt;&lt;/dates&gt;&lt;isbn&gt;0342-4642 (Print)&amp;#xD;0342-4642 (Linking)&lt;/isbn&gt;&lt;accession-num&gt;16570150&lt;/accession-num&gt;&lt;urls&gt;&lt;related-urls&gt;&lt;url&gt;https://www.ncbi.nlm.nih.gov/pubmed/16570150&lt;/url&gt;&lt;/related-urls&gt;&lt;/urls&gt;&lt;electronic-resource-num&gt;10.1007/s00134-006-0124-7&lt;/electronic-resource-num&gt;&lt;remote-database-name&gt;Medline&lt;/remote-database-name&gt;&lt;remote-database-provider&gt;NLM&lt;/remote-database-provider&gt;&lt;/record&gt;&lt;/Cite&gt;&lt;/EndNote&gt;</w:instrText>
            </w:r>
            <w:r>
              <w:rPr>
                <w:rFonts w:ascii="Times New Roman" w:hAnsi="Times New Roman" w:cs="Times New Roman"/>
                <w:sz w:val="18"/>
                <w:szCs w:val="20"/>
              </w:rPr>
              <w:fldChar w:fldCharType="separate"/>
            </w:r>
            <w:r w:rsidR="00A804EA">
              <w:rPr>
                <w:rFonts w:ascii="Times New Roman" w:hAnsi="Times New Roman" w:cs="Times New Roman"/>
                <w:noProof/>
                <w:sz w:val="18"/>
                <w:szCs w:val="20"/>
              </w:rPr>
              <w:t>[12]</w:t>
            </w:r>
            <w:r>
              <w:rPr>
                <w:rFonts w:ascii="Times New Roman" w:hAnsi="Times New Roman" w:cs="Times New Roman"/>
                <w:sz w:val="18"/>
                <w:szCs w:val="20"/>
              </w:rPr>
              <w:fldChar w:fldCharType="end"/>
            </w:r>
            <w:r>
              <w:rPr>
                <w:rFonts w:ascii="Times New Roman" w:hAnsi="Times New Roman" w:cs="Times New Roman"/>
                <w:sz w:val="18"/>
                <w:szCs w:val="20"/>
              </w:rPr>
              <w:t>.</w:t>
            </w:r>
          </w:p>
        </w:tc>
      </w:tr>
      <w:tr w:rsidR="00C723C7" w14:paraId="44DC57BA" w14:textId="77777777">
        <w:trPr>
          <w:tblCellSpacing w:w="15" w:type="dxa"/>
        </w:trPr>
        <w:tc>
          <w:tcPr>
            <w:tcW w:w="1551" w:type="dxa"/>
            <w:vAlign w:val="center"/>
          </w:tcPr>
          <w:p w14:paraId="729B00C4" w14:textId="77777777" w:rsidR="00C723C7" w:rsidRDefault="00000000">
            <w:pPr>
              <w:rPr>
                <w:rFonts w:ascii="Times New Roman" w:hAnsi="Times New Roman" w:cs="Times New Roman"/>
                <w:sz w:val="18"/>
                <w:szCs w:val="20"/>
              </w:rPr>
            </w:pPr>
            <w:r>
              <w:rPr>
                <w:rFonts w:ascii="Times New Roman" w:hAnsi="Times New Roman" w:cs="Times New Roman"/>
                <w:sz w:val="18"/>
                <w:szCs w:val="20"/>
              </w:rPr>
              <w:t>HLA-E</w:t>
            </w:r>
          </w:p>
        </w:tc>
        <w:tc>
          <w:tcPr>
            <w:tcW w:w="1635" w:type="dxa"/>
            <w:vAlign w:val="center"/>
          </w:tcPr>
          <w:p w14:paraId="3F794182" w14:textId="77777777" w:rsidR="00C723C7" w:rsidRDefault="00000000">
            <w:pPr>
              <w:jc w:val="left"/>
              <w:rPr>
                <w:rFonts w:ascii="Times New Roman" w:hAnsi="Times New Roman" w:cs="Times New Roman"/>
                <w:sz w:val="18"/>
                <w:szCs w:val="20"/>
              </w:rPr>
            </w:pPr>
            <w:r>
              <w:rPr>
                <w:rFonts w:ascii="Times New Roman" w:hAnsi="Times New Roman" w:cs="Times New Roman"/>
                <w:sz w:val="18"/>
                <w:szCs w:val="20"/>
              </w:rPr>
              <w:t>Major Histocompatibility Complex, Class I, E</w:t>
            </w:r>
          </w:p>
        </w:tc>
        <w:tc>
          <w:tcPr>
            <w:tcW w:w="962" w:type="dxa"/>
            <w:vAlign w:val="center"/>
          </w:tcPr>
          <w:p w14:paraId="29D2FE0E" w14:textId="77777777" w:rsidR="00C723C7" w:rsidRDefault="00000000">
            <w:pPr>
              <w:rPr>
                <w:rFonts w:ascii="Times New Roman" w:hAnsi="Times New Roman" w:cs="Times New Roman"/>
                <w:sz w:val="18"/>
                <w:szCs w:val="20"/>
              </w:rPr>
            </w:pPr>
            <w:r>
              <w:rPr>
                <w:rFonts w:ascii="Times New Roman" w:eastAsia="宋体" w:hAnsi="Times New Roman" w:cs="Times New Roman"/>
                <w:kern w:val="0"/>
                <w:sz w:val="18"/>
                <w:szCs w:val="18"/>
              </w:rPr>
              <w:t>0.24992990</w:t>
            </w:r>
          </w:p>
        </w:tc>
        <w:tc>
          <w:tcPr>
            <w:tcW w:w="4008" w:type="dxa"/>
            <w:vAlign w:val="center"/>
          </w:tcPr>
          <w:p w14:paraId="1E693328" w14:textId="4C31386A" w:rsidR="00C723C7" w:rsidRDefault="00000000">
            <w:pPr>
              <w:rPr>
                <w:rFonts w:ascii="Times New Roman" w:hAnsi="Times New Roman" w:cs="Times New Roman"/>
                <w:sz w:val="18"/>
                <w:szCs w:val="20"/>
              </w:rPr>
            </w:pPr>
            <w:r>
              <w:rPr>
                <w:rFonts w:ascii="Times New Roman" w:hAnsi="Times New Roman" w:cs="Times New Roman"/>
                <w:sz w:val="18"/>
                <w:szCs w:val="20"/>
              </w:rPr>
              <w:t>Non-classical MHC class I molecule that regulates NK-cell and CD8⁺ T-cell activity through receptors including NKG2A and NKG2C</w:t>
            </w:r>
            <w:r>
              <w:rPr>
                <w:rFonts w:ascii="Times New Roman" w:hAnsi="Times New Roman" w:cs="Times New Roman" w:hint="eastAsia"/>
                <w:sz w:val="18"/>
                <w:szCs w:val="20"/>
              </w:rPr>
              <w:t xml:space="preserve"> </w:t>
            </w:r>
            <w:r>
              <w:rPr>
                <w:rFonts w:ascii="Times New Roman" w:hAnsi="Times New Roman" w:cs="Times New Roman"/>
                <w:sz w:val="18"/>
                <w:szCs w:val="20"/>
              </w:rPr>
              <w:fldChar w:fldCharType="begin">
                <w:fldData xml:space="preserve">PEVuZE5vdGU+PENpdGU+PEF1dGhvcj5QdW1wPC9BdXRob3I+PFllYXI+MjAxOTwvWWVhcj48UmVj
TnVtPjYyMzwvUmVjTnVtPjxEaXNwbGF5VGV4dD5bMTNdPC9EaXNwbGF5VGV4dD48cmVjb3JkPjxy
ZWMtbnVtYmVyPjYyMzwvcmVjLW51bWJlcj48Zm9yZWlnbi1rZXlzPjxrZXkgYXBwPSJFTiIgZGIt
aWQ9InZhMHZ3ZHJycGV3dmU3ZXRhZXJ4cnBmNXZ3MmQweGY1ZDJzZiIgdGltZXN0YW1wPSIxNzg5
MTA5MjI4Ij42MjM8L2tleT48L2ZvcmVpZ24ta2V5cz48cmVmLXR5cGUgbmFtZT0iSm91cm5hbCBB
cnRpY2xlIj4xNzwvcmVmLXR5cGU+PGNvbnRyaWJ1dG9ycz48YXV0aG9ycz48YXV0aG9yPlB1bXAs
IFcuIEMuPC9hdXRob3I+PGF1dGhvcj5LcmFlbWVyLCBULjwvYXV0aG9yPjxhdXRob3I+SHV5dG9u
LCBULjwvYXV0aG9yPjxhdXRob3I+SG8sIEcuIFQuPC9hdXRob3I+PGF1dGhvcj5CbGFzY3p5aywg
Ui48L2F1dGhvcj48YXV0aG9yPkJhZGUtRG9lZGluZywgQy48L2F1dGhvcj48L2F1dGhvcnM+PC9j
b250cmlidXRvcnM+PGF1dGgtYWRkcmVzcz5JbnN0aXR1dGUgZm9yIFRyYW5zZnVzaW9uIE1lZGlj
aW5lLCBIYW5ub3ZlciBNZWRpY2FsIFNjaG9vbCwgTWVkaWNhbCBQYXJrLCBGZW9kb3ItTHluZW4t
U3RyLiA1LCAzMDYyNSBIYW5ub3ZlciwgR2VybWFueS4gQWJlbHMuV2llYmtlQG1oLWhhbm5vdmVy
LmRlLiYjeEQ7SW5zdGl0dXRlIGZvciBUcmFuc2Z1c2lvbiBNZWRpY2luZSwgSGFubm92ZXIgTWVk
aWNhbCBTY2hvb2wsIE1lZGljYWwgUGFyaywgRmVvZG9yLUx5bmVuLVN0ci4gNSwgMzA2MjUgSGFu
bm92ZXIsIEdlcm1hbnkuIHRoLmtyYWVtZXIxQGdtYWlsLmNvbS4mI3hEO0RlcGFydG1lbnQgb2Yg
Q2VsbHVsYXIgTG9naXN0aWNzLCBNYXggUGxhbmNrIEluc3RpdHV0ZSBmb3IgQmlvcGh5c2ljYWwg
Q2hlbWlzdHJ5LCBBbSBGYXNzYmVyZyAxMSwgMzcwNzcgR290dGluZ2VuLCBHZXJtYW55LiB0cmV2
b3IuaHV5dG9uQG1waWJwYy5tcGcuZGUuJiN4RDtJbnN0aXR1dGUgZm9yIFRyYW5zZnVzaW9uIE1l
ZGljaW5lLCBIYW5ub3ZlciBNZWRpY2FsIFNjaG9vbCwgTWVkaWNhbCBQYXJrLCBGZW9kb3ItTHlu
ZW4tU3RyLiA1LCAzMDYyNSBIYW5ub3ZlciwgR2VybWFueS4gSG8uR2lhLUdpYUBtaC1oYW5ub3Zl
ci5kZS4mI3hEO0luc3RpdHV0ZSBmb3IgVHJhbnNmdXNpb24gTWVkaWNpbmUsIEhhbm5vdmVyIE1l
ZGljYWwgU2Nob29sLCBNZWRpY2FsIFBhcmssIEZlb2Rvci1MeW5lbi1TdHIuIDUsIDMwNjI1IEhh
bm5vdmVyLCBHZXJtYW55LiBibGFzY3p5ay5yYWluZXJAbWgtaGFubm92ZXIuZGUuJiN4RDtJbnN0
aXR1dGUgZm9yIFRyYW5zZnVzaW9uIE1lZGljaW5lLCBIYW5ub3ZlciBNZWRpY2FsIFNjaG9vbCwg
TWVkaWNhbCBQYXJrLCBGZW9kb3ItTHluZW4tU3RyLiA1LCAzMDYyNSBIYW5ub3ZlciwgR2VybWFu
eS4gYmFkZS1kb2VkaW5nLmNocmlzdGluYUBtaC1oYW5ub3Zlci5kZS48L2F1dGgtYWRkcmVzcz48
dGl0bGVzPjx0aXRsZT5CZXR3ZWVuIElubmF0ZSBhbmQgQWRhcHRpdmUgSW1tdW5lIFJlc3BvbnNl
czogTktHMkEsIE5LRzJDLCBhbmQgQ0Q4KCspIFQgQ2VsbCBSZWNvZ25pdGlvbiBvZiBITEEtRSBS
ZXN0cmljdGVkIFNlbGYtUGVwdGlkZXMgQWNxdWlyZWQgaW4gdGhlIEFic2VuY2Ugb2YgSExBLUlh
PC90aXRsZT48c2Vjb25kYXJ5LXRpdGxlPkludCBKIE1vbCBTY2k8L3NlY29uZGFyeS10aXRsZT48
L3RpdGxlcz48cGVyaW9kaWNhbD48ZnVsbC10aXRsZT5JbnQgSiBNb2wgU2NpPC9mdWxsLXRpdGxl
PjwvcGVyaW9kaWNhbD48dm9sdW1lPjIwPC92b2x1bWU+PG51bWJlcj42PC9udW1iZXI+PGVkaXRp
b24+MjAxOTAzMjI8L2VkaXRpb24+PGtleXdvcmRzPjxrZXl3b3JkPipBZGFwdGl2ZSBJbW11bml0
eTwva2V5d29yZD48a2V5d29yZD5DRDgtUG9zaXRpdmUgVC1MeW1waG9jeXRlcy9pbW11bm9sb2d5
L21ldGFib2xpc208L2tleXdvcmQ+PGtleXdvcmQ+Q2VsbCBMaW5lPC9rZXl3b3JkPjxrZXl3b3Jk
Pkhpc3RvY29tcGF0aWJpbGl0eSBBbnRpZ2VucyBDbGFzcyBJL2ltbXVub2xvZ3k8L2tleXdvcmQ+
PGtleXdvcmQ+SHVtYW5zPC9rZXl3b3JkPjxrZXl3b3JkPipJbW11bml0eSwgSW5uYXRlPC9rZXl3
b3JkPjxrZXl3b3JkPipJbW11bm9tb2R1bGF0aW9uPC9rZXl3b3JkPjxrZXl3b3JkPk5LIENlbGwg
TGVjdGluLUxpa2UgUmVjZXB0b3IgU3ViZmFtaWx5IEMvY2hlbWlzdHJ5L21ldGFib2xpc208L2tl
eXdvcmQ+PGtleXdvcmQ+TksgQ2VsbCBMZWN0aW4tTGlrZSBSZWNlcHRvciBTdWJmYW1pbHkgRC9j
aGVtaXN0cnkvbWV0YWJvbGlzbTwva2V5d29yZD48a2V5d29yZD5QZXB0aWRlcy9jaGVtaXN0cnkv
aW1tdW5vbG9neTwva2V5d29yZD48a2V5d29yZD5Qcm90ZWluIEJpbmRpbmc8L2tleXdvcmQ+PGtl
eXdvcmQ+UHJvdGVpbiBNdWx0aW1lcml6YXRpb248L2tleXdvcmQ+PGtleXdvcmQ+VC1MeW1waG9j
eXRlIFN1YnNldHMvaW1tdW5vbG9neS9tZXRhYm9saXNtPC9rZXl3b3JkPjxrZXl3b3JkPkhMQS1F
IEFudGlnZW5zPC9rZXl3b3JkPjxrZXl3b3JkPkhMQS1FIHBlcHRpZGUgbGlnYW5kczwva2V5d29y
ZD48a2V5d29yZD5JbW11bmUgRXZhc2lvbiBoQ01WPC9rZXl3b3JkPjxrZXl3b3JkPk5rZzJhL2Nk
OTQ8L2tleXdvcmQ+PGtleXdvcmQ+TmtnMmMvY2Q5NDwva2V5d29yZD48L2tleXdvcmRzPjxkYXRl
cz48eWVhcj4yMDE5PC95ZWFyPjxwdWItZGF0ZXM+PGRhdGU+TWFyIDIyPC9kYXRlPjwvcHViLWRh
dGVzPjwvZGF0ZXM+PGlzYm4+MTQyMi0wMDY3IChFbGVjdHJvbmljKSYjeEQ7MTQyMi0wMDY3IChM
aW5raW5nKTwvaXNibj48YWNjZXNzaW9uLW51bT4zMDkwOTQwMjwvYWNjZXNzaW9uLW51bT48dXJs
cz48cmVsYXRlZC11cmxzPjx1cmw+aHR0cHM6Ly93d3cubmNiaS5ubG0ubmloLmdvdi9wdWJtZWQv
MzA5MDk0MDI8L3VybD48L3JlbGF0ZWQtdXJscz48L3VybHM+PGN1c3RvbTE+VGhlIGF1dGhvcnMg
ZGVjbGFyZSBubyBjb25mbGljdCBvZiBpbnRlcmVzdC48L2N1c3RvbTE+PGN1c3RvbTI+UE1DNjQ3
MTA1NzwvY3VzdG9tMj48ZWxlY3Ryb25pYy1yZXNvdXJjZS1udW0+MTAuMzM5MC9pam1zMjAwNjE0
NTQ8L2VsZWN0cm9uaWMtcmVzb3VyY2UtbnVtPjxyZW1vdGUtZGF0YWJhc2UtbmFtZT5NZWRsaW5l
PC9yZW1vdGUtZGF0YWJhc2UtbmFtZT48cmVtb3RlLWRhdGFiYXNlLXByb3ZpZGVyPk5MTTwvcmVt
b3RlLWRhdGFiYXNlLXByb3ZpZGVyPjwvcmVjb3JkPjwvQ2l0ZT48L0VuZE5vdGU+
</w:fldData>
              </w:fldChar>
            </w:r>
            <w:r w:rsidR="00A804EA">
              <w:rPr>
                <w:rFonts w:ascii="Times New Roman" w:hAnsi="Times New Roman" w:cs="Times New Roman"/>
                <w:sz w:val="18"/>
                <w:szCs w:val="20"/>
              </w:rPr>
              <w:instrText xml:space="preserve"> ADDIN EN.CITE </w:instrText>
            </w:r>
            <w:r w:rsidR="00A804EA">
              <w:rPr>
                <w:rFonts w:ascii="Times New Roman" w:hAnsi="Times New Roman" w:cs="Times New Roman"/>
                <w:sz w:val="18"/>
                <w:szCs w:val="20"/>
              </w:rPr>
              <w:fldChar w:fldCharType="begin">
                <w:fldData xml:space="preserve">PEVuZE5vdGU+PENpdGU+PEF1dGhvcj5QdW1wPC9BdXRob3I+PFllYXI+MjAxOTwvWWVhcj48UmVj
TnVtPjYyMzwvUmVjTnVtPjxEaXNwbGF5VGV4dD5bMTNdPC9EaXNwbGF5VGV4dD48cmVjb3JkPjxy
ZWMtbnVtYmVyPjYyMzwvcmVjLW51bWJlcj48Zm9yZWlnbi1rZXlzPjxrZXkgYXBwPSJFTiIgZGIt
aWQ9InZhMHZ3ZHJycGV3dmU3ZXRhZXJ4cnBmNXZ3MmQweGY1ZDJzZiIgdGltZXN0YW1wPSIxNzg5
MTA5MjI4Ij42MjM8L2tleT48L2ZvcmVpZ24ta2V5cz48cmVmLXR5cGUgbmFtZT0iSm91cm5hbCBB
cnRpY2xlIj4xNzwvcmVmLXR5cGU+PGNvbnRyaWJ1dG9ycz48YXV0aG9ycz48YXV0aG9yPlB1bXAs
IFcuIEMuPC9hdXRob3I+PGF1dGhvcj5LcmFlbWVyLCBULjwvYXV0aG9yPjxhdXRob3I+SHV5dG9u
LCBULjwvYXV0aG9yPjxhdXRob3I+SG8sIEcuIFQuPC9hdXRob3I+PGF1dGhvcj5CbGFzY3p5aywg
Ui48L2F1dGhvcj48YXV0aG9yPkJhZGUtRG9lZGluZywgQy48L2F1dGhvcj48L2F1dGhvcnM+PC9j
b250cmlidXRvcnM+PGF1dGgtYWRkcmVzcz5JbnN0aXR1dGUgZm9yIFRyYW5zZnVzaW9uIE1lZGlj
aW5lLCBIYW5ub3ZlciBNZWRpY2FsIFNjaG9vbCwgTWVkaWNhbCBQYXJrLCBGZW9kb3ItTHluZW4t
U3RyLiA1LCAzMDYyNSBIYW5ub3ZlciwgR2VybWFueS4gQWJlbHMuV2llYmtlQG1oLWhhbm5vdmVy
LmRlLiYjeEQ7SW5zdGl0dXRlIGZvciBUcmFuc2Z1c2lvbiBNZWRpY2luZSwgSGFubm92ZXIgTWVk
aWNhbCBTY2hvb2wsIE1lZGljYWwgUGFyaywgRmVvZG9yLUx5bmVuLVN0ci4gNSwgMzA2MjUgSGFu
bm92ZXIsIEdlcm1hbnkuIHRoLmtyYWVtZXIxQGdtYWlsLmNvbS4mI3hEO0RlcGFydG1lbnQgb2Yg
Q2VsbHVsYXIgTG9naXN0aWNzLCBNYXggUGxhbmNrIEluc3RpdHV0ZSBmb3IgQmlvcGh5c2ljYWwg
Q2hlbWlzdHJ5LCBBbSBGYXNzYmVyZyAxMSwgMzcwNzcgR290dGluZ2VuLCBHZXJtYW55LiB0cmV2
b3IuaHV5dG9uQG1waWJwYy5tcGcuZGUuJiN4RDtJbnN0aXR1dGUgZm9yIFRyYW5zZnVzaW9uIE1l
ZGljaW5lLCBIYW5ub3ZlciBNZWRpY2FsIFNjaG9vbCwgTWVkaWNhbCBQYXJrLCBGZW9kb3ItTHlu
ZW4tU3RyLiA1LCAzMDYyNSBIYW5ub3ZlciwgR2VybWFueS4gSG8uR2lhLUdpYUBtaC1oYW5ub3Zl
ci5kZS4mI3hEO0luc3RpdHV0ZSBmb3IgVHJhbnNmdXNpb24gTWVkaWNpbmUsIEhhbm5vdmVyIE1l
ZGljYWwgU2Nob29sLCBNZWRpY2FsIFBhcmssIEZlb2Rvci1MeW5lbi1TdHIuIDUsIDMwNjI1IEhh
bm5vdmVyLCBHZXJtYW55LiBibGFzY3p5ay5yYWluZXJAbWgtaGFubm92ZXIuZGUuJiN4RDtJbnN0
aXR1dGUgZm9yIFRyYW5zZnVzaW9uIE1lZGljaW5lLCBIYW5ub3ZlciBNZWRpY2FsIFNjaG9vbCwg
TWVkaWNhbCBQYXJrLCBGZW9kb3ItTHluZW4tU3RyLiA1LCAzMDYyNSBIYW5ub3ZlciwgR2VybWFu
eS4gYmFkZS1kb2VkaW5nLmNocmlzdGluYUBtaC1oYW5ub3Zlci5kZS48L2F1dGgtYWRkcmVzcz48
dGl0bGVzPjx0aXRsZT5CZXR3ZWVuIElubmF0ZSBhbmQgQWRhcHRpdmUgSW1tdW5lIFJlc3BvbnNl
czogTktHMkEsIE5LRzJDLCBhbmQgQ0Q4KCspIFQgQ2VsbCBSZWNvZ25pdGlvbiBvZiBITEEtRSBS
ZXN0cmljdGVkIFNlbGYtUGVwdGlkZXMgQWNxdWlyZWQgaW4gdGhlIEFic2VuY2Ugb2YgSExBLUlh
PC90aXRsZT48c2Vjb25kYXJ5LXRpdGxlPkludCBKIE1vbCBTY2k8L3NlY29uZGFyeS10aXRsZT48
L3RpdGxlcz48cGVyaW9kaWNhbD48ZnVsbC10aXRsZT5JbnQgSiBNb2wgU2NpPC9mdWxsLXRpdGxl
PjwvcGVyaW9kaWNhbD48dm9sdW1lPjIwPC92b2x1bWU+PG51bWJlcj42PC9udW1iZXI+PGVkaXRp
b24+MjAxOTAzMjI8L2VkaXRpb24+PGtleXdvcmRzPjxrZXl3b3JkPipBZGFwdGl2ZSBJbW11bml0
eTwva2V5d29yZD48a2V5d29yZD5DRDgtUG9zaXRpdmUgVC1MeW1waG9jeXRlcy9pbW11bm9sb2d5
L21ldGFib2xpc208L2tleXdvcmQ+PGtleXdvcmQ+Q2VsbCBMaW5lPC9rZXl3b3JkPjxrZXl3b3Jk
Pkhpc3RvY29tcGF0aWJpbGl0eSBBbnRpZ2VucyBDbGFzcyBJL2ltbXVub2xvZ3k8L2tleXdvcmQ+
PGtleXdvcmQ+SHVtYW5zPC9rZXl3b3JkPjxrZXl3b3JkPipJbW11bml0eSwgSW5uYXRlPC9rZXl3
b3JkPjxrZXl3b3JkPipJbW11bm9tb2R1bGF0aW9uPC9rZXl3b3JkPjxrZXl3b3JkPk5LIENlbGwg
TGVjdGluLUxpa2UgUmVjZXB0b3IgU3ViZmFtaWx5IEMvY2hlbWlzdHJ5L21ldGFib2xpc208L2tl
eXdvcmQ+PGtleXdvcmQ+TksgQ2VsbCBMZWN0aW4tTGlrZSBSZWNlcHRvciBTdWJmYW1pbHkgRC9j
aGVtaXN0cnkvbWV0YWJvbGlzbTwva2V5d29yZD48a2V5d29yZD5QZXB0aWRlcy9jaGVtaXN0cnkv
aW1tdW5vbG9neTwva2V5d29yZD48a2V5d29yZD5Qcm90ZWluIEJpbmRpbmc8L2tleXdvcmQ+PGtl
eXdvcmQ+UHJvdGVpbiBNdWx0aW1lcml6YXRpb248L2tleXdvcmQ+PGtleXdvcmQ+VC1MeW1waG9j
eXRlIFN1YnNldHMvaW1tdW5vbG9neS9tZXRhYm9saXNtPC9rZXl3b3JkPjxrZXl3b3JkPkhMQS1F
IEFudGlnZW5zPC9rZXl3b3JkPjxrZXl3b3JkPkhMQS1FIHBlcHRpZGUgbGlnYW5kczwva2V5d29y
ZD48a2V5d29yZD5JbW11bmUgRXZhc2lvbiBoQ01WPC9rZXl3b3JkPjxrZXl3b3JkPk5rZzJhL2Nk
OTQ8L2tleXdvcmQ+PGtleXdvcmQ+TmtnMmMvY2Q5NDwva2V5d29yZD48L2tleXdvcmRzPjxkYXRl
cz48eWVhcj4yMDE5PC95ZWFyPjxwdWItZGF0ZXM+PGRhdGU+TWFyIDIyPC9kYXRlPjwvcHViLWRh
dGVzPjwvZGF0ZXM+PGlzYm4+MTQyMi0wMDY3IChFbGVjdHJvbmljKSYjeEQ7MTQyMi0wMDY3IChM
aW5raW5nKTwvaXNibj48YWNjZXNzaW9uLW51bT4zMDkwOTQwMjwvYWNjZXNzaW9uLW51bT48dXJs
cz48cmVsYXRlZC11cmxzPjx1cmw+aHR0cHM6Ly93d3cubmNiaS5ubG0ubmloLmdvdi9wdWJtZWQv
MzA5MDk0MDI8L3VybD48L3JlbGF0ZWQtdXJscz48L3VybHM+PGN1c3RvbTE+VGhlIGF1dGhvcnMg
ZGVjbGFyZSBubyBjb25mbGljdCBvZiBpbnRlcmVzdC48L2N1c3RvbTE+PGN1c3RvbTI+UE1DNjQ3
MTA1NzwvY3VzdG9tMj48ZWxlY3Ryb25pYy1yZXNvdXJjZS1udW0+MTAuMzM5MC9pam1zMjAwNjE0
NTQ8L2VsZWN0cm9uaWMtcmVzb3VyY2UtbnVtPjxyZW1vdGUtZGF0YWJhc2UtbmFtZT5NZWRsaW5l
PC9yZW1vdGUtZGF0YWJhc2UtbmFtZT48cmVtb3RlLWRhdGFiYXNlLXByb3ZpZGVyPk5MTTwvcmVt
b3RlLWRhdGFiYXNlLXByb3ZpZGVyPjwvcmVjb3JkPjwvQ2l0ZT48L0VuZE5vdGU+
</w:fldData>
              </w:fldChar>
            </w:r>
            <w:r w:rsidR="00A804EA">
              <w:rPr>
                <w:rFonts w:ascii="Times New Roman" w:hAnsi="Times New Roman" w:cs="Times New Roman"/>
                <w:sz w:val="18"/>
                <w:szCs w:val="20"/>
              </w:rPr>
              <w:instrText xml:space="preserve"> ADDIN EN.CITE.DATA </w:instrText>
            </w:r>
            <w:r w:rsidR="00A804EA">
              <w:rPr>
                <w:rFonts w:ascii="Times New Roman" w:hAnsi="Times New Roman" w:cs="Times New Roman"/>
                <w:sz w:val="18"/>
                <w:szCs w:val="20"/>
              </w:rPr>
            </w:r>
            <w:r w:rsidR="00A804EA">
              <w:rPr>
                <w:rFonts w:ascii="Times New Roman" w:hAnsi="Times New Roman" w:cs="Times New Roman"/>
                <w:sz w:val="18"/>
                <w:szCs w:val="20"/>
              </w:rPr>
              <w:fldChar w:fldCharType="end"/>
            </w:r>
            <w:r>
              <w:rPr>
                <w:rFonts w:ascii="Times New Roman" w:hAnsi="Times New Roman" w:cs="Times New Roman"/>
                <w:sz w:val="18"/>
                <w:szCs w:val="20"/>
              </w:rPr>
            </w:r>
            <w:r>
              <w:rPr>
                <w:rFonts w:ascii="Times New Roman" w:hAnsi="Times New Roman" w:cs="Times New Roman"/>
                <w:sz w:val="18"/>
                <w:szCs w:val="20"/>
              </w:rPr>
              <w:fldChar w:fldCharType="separate"/>
            </w:r>
            <w:r w:rsidR="00A804EA">
              <w:rPr>
                <w:rFonts w:ascii="Times New Roman" w:hAnsi="Times New Roman" w:cs="Times New Roman"/>
                <w:noProof/>
                <w:sz w:val="18"/>
                <w:szCs w:val="20"/>
              </w:rPr>
              <w:t>[13]</w:t>
            </w:r>
            <w:r>
              <w:rPr>
                <w:rFonts w:ascii="Times New Roman" w:hAnsi="Times New Roman" w:cs="Times New Roman"/>
                <w:sz w:val="18"/>
                <w:szCs w:val="20"/>
              </w:rPr>
              <w:fldChar w:fldCharType="end"/>
            </w:r>
            <w:r>
              <w:rPr>
                <w:rFonts w:ascii="Times New Roman" w:hAnsi="Times New Roman" w:cs="Times New Roman"/>
                <w:sz w:val="18"/>
                <w:szCs w:val="20"/>
              </w:rPr>
              <w:t>.</w:t>
            </w:r>
          </w:p>
        </w:tc>
      </w:tr>
      <w:tr w:rsidR="00C723C7" w14:paraId="0C3D5B80" w14:textId="77777777">
        <w:trPr>
          <w:tblCellSpacing w:w="15" w:type="dxa"/>
        </w:trPr>
        <w:tc>
          <w:tcPr>
            <w:tcW w:w="1551" w:type="dxa"/>
            <w:vAlign w:val="center"/>
          </w:tcPr>
          <w:p w14:paraId="541E5E60" w14:textId="77777777" w:rsidR="00C723C7" w:rsidRDefault="00000000">
            <w:pPr>
              <w:rPr>
                <w:rFonts w:ascii="Times New Roman" w:hAnsi="Times New Roman" w:cs="Times New Roman"/>
                <w:sz w:val="18"/>
                <w:szCs w:val="20"/>
              </w:rPr>
            </w:pPr>
            <w:r>
              <w:rPr>
                <w:rFonts w:ascii="Times New Roman" w:hAnsi="Times New Roman" w:cs="Times New Roman"/>
                <w:sz w:val="18"/>
                <w:szCs w:val="20"/>
              </w:rPr>
              <w:t>LPL</w:t>
            </w:r>
          </w:p>
        </w:tc>
        <w:tc>
          <w:tcPr>
            <w:tcW w:w="1635" w:type="dxa"/>
            <w:vAlign w:val="center"/>
          </w:tcPr>
          <w:p w14:paraId="2C17609E" w14:textId="77777777" w:rsidR="00C723C7" w:rsidRDefault="00000000">
            <w:pPr>
              <w:jc w:val="left"/>
              <w:rPr>
                <w:rFonts w:ascii="Times New Roman" w:hAnsi="Times New Roman" w:cs="Times New Roman"/>
                <w:sz w:val="18"/>
                <w:szCs w:val="20"/>
              </w:rPr>
            </w:pPr>
            <w:r>
              <w:rPr>
                <w:rFonts w:ascii="Times New Roman" w:hAnsi="Times New Roman" w:cs="Times New Roman"/>
                <w:sz w:val="18"/>
                <w:szCs w:val="20"/>
              </w:rPr>
              <w:t>Lipoprotein Lipase</w:t>
            </w:r>
          </w:p>
        </w:tc>
        <w:tc>
          <w:tcPr>
            <w:tcW w:w="962" w:type="dxa"/>
            <w:vAlign w:val="center"/>
          </w:tcPr>
          <w:p w14:paraId="17E25BC7" w14:textId="77777777" w:rsidR="00C723C7" w:rsidRDefault="00000000">
            <w:pPr>
              <w:rPr>
                <w:rFonts w:ascii="Times New Roman" w:hAnsi="Times New Roman" w:cs="Times New Roman"/>
                <w:sz w:val="18"/>
                <w:szCs w:val="20"/>
              </w:rPr>
            </w:pPr>
            <w:r>
              <w:rPr>
                <w:rFonts w:ascii="Times New Roman" w:eastAsia="宋体" w:hAnsi="Times New Roman" w:cs="Times New Roman"/>
                <w:kern w:val="0"/>
                <w:sz w:val="18"/>
                <w:szCs w:val="18"/>
              </w:rPr>
              <w:t>0.13255639</w:t>
            </w:r>
          </w:p>
        </w:tc>
        <w:tc>
          <w:tcPr>
            <w:tcW w:w="4008" w:type="dxa"/>
            <w:vAlign w:val="center"/>
          </w:tcPr>
          <w:p w14:paraId="61E7949E" w14:textId="53C039B0" w:rsidR="00C723C7" w:rsidRDefault="00000000">
            <w:pPr>
              <w:rPr>
                <w:rFonts w:ascii="Times New Roman" w:hAnsi="Times New Roman" w:cs="Times New Roman"/>
                <w:sz w:val="18"/>
                <w:szCs w:val="20"/>
              </w:rPr>
            </w:pPr>
            <w:r>
              <w:rPr>
                <w:rFonts w:ascii="Times New Roman" w:hAnsi="Times New Roman" w:cs="Times New Roman"/>
                <w:sz w:val="18"/>
                <w:szCs w:val="20"/>
              </w:rPr>
              <w:t>Hydrolyzes triglycerides in circulating lipoproteins and regulates fatty-acid uptake, lipid metabolism, and energy utilization</w:t>
            </w:r>
            <w:r>
              <w:rPr>
                <w:rFonts w:ascii="Times New Roman" w:hAnsi="Times New Roman" w:cs="Times New Roman" w:hint="eastAsia"/>
                <w:sz w:val="18"/>
                <w:szCs w:val="20"/>
              </w:rPr>
              <w:t xml:space="preserve"> </w:t>
            </w:r>
            <w:r>
              <w:rPr>
                <w:rFonts w:ascii="Times New Roman" w:hAnsi="Times New Roman" w:cs="Times New Roman"/>
                <w:sz w:val="18"/>
                <w:szCs w:val="20"/>
              </w:rPr>
              <w:fldChar w:fldCharType="begin"/>
            </w:r>
            <w:r w:rsidR="00A804EA">
              <w:rPr>
                <w:rFonts w:ascii="Times New Roman" w:hAnsi="Times New Roman" w:cs="Times New Roman"/>
                <w:sz w:val="18"/>
                <w:szCs w:val="20"/>
              </w:rPr>
              <w:instrText xml:space="preserve"> ADDIN EN.CITE &lt;EndNote&gt;&lt;Cite&gt;&lt;Author&gt;Goldberg&lt;/Author&gt;&lt;Year&gt;2009&lt;/Year&gt;&lt;RecNum&gt;624&lt;/RecNum&gt;&lt;DisplayText&gt;[14]&lt;/DisplayText&gt;&lt;record&gt;&lt;rec-number&gt;624&lt;/rec-number&gt;&lt;foreign-keys&gt;&lt;key app="EN" db-id="va0vwdrrpewve7etaerxrpf5vw2d0xf5d2sf" timestamp="1789109261"&gt;624&lt;/key&gt;&lt;/foreign-keys&gt;&lt;ref-type name="Journal Article"&gt;17&lt;/ref-type&gt;&lt;contributors&gt;&lt;authors&gt;&lt;author&gt;Goldberg, I. J.&lt;/author&gt;&lt;author&gt;Eckel, R. H.&lt;/author&gt;&lt;author&gt;Abumrad, N. A.&lt;/author&gt;&lt;/authors&gt;&lt;/contributors&gt;&lt;auth-address&gt;Division of Preventive Medicine and Nutrition, Department of Medicine, Columbia University, New York, NY, USA. iijg3@columbia.edu&lt;/auth-address&gt;&lt;titles&gt;&lt;title&gt;Regulation of fatty acid uptake into tissues: lipoprotein lipase- and CD36-mediated pathways&lt;/title&gt;&lt;secondary-title&gt;J Lipid Res&lt;/secondary-title&gt;&lt;/titles&gt;&lt;periodical&gt;&lt;full-title&gt;J Lipid Res&lt;/full-title&gt;&lt;/periodical&gt;&lt;pages&gt;S86-90&lt;/pages&gt;&lt;volume&gt;50 Suppl&lt;/volume&gt;&lt;number&gt;Suppl&lt;/number&gt;&lt;edition&gt;20081124&lt;/edition&gt;&lt;keywords&gt;&lt;keyword&gt;Animals&lt;/keyword&gt;&lt;keyword&gt;Biological Transport&lt;/keyword&gt;&lt;keyword&gt;CD36 Antigens/*metabolism&lt;/keyword&gt;&lt;keyword&gt;Fatty Acids/*metabolism&lt;/keyword&gt;&lt;keyword&gt;Hormones/metabolism&lt;/keyword&gt;&lt;keyword&gt;Humans&lt;/keyword&gt;&lt;keyword&gt;Lipolysis&lt;/keyword&gt;&lt;keyword&gt;Lipoprotein Lipase/*metabolism&lt;/keyword&gt;&lt;keyword&gt;*Signal Transduction&lt;/keyword&gt;&lt;/keywords&gt;&lt;dates&gt;&lt;year&gt;2009&lt;/year&gt;&lt;pub-dates&gt;&lt;date&gt;Apr&lt;/date&gt;&lt;/pub-dates&gt;&lt;/dates&gt;&lt;isbn&gt;0022-2275 (Print)&amp;#xD;0022-2275 (Linking)&lt;/isbn&gt;&lt;accession-num&gt;19033209&lt;/accession-num&gt;&lt;urls&gt;&lt;related-urls&gt;&lt;url&gt;https://www.ncbi.nlm.nih.gov/pubmed/19033209&lt;/url&gt;&lt;/related-urls&gt;&lt;/urls&gt;&lt;custom2&gt;PMC2674753&lt;/custom2&gt;&lt;electronic-resource-num&gt;10.1194/jlr.R800085-JLR200&lt;/electronic-resource-num&gt;&lt;remote-database-name&gt;Medline&lt;/remote-database-name&gt;&lt;remote-database-provider&gt;NLM&lt;/remote-database-provider&gt;&lt;/record&gt;&lt;/Cite&gt;&lt;/EndNote&gt;</w:instrText>
            </w:r>
            <w:r>
              <w:rPr>
                <w:rFonts w:ascii="Times New Roman" w:hAnsi="Times New Roman" w:cs="Times New Roman"/>
                <w:sz w:val="18"/>
                <w:szCs w:val="20"/>
              </w:rPr>
              <w:fldChar w:fldCharType="separate"/>
            </w:r>
            <w:r w:rsidR="00A804EA">
              <w:rPr>
                <w:rFonts w:ascii="Times New Roman" w:hAnsi="Times New Roman" w:cs="Times New Roman"/>
                <w:noProof/>
                <w:sz w:val="18"/>
                <w:szCs w:val="20"/>
              </w:rPr>
              <w:t>[14]</w:t>
            </w:r>
            <w:r>
              <w:rPr>
                <w:rFonts w:ascii="Times New Roman" w:hAnsi="Times New Roman" w:cs="Times New Roman"/>
                <w:sz w:val="18"/>
                <w:szCs w:val="20"/>
              </w:rPr>
              <w:fldChar w:fldCharType="end"/>
            </w:r>
            <w:r>
              <w:rPr>
                <w:rFonts w:ascii="Times New Roman" w:hAnsi="Times New Roman" w:cs="Times New Roman"/>
                <w:sz w:val="18"/>
                <w:szCs w:val="20"/>
              </w:rPr>
              <w:t>.</w:t>
            </w:r>
          </w:p>
        </w:tc>
      </w:tr>
      <w:tr w:rsidR="00C723C7" w14:paraId="3482FF0C" w14:textId="77777777">
        <w:trPr>
          <w:tblCellSpacing w:w="15" w:type="dxa"/>
        </w:trPr>
        <w:tc>
          <w:tcPr>
            <w:tcW w:w="1551" w:type="dxa"/>
            <w:vAlign w:val="center"/>
          </w:tcPr>
          <w:p w14:paraId="28EBF8C5" w14:textId="77777777" w:rsidR="00C723C7" w:rsidRDefault="00000000">
            <w:pPr>
              <w:rPr>
                <w:rFonts w:ascii="Times New Roman" w:hAnsi="Times New Roman" w:cs="Times New Roman"/>
                <w:sz w:val="18"/>
                <w:szCs w:val="20"/>
              </w:rPr>
            </w:pPr>
            <w:r>
              <w:rPr>
                <w:rFonts w:ascii="Times New Roman" w:hAnsi="Times New Roman" w:cs="Times New Roman"/>
                <w:sz w:val="18"/>
                <w:szCs w:val="20"/>
              </w:rPr>
              <w:t>IL6</w:t>
            </w:r>
          </w:p>
        </w:tc>
        <w:tc>
          <w:tcPr>
            <w:tcW w:w="1635" w:type="dxa"/>
            <w:vAlign w:val="center"/>
          </w:tcPr>
          <w:p w14:paraId="7FB36B0A" w14:textId="77777777" w:rsidR="00C723C7" w:rsidRDefault="00000000">
            <w:pPr>
              <w:jc w:val="left"/>
              <w:rPr>
                <w:rFonts w:ascii="Times New Roman" w:hAnsi="Times New Roman" w:cs="Times New Roman"/>
                <w:sz w:val="18"/>
                <w:szCs w:val="20"/>
              </w:rPr>
            </w:pPr>
            <w:r>
              <w:rPr>
                <w:rFonts w:ascii="Times New Roman" w:hAnsi="Times New Roman" w:cs="Times New Roman"/>
                <w:sz w:val="18"/>
                <w:szCs w:val="20"/>
              </w:rPr>
              <w:t>Interleukin 6</w:t>
            </w:r>
          </w:p>
        </w:tc>
        <w:tc>
          <w:tcPr>
            <w:tcW w:w="962" w:type="dxa"/>
            <w:vAlign w:val="center"/>
          </w:tcPr>
          <w:p w14:paraId="211E57CB" w14:textId="77777777" w:rsidR="00C723C7" w:rsidRDefault="00000000">
            <w:pPr>
              <w:rPr>
                <w:rFonts w:ascii="Times New Roman" w:hAnsi="Times New Roman" w:cs="Times New Roman"/>
                <w:sz w:val="18"/>
                <w:szCs w:val="20"/>
              </w:rPr>
            </w:pPr>
            <w:r>
              <w:rPr>
                <w:rFonts w:ascii="Times New Roman" w:eastAsia="宋体" w:hAnsi="Times New Roman" w:cs="Times New Roman"/>
                <w:kern w:val="0"/>
                <w:sz w:val="18"/>
                <w:szCs w:val="18"/>
              </w:rPr>
              <w:t>0.16830461</w:t>
            </w:r>
          </w:p>
        </w:tc>
        <w:tc>
          <w:tcPr>
            <w:tcW w:w="4008" w:type="dxa"/>
            <w:vAlign w:val="center"/>
          </w:tcPr>
          <w:p w14:paraId="241AD5A6" w14:textId="77777777" w:rsidR="00C723C7" w:rsidRDefault="00000000">
            <w:pPr>
              <w:rPr>
                <w:rFonts w:ascii="Times New Roman" w:hAnsi="Times New Roman" w:cs="Times New Roman"/>
                <w:sz w:val="18"/>
                <w:szCs w:val="20"/>
              </w:rPr>
            </w:pPr>
            <w:r>
              <w:rPr>
                <w:rFonts w:ascii="Times New Roman" w:hAnsi="Times New Roman" w:cs="Times New Roman"/>
                <w:sz w:val="18"/>
                <w:szCs w:val="20"/>
              </w:rPr>
              <w:t>Pleiotropic inflammatory cytokine that regulates acute-phase responses, immune activation, hematopoiesis, and systemic inflammation.</w:t>
            </w:r>
          </w:p>
        </w:tc>
      </w:tr>
      <w:tr w:rsidR="00C723C7" w14:paraId="0D054059" w14:textId="77777777">
        <w:trPr>
          <w:tblCellSpacing w:w="15" w:type="dxa"/>
        </w:trPr>
        <w:tc>
          <w:tcPr>
            <w:tcW w:w="1551" w:type="dxa"/>
            <w:vAlign w:val="center"/>
          </w:tcPr>
          <w:p w14:paraId="207F3C9D" w14:textId="77777777" w:rsidR="00C723C7" w:rsidRDefault="00000000">
            <w:pPr>
              <w:rPr>
                <w:rFonts w:ascii="Times New Roman" w:hAnsi="Times New Roman" w:cs="Times New Roman"/>
                <w:sz w:val="18"/>
                <w:szCs w:val="20"/>
              </w:rPr>
            </w:pPr>
            <w:r>
              <w:rPr>
                <w:rFonts w:ascii="Times New Roman" w:hAnsi="Times New Roman" w:cs="Times New Roman"/>
                <w:sz w:val="18"/>
                <w:szCs w:val="20"/>
              </w:rPr>
              <w:t>CKMT1A/CKMT1B</w:t>
            </w:r>
          </w:p>
        </w:tc>
        <w:tc>
          <w:tcPr>
            <w:tcW w:w="1635" w:type="dxa"/>
            <w:vAlign w:val="center"/>
          </w:tcPr>
          <w:p w14:paraId="4C4510ED" w14:textId="77777777" w:rsidR="00C723C7" w:rsidRDefault="00000000">
            <w:pPr>
              <w:jc w:val="left"/>
              <w:rPr>
                <w:rFonts w:ascii="Times New Roman" w:hAnsi="Times New Roman" w:cs="Times New Roman"/>
                <w:sz w:val="18"/>
                <w:szCs w:val="20"/>
              </w:rPr>
            </w:pPr>
            <w:r>
              <w:rPr>
                <w:rFonts w:ascii="Times New Roman" w:hAnsi="Times New Roman" w:cs="Times New Roman"/>
                <w:sz w:val="18"/>
                <w:szCs w:val="20"/>
              </w:rPr>
              <w:t>Creatine Kinase, Mitochondrial 1A / Creatine Kinase, Mitochondrial 1B</w:t>
            </w:r>
          </w:p>
        </w:tc>
        <w:tc>
          <w:tcPr>
            <w:tcW w:w="962" w:type="dxa"/>
            <w:vAlign w:val="center"/>
          </w:tcPr>
          <w:p w14:paraId="10A72F4A" w14:textId="77777777" w:rsidR="00C723C7" w:rsidRDefault="00000000">
            <w:pPr>
              <w:rPr>
                <w:rFonts w:ascii="Times New Roman" w:hAnsi="Times New Roman" w:cs="Times New Roman"/>
                <w:sz w:val="18"/>
                <w:szCs w:val="20"/>
              </w:rPr>
            </w:pPr>
            <w:r>
              <w:rPr>
                <w:rFonts w:ascii="Times New Roman" w:eastAsia="宋体" w:hAnsi="Times New Roman" w:cs="Times New Roman"/>
                <w:kern w:val="0"/>
                <w:sz w:val="18"/>
                <w:szCs w:val="18"/>
              </w:rPr>
              <w:t>0.22934064</w:t>
            </w:r>
          </w:p>
        </w:tc>
        <w:tc>
          <w:tcPr>
            <w:tcW w:w="4008" w:type="dxa"/>
            <w:vAlign w:val="center"/>
          </w:tcPr>
          <w:p w14:paraId="78CDDF87" w14:textId="77777777" w:rsidR="00C723C7" w:rsidRDefault="00000000">
            <w:pPr>
              <w:rPr>
                <w:rFonts w:ascii="Times New Roman" w:hAnsi="Times New Roman" w:cs="Times New Roman"/>
                <w:sz w:val="18"/>
                <w:szCs w:val="20"/>
              </w:rPr>
            </w:pPr>
            <w:r>
              <w:rPr>
                <w:rFonts w:ascii="Times New Roman" w:hAnsi="Times New Roman" w:cs="Times New Roman"/>
                <w:sz w:val="18"/>
                <w:szCs w:val="20"/>
              </w:rPr>
              <w:t>Mitochondrial creatine kinases that mediate phosphocreatine-dependent energy transfer and contribute to cellular energy homeostasis.</w:t>
            </w:r>
          </w:p>
        </w:tc>
      </w:tr>
      <w:tr w:rsidR="00C723C7" w14:paraId="048F0215" w14:textId="77777777">
        <w:trPr>
          <w:tblCellSpacing w:w="15" w:type="dxa"/>
        </w:trPr>
        <w:tc>
          <w:tcPr>
            <w:tcW w:w="1551" w:type="dxa"/>
            <w:vAlign w:val="center"/>
          </w:tcPr>
          <w:p w14:paraId="1D824504" w14:textId="77777777" w:rsidR="00C723C7" w:rsidRDefault="00000000">
            <w:pPr>
              <w:rPr>
                <w:rFonts w:ascii="Times New Roman" w:hAnsi="Times New Roman" w:cs="Times New Roman"/>
                <w:sz w:val="18"/>
                <w:szCs w:val="20"/>
              </w:rPr>
            </w:pPr>
            <w:r>
              <w:rPr>
                <w:rFonts w:ascii="Times New Roman" w:hAnsi="Times New Roman" w:cs="Times New Roman"/>
                <w:sz w:val="18"/>
                <w:szCs w:val="20"/>
              </w:rPr>
              <w:t>TFRC</w:t>
            </w:r>
          </w:p>
        </w:tc>
        <w:tc>
          <w:tcPr>
            <w:tcW w:w="1635" w:type="dxa"/>
            <w:vAlign w:val="center"/>
          </w:tcPr>
          <w:p w14:paraId="299E6426" w14:textId="77777777" w:rsidR="00C723C7" w:rsidRDefault="00000000">
            <w:pPr>
              <w:jc w:val="left"/>
              <w:rPr>
                <w:rFonts w:ascii="Times New Roman" w:hAnsi="Times New Roman" w:cs="Times New Roman"/>
                <w:sz w:val="18"/>
                <w:szCs w:val="20"/>
              </w:rPr>
            </w:pPr>
            <w:r>
              <w:rPr>
                <w:rFonts w:ascii="Times New Roman" w:hAnsi="Times New Roman" w:cs="Times New Roman"/>
                <w:sz w:val="18"/>
                <w:szCs w:val="20"/>
              </w:rPr>
              <w:t>Transferrin Receptor</w:t>
            </w:r>
          </w:p>
        </w:tc>
        <w:tc>
          <w:tcPr>
            <w:tcW w:w="962" w:type="dxa"/>
            <w:vAlign w:val="center"/>
          </w:tcPr>
          <w:p w14:paraId="3C74DA66" w14:textId="77777777" w:rsidR="00C723C7" w:rsidRDefault="00000000">
            <w:pPr>
              <w:rPr>
                <w:rFonts w:ascii="Times New Roman" w:hAnsi="Times New Roman" w:cs="Times New Roman"/>
                <w:sz w:val="18"/>
                <w:szCs w:val="20"/>
              </w:rPr>
            </w:pPr>
            <w:r>
              <w:rPr>
                <w:rFonts w:ascii="Times New Roman" w:eastAsia="宋体" w:hAnsi="Times New Roman" w:cs="Times New Roman"/>
                <w:kern w:val="0"/>
                <w:sz w:val="18"/>
                <w:szCs w:val="18"/>
              </w:rPr>
              <w:t>0.26780320</w:t>
            </w:r>
          </w:p>
        </w:tc>
        <w:tc>
          <w:tcPr>
            <w:tcW w:w="4008" w:type="dxa"/>
            <w:vAlign w:val="center"/>
          </w:tcPr>
          <w:p w14:paraId="69EB57AA" w14:textId="1D407687" w:rsidR="00C723C7" w:rsidRDefault="00000000">
            <w:pPr>
              <w:rPr>
                <w:rFonts w:ascii="Times New Roman" w:hAnsi="Times New Roman" w:cs="Times New Roman"/>
                <w:sz w:val="18"/>
                <w:szCs w:val="20"/>
              </w:rPr>
            </w:pPr>
            <w:r>
              <w:rPr>
                <w:rFonts w:ascii="Times New Roman" w:hAnsi="Times New Roman" w:cs="Times New Roman"/>
                <w:sz w:val="18"/>
                <w:szCs w:val="20"/>
              </w:rPr>
              <w:t>Cell-surface receptor for transferrin that mediates cellular iron uptake and contributes to iron homeostasis, proliferation, and oxidative metabolism</w:t>
            </w:r>
            <w:r>
              <w:rPr>
                <w:rFonts w:ascii="Times New Roman" w:hAnsi="Times New Roman" w:cs="Times New Roman" w:hint="eastAsia"/>
                <w:sz w:val="18"/>
                <w:szCs w:val="20"/>
              </w:rPr>
              <w:t xml:space="preserve"> </w:t>
            </w:r>
            <w:r>
              <w:rPr>
                <w:rFonts w:ascii="Times New Roman" w:hAnsi="Times New Roman" w:cs="Times New Roman"/>
                <w:sz w:val="18"/>
                <w:szCs w:val="20"/>
              </w:rPr>
              <w:fldChar w:fldCharType="begin">
                <w:fldData xml:space="preserve">PEVuZE5vdGU+PENpdGU+PEF1dGhvcj5DYW5kZWxhcmlhPC9BdXRob3I+PFllYXI+MjAyMTwvWWVh
cj48UmVjTnVtPjYyNTwvUmVjTnVtPjxEaXNwbGF5VGV4dD5bMTVdPC9EaXNwbGF5VGV4dD48cmVj
b3JkPjxyZWMtbnVtYmVyPjYyNTwvcmVjLW51bWJlcj48Zm9yZWlnbi1rZXlzPjxrZXkgYXBwPSJF
TiIgZGItaWQ9InZhMHZ3ZHJycGV3dmU3ZXRhZXJ4cnBmNXZ3MmQweGY1ZDJzZiIgdGltZXN0YW1w
PSIxNzg5MTA5MzAxIj42MjU8L2tleT48L2ZvcmVpZ24ta2V5cz48cmVmLXR5cGUgbmFtZT0iSm91
cm5hbCBBcnRpY2xlIj4xNzwvcmVmLXR5cGU+PGNvbnRyaWJ1dG9ycz48YXV0aG9ycz48YXV0aG9y
PkNhbmRlbGFyaWEsIFAuIFYuPC9hdXRob3I+PGF1dGhvcj5MZW9oLCBMLiBTLjwvYXV0aG9yPjxh
dXRob3I+UGVuaWNoZXQsIE0uIEwuPC9hdXRob3I+PGF1dGhvcj5EYW5pZWxzLVdlbGxzLCBULiBS
LjwvYXV0aG9yPjwvYXV0aG9ycz48L2NvbnRyaWJ1dG9ycz48YXV0aC1hZGRyZXNzPkRpdmlzaW9u
IG9mIFN1cmdpY2FsIE9uY29sb2d5LCBEZXBhcnRtZW50IG9mIFN1cmdlcnksIERhdmlkIEdlZmZl
biBTY2hvb2wgb2YgTWVkaWNpbmUgYXQgdGhlIFVuaXZlcnNpdHkgb2YgQ2FsaWZvcm5pYSwgTG9z
IEFuZ2VsZXMgKFVDTEEpLCBMb3MgQW5nZWxlcywgQ0EsIFVuaXRlZCBTdGF0ZXMuJiN4RDtEZXBh
cnRtZW50IG9mIE1pY3JvYmlvbG9neSwgSW1tdW5vbG9neSwgYW5kIE1vbGVjdWxhciBHZW5ldGlj
cywgRGF2aWQgR2VmZmVuIFNjaG9vbCBvZiBNZWRpY2luZSBhdCBVQ0xBLCBMb3MgQW5nZWxlcywg
Q0EsIFVuaXRlZCBTdGF0ZXMuJiN4RDtKb25zc29uIENvbXByZWhlbnNpdmUgQ2FuY2VyIENlbnRl
ciwgVUNMQSwgTG9zIEFuZ2VsZXMsIENBLCBVbml0ZWQgU3RhdGVzLiYjeEQ7VGhlIE1vbGVjdWxh
ciBCaW9sb2d5IEluc3RpdHV0ZSwgVUNMQSwgTG9zIEFuZ2VsZXMsIENBLCBVbml0ZWQgU3RhdGVz
LiYjeEQ7VUNMQSBBSURTIEluc3RpdHV0ZSwgVUNMQSwgTG9zIEFuZ2VsZXMsIENBLCBVbml0ZWQg
U3RhdGVzLjwvYXV0aC1hZGRyZXNzPjx0aXRsZXM+PHRpdGxlPkFudGlib2RpZXMgVGFyZ2V0aW5n
IHRoZSBUcmFuc2ZlcnJpbiBSZWNlcHRvciAxIChUZlIxKSBhcyBEaXJlY3QgQW50aS1jYW5jZXIg
QWdlbnRzPC90aXRsZT48c2Vjb25kYXJ5LXRpdGxlPkZyb250IEltbXVub2w8L3NlY29uZGFyeS10
aXRsZT48L3RpdGxlcz48cGVyaW9kaWNhbD48ZnVsbC10aXRsZT5Gcm9udCBJbW11bm9sPC9mdWxs
LXRpdGxlPjwvcGVyaW9kaWNhbD48cGFnZXM+NjA3NjkyPC9wYWdlcz48dm9sdW1lPjEyPC92b2x1
bWU+PGVkaXRpb24+MjAyMTAzMTc8L2VkaXRpb24+PGtleXdvcmRzPjxrZXl3b3JkPkFuaW1hbHM8
L2tleXdvcmQ+PGtleXdvcmQ+QW50aWJvZHktRGVwZW5kZW50IENlbGwgQ3l0b3RveGljaXR5L2lt
bXVub2xvZ3k8L2tleXdvcmQ+PGtleXdvcmQ+QW50aWdlbnMsIENEPC9rZXl3b3JkPjxrZXl3b3Jk
PkFudGluZW9wbGFzdGljIEFnZW50cywgSW1tdW5vbG9naWNhbC8qcGhhcm1hY29sb2d5L3RoZXJh
cGV1dGljIHVzZTwva2V5d29yZD48a2V5d29yZD5CaW9sb2dpY2FsIFRyYW5zcG9ydC9kcnVnIGVm
ZmVjdHM8L2tleXdvcmQ+PGtleXdvcmQ+QmlvbWFya2VycywgVHVtb3I8L2tleXdvcmQ+PGtleXdv
cmQ+Q2VsbCBMaW5lLCBUdW1vcjwva2V5d29yZD48a2V5d29yZD5EcnVnIEV2YWx1YXRpb24sIFBy
ZWNsaW5pY2FsPC9rZXl3b3JkPjxrZXl3b3JkPkdlbmUgRXhwcmVzc2lvbiBSZWd1bGF0aW9uLCBO
ZW9wbGFzdGljPC9rZXl3b3JkPjxrZXl3b3JkPkh1bWFuczwva2V5d29yZD48a2V5d29yZD5Jcm9u
L21ldGFib2xpc208L2tleXdvcmQ+PGtleXdvcmQ+TW9sZWN1bGFyIFRhcmdldGVkIFRoZXJhcHkv
YWR2ZXJzZSBlZmZlY3RzL21ldGhvZHM8L2tleXdvcmQ+PGtleXdvcmQ+UmVjZXB0b3JzLCBUcmFu
c2ZlcnJpbi8qYW50YWdvbmlzdHMgJmFtcDsgaW5oaWJpdG9yczwva2V5d29yZD48a2V5d29yZD5T
aWduYWwgVHJhbnNkdWN0aW9uPC9rZXl3b3JkPjxrZXl3b3JkPlhlbm9ncmFmdCBNb2RlbCBBbnRp
dHVtb3IgQXNzYXlzPC9rZXl3b3JkPjxrZXl3b3JkPkNkNzE8L2tleXdvcmQ+PGtleXdvcmQ+YW50
aWJvZHktbWVkaWF0ZWQgZWZmZWN0b3IgZnVuY3Rpb25zPC9rZXl3b3JkPjxrZXl3b3JkPmNhbmNl
cjwva2V5d29yZD48a2V5d29yZD5pbW11bm90aGVyYXB5PC9rZXl3b3JkPjxrZXl3b3JkPmlyb24g
ZGVwcml2YXRpb248L2tleXdvcmQ+PGtleXdvcmQ+dHJhbnNmZXJyaW4gcmVjZXB0b3I8L2tleXdv
cmQ+PC9rZXl3b3Jkcz48ZGF0ZXM+PHllYXI+MjAyMTwveWVhcj48L2RhdGVzPjxpc2JuPjE2NjQt
MzIyNCAoRWxlY3Ryb25pYykmI3hEOzE2NjQtMzIyNCAoTGlua2luZyk8L2lzYm4+PGFjY2Vzc2lv
bi1udW0+MzM4MTUzNjQ8L2FjY2Vzc2lvbi1udW0+PHVybHM+PHJlbGF0ZWQtdXJscz48dXJsPmh0
dHBzOi8vd3d3Lm5jYmkubmxtLm5paC5nb3YvcHVibWVkLzMzODE1MzY0PC91cmw+PC9yZWxhdGVk
LXVybHM+PC91cmxzPjxjdXN0b20xPk1MUCBoYXMgZmluYW5jaWFsIGludGVyZXN0IGluIFN0ZWxs
YXIgQmlvc2NpZW5jZXMsIEluYy4gVGhlIFJlZ2VudHMgb2YgdGhlIFVuaXZlcnNpdHkgb2YgQ2Fs
aWZvcm5pYSBhcmUgaW4gZGlzY3Vzc2lvbnMgd2l0aCBTdGVsbGFyIEJpb3NjaWVuY2VzIHRvIGxp
Y2Vuc2UgYSB0ZWNobm9sb2d5IGludmVudGVkIGJ5IE1MUCB0byB0aGlzIGZpcm0uIEluIGFkZGl0
aW9uLCBNTFAgaGFzIGEgZmluYW5jaWFsIGludGVyZXN0IGluIEtseXNzIEJpb3RlY2gsIEluYy4g
VGhlIHJlbWFpbmluZyBhdXRob3JzIGRlY2xhcmUgdGhhdCB0aGUgcmVzZWFyY2ggd2FzIGNvbmR1
Y3RlZCBpbiB0aGUgYWJzZW5jZSBvZiBhbnkgY29tbWVyY2lhbCBvciBmaW5hbmNpYWwgcmVsYXRp
b25zaGlwcyB0aGF0IGNvdWxkIGJlIGNvbnN0cnVlZCBhcyBhIHBvdGVudGlhbCBjb25mbGljdCBv
ZiBpbnRlcmVzdC48L2N1c3RvbTE+PGN1c3RvbTI+UE1DODAxMDE0ODwvY3VzdG9tMj48ZWxlY3Ry
b25pYy1yZXNvdXJjZS1udW0+MTAuMzM4OS9maW1tdS4yMDIxLjYwNzY5MjwvZWxlY3Ryb25pYy1y
ZXNvdXJjZS1udW0+PHJlbW90ZS1kYXRhYmFzZS1uYW1lPk1lZGxpbmU8L3JlbW90ZS1kYXRhYmFz
ZS1uYW1lPjxyZW1vdGUtZGF0YWJhc2UtcHJvdmlkZXI+TkxNPC9yZW1vdGUtZGF0YWJhc2UtcHJv
dmlkZXI+PC9yZWNvcmQ+PC9DaXRlPjwvRW5kTm90ZT5=
</w:fldData>
              </w:fldChar>
            </w:r>
            <w:r w:rsidR="00A804EA">
              <w:rPr>
                <w:rFonts w:ascii="Times New Roman" w:hAnsi="Times New Roman" w:cs="Times New Roman"/>
                <w:sz w:val="18"/>
                <w:szCs w:val="20"/>
              </w:rPr>
              <w:instrText xml:space="preserve"> ADDIN EN.CITE </w:instrText>
            </w:r>
            <w:r w:rsidR="00A804EA">
              <w:rPr>
                <w:rFonts w:ascii="Times New Roman" w:hAnsi="Times New Roman" w:cs="Times New Roman"/>
                <w:sz w:val="18"/>
                <w:szCs w:val="20"/>
              </w:rPr>
              <w:fldChar w:fldCharType="begin">
                <w:fldData xml:space="preserve">PEVuZE5vdGU+PENpdGU+PEF1dGhvcj5DYW5kZWxhcmlhPC9BdXRob3I+PFllYXI+MjAyMTwvWWVh
cj48UmVjTnVtPjYyNTwvUmVjTnVtPjxEaXNwbGF5VGV4dD5bMTVdPC9EaXNwbGF5VGV4dD48cmVj
b3JkPjxyZWMtbnVtYmVyPjYyNTwvcmVjLW51bWJlcj48Zm9yZWlnbi1rZXlzPjxrZXkgYXBwPSJF
TiIgZGItaWQ9InZhMHZ3ZHJycGV3dmU3ZXRhZXJ4cnBmNXZ3MmQweGY1ZDJzZiIgdGltZXN0YW1w
PSIxNzg5MTA5MzAxIj42MjU8L2tleT48L2ZvcmVpZ24ta2V5cz48cmVmLXR5cGUgbmFtZT0iSm91
cm5hbCBBcnRpY2xlIj4xNzwvcmVmLXR5cGU+PGNvbnRyaWJ1dG9ycz48YXV0aG9ycz48YXV0aG9y
PkNhbmRlbGFyaWEsIFAuIFYuPC9hdXRob3I+PGF1dGhvcj5MZW9oLCBMLiBTLjwvYXV0aG9yPjxh
dXRob3I+UGVuaWNoZXQsIE0uIEwuPC9hdXRob3I+PGF1dGhvcj5EYW5pZWxzLVdlbGxzLCBULiBS
LjwvYXV0aG9yPjwvYXV0aG9ycz48L2NvbnRyaWJ1dG9ycz48YXV0aC1hZGRyZXNzPkRpdmlzaW9u
IG9mIFN1cmdpY2FsIE9uY29sb2d5LCBEZXBhcnRtZW50IG9mIFN1cmdlcnksIERhdmlkIEdlZmZl
biBTY2hvb2wgb2YgTWVkaWNpbmUgYXQgdGhlIFVuaXZlcnNpdHkgb2YgQ2FsaWZvcm5pYSwgTG9z
IEFuZ2VsZXMgKFVDTEEpLCBMb3MgQW5nZWxlcywgQ0EsIFVuaXRlZCBTdGF0ZXMuJiN4RDtEZXBh
cnRtZW50IG9mIE1pY3JvYmlvbG9neSwgSW1tdW5vbG9neSwgYW5kIE1vbGVjdWxhciBHZW5ldGlj
cywgRGF2aWQgR2VmZmVuIFNjaG9vbCBvZiBNZWRpY2luZSBhdCBVQ0xBLCBMb3MgQW5nZWxlcywg
Q0EsIFVuaXRlZCBTdGF0ZXMuJiN4RDtKb25zc29uIENvbXByZWhlbnNpdmUgQ2FuY2VyIENlbnRl
ciwgVUNMQSwgTG9zIEFuZ2VsZXMsIENBLCBVbml0ZWQgU3RhdGVzLiYjeEQ7VGhlIE1vbGVjdWxh
ciBCaW9sb2d5IEluc3RpdHV0ZSwgVUNMQSwgTG9zIEFuZ2VsZXMsIENBLCBVbml0ZWQgU3RhdGVz
LiYjeEQ7VUNMQSBBSURTIEluc3RpdHV0ZSwgVUNMQSwgTG9zIEFuZ2VsZXMsIENBLCBVbml0ZWQg
U3RhdGVzLjwvYXV0aC1hZGRyZXNzPjx0aXRsZXM+PHRpdGxlPkFudGlib2RpZXMgVGFyZ2V0aW5n
IHRoZSBUcmFuc2ZlcnJpbiBSZWNlcHRvciAxIChUZlIxKSBhcyBEaXJlY3QgQW50aS1jYW5jZXIg
QWdlbnRzPC90aXRsZT48c2Vjb25kYXJ5LXRpdGxlPkZyb250IEltbXVub2w8L3NlY29uZGFyeS10
aXRsZT48L3RpdGxlcz48cGVyaW9kaWNhbD48ZnVsbC10aXRsZT5Gcm9udCBJbW11bm9sPC9mdWxs
LXRpdGxlPjwvcGVyaW9kaWNhbD48cGFnZXM+NjA3NjkyPC9wYWdlcz48dm9sdW1lPjEyPC92b2x1
bWU+PGVkaXRpb24+MjAyMTAzMTc8L2VkaXRpb24+PGtleXdvcmRzPjxrZXl3b3JkPkFuaW1hbHM8
L2tleXdvcmQ+PGtleXdvcmQ+QW50aWJvZHktRGVwZW5kZW50IENlbGwgQ3l0b3RveGljaXR5L2lt
bXVub2xvZ3k8L2tleXdvcmQ+PGtleXdvcmQ+QW50aWdlbnMsIENEPC9rZXl3b3JkPjxrZXl3b3Jk
PkFudGluZW9wbGFzdGljIEFnZW50cywgSW1tdW5vbG9naWNhbC8qcGhhcm1hY29sb2d5L3RoZXJh
cGV1dGljIHVzZTwva2V5d29yZD48a2V5d29yZD5CaW9sb2dpY2FsIFRyYW5zcG9ydC9kcnVnIGVm
ZmVjdHM8L2tleXdvcmQ+PGtleXdvcmQ+QmlvbWFya2VycywgVHVtb3I8L2tleXdvcmQ+PGtleXdv
cmQ+Q2VsbCBMaW5lLCBUdW1vcjwva2V5d29yZD48a2V5d29yZD5EcnVnIEV2YWx1YXRpb24sIFBy
ZWNsaW5pY2FsPC9rZXl3b3JkPjxrZXl3b3JkPkdlbmUgRXhwcmVzc2lvbiBSZWd1bGF0aW9uLCBO
ZW9wbGFzdGljPC9rZXl3b3JkPjxrZXl3b3JkPkh1bWFuczwva2V5d29yZD48a2V5d29yZD5Jcm9u
L21ldGFib2xpc208L2tleXdvcmQ+PGtleXdvcmQ+TW9sZWN1bGFyIFRhcmdldGVkIFRoZXJhcHkv
YWR2ZXJzZSBlZmZlY3RzL21ldGhvZHM8L2tleXdvcmQ+PGtleXdvcmQ+UmVjZXB0b3JzLCBUcmFu
c2ZlcnJpbi8qYW50YWdvbmlzdHMgJmFtcDsgaW5oaWJpdG9yczwva2V5d29yZD48a2V5d29yZD5T
aWduYWwgVHJhbnNkdWN0aW9uPC9rZXl3b3JkPjxrZXl3b3JkPlhlbm9ncmFmdCBNb2RlbCBBbnRp
dHVtb3IgQXNzYXlzPC9rZXl3b3JkPjxrZXl3b3JkPkNkNzE8L2tleXdvcmQ+PGtleXdvcmQ+YW50
aWJvZHktbWVkaWF0ZWQgZWZmZWN0b3IgZnVuY3Rpb25zPC9rZXl3b3JkPjxrZXl3b3JkPmNhbmNl
cjwva2V5d29yZD48a2V5d29yZD5pbW11bm90aGVyYXB5PC9rZXl3b3JkPjxrZXl3b3JkPmlyb24g
ZGVwcml2YXRpb248L2tleXdvcmQ+PGtleXdvcmQ+dHJhbnNmZXJyaW4gcmVjZXB0b3I8L2tleXdv
cmQ+PC9rZXl3b3Jkcz48ZGF0ZXM+PHllYXI+MjAyMTwveWVhcj48L2RhdGVzPjxpc2JuPjE2NjQt
MzIyNCAoRWxlY3Ryb25pYykmI3hEOzE2NjQtMzIyNCAoTGlua2luZyk8L2lzYm4+PGFjY2Vzc2lv
bi1udW0+MzM4MTUzNjQ8L2FjY2Vzc2lvbi1udW0+PHVybHM+PHJlbGF0ZWQtdXJscz48dXJsPmh0
dHBzOi8vd3d3Lm5jYmkubmxtLm5paC5nb3YvcHVibWVkLzMzODE1MzY0PC91cmw+PC9yZWxhdGVk
LXVybHM+PC91cmxzPjxjdXN0b20xPk1MUCBoYXMgZmluYW5jaWFsIGludGVyZXN0IGluIFN0ZWxs
YXIgQmlvc2NpZW5jZXMsIEluYy4gVGhlIFJlZ2VudHMgb2YgdGhlIFVuaXZlcnNpdHkgb2YgQ2Fs
aWZvcm5pYSBhcmUgaW4gZGlzY3Vzc2lvbnMgd2l0aCBTdGVsbGFyIEJpb3NjaWVuY2VzIHRvIGxp
Y2Vuc2UgYSB0ZWNobm9sb2d5IGludmVudGVkIGJ5IE1MUCB0byB0aGlzIGZpcm0uIEluIGFkZGl0
aW9uLCBNTFAgaGFzIGEgZmluYW5jaWFsIGludGVyZXN0IGluIEtseXNzIEJpb3RlY2gsIEluYy4g
VGhlIHJlbWFpbmluZyBhdXRob3JzIGRlY2xhcmUgdGhhdCB0aGUgcmVzZWFyY2ggd2FzIGNvbmR1
Y3RlZCBpbiB0aGUgYWJzZW5jZSBvZiBhbnkgY29tbWVyY2lhbCBvciBmaW5hbmNpYWwgcmVsYXRp
b25zaGlwcyB0aGF0IGNvdWxkIGJlIGNvbnN0cnVlZCBhcyBhIHBvdGVudGlhbCBjb25mbGljdCBv
ZiBpbnRlcmVzdC48L2N1c3RvbTE+PGN1c3RvbTI+UE1DODAxMDE0ODwvY3VzdG9tMj48ZWxlY3Ry
b25pYy1yZXNvdXJjZS1udW0+MTAuMzM4OS9maW1tdS4yMDIxLjYwNzY5MjwvZWxlY3Ryb25pYy1y
ZXNvdXJjZS1udW0+PHJlbW90ZS1kYXRhYmFzZS1uYW1lPk1lZGxpbmU8L3JlbW90ZS1kYXRhYmFz
ZS1uYW1lPjxyZW1vdGUtZGF0YWJhc2UtcHJvdmlkZXI+TkxNPC9yZW1vdGUtZGF0YWJhc2UtcHJv
dmlkZXI+PC9yZWNvcmQ+PC9DaXRlPjwvRW5kTm90ZT5=
</w:fldData>
              </w:fldChar>
            </w:r>
            <w:r w:rsidR="00A804EA">
              <w:rPr>
                <w:rFonts w:ascii="Times New Roman" w:hAnsi="Times New Roman" w:cs="Times New Roman"/>
                <w:sz w:val="18"/>
                <w:szCs w:val="20"/>
              </w:rPr>
              <w:instrText xml:space="preserve"> ADDIN EN.CITE.DATA </w:instrText>
            </w:r>
            <w:r w:rsidR="00A804EA">
              <w:rPr>
                <w:rFonts w:ascii="Times New Roman" w:hAnsi="Times New Roman" w:cs="Times New Roman"/>
                <w:sz w:val="18"/>
                <w:szCs w:val="20"/>
              </w:rPr>
            </w:r>
            <w:r w:rsidR="00A804EA">
              <w:rPr>
                <w:rFonts w:ascii="Times New Roman" w:hAnsi="Times New Roman" w:cs="Times New Roman"/>
                <w:sz w:val="18"/>
                <w:szCs w:val="20"/>
              </w:rPr>
              <w:fldChar w:fldCharType="end"/>
            </w:r>
            <w:r>
              <w:rPr>
                <w:rFonts w:ascii="Times New Roman" w:hAnsi="Times New Roman" w:cs="Times New Roman"/>
                <w:sz w:val="18"/>
                <w:szCs w:val="20"/>
              </w:rPr>
            </w:r>
            <w:r>
              <w:rPr>
                <w:rFonts w:ascii="Times New Roman" w:hAnsi="Times New Roman" w:cs="Times New Roman"/>
                <w:sz w:val="18"/>
                <w:szCs w:val="20"/>
              </w:rPr>
              <w:fldChar w:fldCharType="separate"/>
            </w:r>
            <w:r w:rsidR="00A804EA">
              <w:rPr>
                <w:rFonts w:ascii="Times New Roman" w:hAnsi="Times New Roman" w:cs="Times New Roman"/>
                <w:noProof/>
                <w:sz w:val="18"/>
                <w:szCs w:val="20"/>
              </w:rPr>
              <w:t>[15]</w:t>
            </w:r>
            <w:r>
              <w:rPr>
                <w:rFonts w:ascii="Times New Roman" w:hAnsi="Times New Roman" w:cs="Times New Roman"/>
                <w:sz w:val="18"/>
                <w:szCs w:val="20"/>
              </w:rPr>
              <w:fldChar w:fldCharType="end"/>
            </w:r>
            <w:r>
              <w:rPr>
                <w:rFonts w:ascii="Times New Roman" w:hAnsi="Times New Roman" w:cs="Times New Roman"/>
                <w:sz w:val="18"/>
                <w:szCs w:val="20"/>
              </w:rPr>
              <w:t>.</w:t>
            </w:r>
          </w:p>
        </w:tc>
      </w:tr>
      <w:tr w:rsidR="00C723C7" w14:paraId="080A7217" w14:textId="77777777">
        <w:trPr>
          <w:tblCellSpacing w:w="15" w:type="dxa"/>
        </w:trPr>
        <w:tc>
          <w:tcPr>
            <w:tcW w:w="1551" w:type="dxa"/>
            <w:vAlign w:val="center"/>
          </w:tcPr>
          <w:p w14:paraId="7D4F93A0" w14:textId="77777777" w:rsidR="00C723C7" w:rsidRDefault="00000000">
            <w:pPr>
              <w:rPr>
                <w:rFonts w:ascii="Times New Roman" w:hAnsi="Times New Roman" w:cs="Times New Roman"/>
                <w:sz w:val="18"/>
                <w:szCs w:val="20"/>
              </w:rPr>
            </w:pPr>
            <w:r>
              <w:rPr>
                <w:rFonts w:ascii="Times New Roman" w:hAnsi="Times New Roman" w:cs="Times New Roman"/>
                <w:sz w:val="18"/>
                <w:szCs w:val="20"/>
              </w:rPr>
              <w:t>CCL20</w:t>
            </w:r>
          </w:p>
        </w:tc>
        <w:tc>
          <w:tcPr>
            <w:tcW w:w="1635" w:type="dxa"/>
            <w:vAlign w:val="center"/>
          </w:tcPr>
          <w:p w14:paraId="70DF6393" w14:textId="77777777" w:rsidR="00C723C7" w:rsidRDefault="00000000">
            <w:pPr>
              <w:jc w:val="left"/>
              <w:rPr>
                <w:rFonts w:ascii="Times New Roman" w:hAnsi="Times New Roman" w:cs="Times New Roman"/>
                <w:sz w:val="18"/>
                <w:szCs w:val="20"/>
              </w:rPr>
            </w:pPr>
            <w:r>
              <w:rPr>
                <w:rFonts w:ascii="Times New Roman" w:hAnsi="Times New Roman" w:cs="Times New Roman"/>
                <w:sz w:val="18"/>
                <w:szCs w:val="20"/>
              </w:rPr>
              <w:t>C-C Motif Chemokine Ligand 20</w:t>
            </w:r>
          </w:p>
        </w:tc>
        <w:tc>
          <w:tcPr>
            <w:tcW w:w="962" w:type="dxa"/>
            <w:vAlign w:val="center"/>
          </w:tcPr>
          <w:p w14:paraId="44FBE162" w14:textId="77777777" w:rsidR="00C723C7" w:rsidRDefault="00000000">
            <w:pPr>
              <w:rPr>
                <w:rFonts w:ascii="Times New Roman" w:hAnsi="Times New Roman" w:cs="Times New Roman"/>
                <w:sz w:val="18"/>
                <w:szCs w:val="20"/>
              </w:rPr>
            </w:pPr>
            <w:r>
              <w:rPr>
                <w:rFonts w:ascii="Times New Roman" w:eastAsia="宋体" w:hAnsi="Times New Roman" w:cs="Times New Roman"/>
                <w:kern w:val="0"/>
                <w:sz w:val="18"/>
                <w:szCs w:val="18"/>
              </w:rPr>
              <w:t>0.12178602</w:t>
            </w:r>
          </w:p>
        </w:tc>
        <w:tc>
          <w:tcPr>
            <w:tcW w:w="4008" w:type="dxa"/>
            <w:vAlign w:val="center"/>
          </w:tcPr>
          <w:p w14:paraId="0E02447F" w14:textId="1D258167" w:rsidR="00C723C7" w:rsidRDefault="00000000">
            <w:pPr>
              <w:rPr>
                <w:rFonts w:ascii="Times New Roman" w:hAnsi="Times New Roman" w:cs="Times New Roman"/>
                <w:sz w:val="18"/>
                <w:szCs w:val="20"/>
              </w:rPr>
            </w:pPr>
            <w:r>
              <w:rPr>
                <w:rFonts w:ascii="Times New Roman" w:hAnsi="Times New Roman" w:cs="Times New Roman"/>
                <w:sz w:val="18"/>
                <w:szCs w:val="20"/>
              </w:rPr>
              <w:t>Chemokine ligand for CCR6 that recruits dendritic cells, memory T cells, and Th17 cells to sites of inflammation</w:t>
            </w:r>
            <w:r>
              <w:rPr>
                <w:rFonts w:ascii="Times New Roman" w:hAnsi="Times New Roman" w:cs="Times New Roman" w:hint="eastAsia"/>
                <w:sz w:val="18"/>
                <w:szCs w:val="20"/>
              </w:rPr>
              <w:t xml:space="preserve"> </w:t>
            </w:r>
            <w:r>
              <w:rPr>
                <w:rFonts w:ascii="Times New Roman" w:hAnsi="Times New Roman" w:cs="Times New Roman"/>
                <w:sz w:val="18"/>
                <w:szCs w:val="20"/>
              </w:rPr>
              <w:fldChar w:fldCharType="begin"/>
            </w:r>
            <w:r w:rsidR="00A804EA">
              <w:rPr>
                <w:rFonts w:ascii="Times New Roman" w:hAnsi="Times New Roman" w:cs="Times New Roman"/>
                <w:sz w:val="18"/>
                <w:szCs w:val="20"/>
              </w:rPr>
              <w:instrText xml:space="preserve"> ADDIN EN.CITE &lt;EndNote&gt;&lt;Cite&gt;&lt;Author&gt;Meitei&lt;/Author&gt;&lt;Year&gt;2021&lt;/Year&gt;&lt;RecNum&gt;626&lt;/RecNum&gt;&lt;DisplayText&gt;[16]&lt;/DisplayText&gt;&lt;record&gt;&lt;rec-number&gt;626&lt;/rec-number&gt;&lt;foreign-keys&gt;&lt;key app="EN" db-id="va0vwdrrpewve7etaerxrpf5vw2d0xf5d2sf" timestamp="1789109334"&gt;626&lt;/key&gt;&lt;/foreign-keys&gt;&lt;ref-type name="Journal Article"&gt;17&lt;/ref-type&gt;&lt;contributors&gt;&lt;authors&gt;&lt;author&gt;Meitei, H. T.&lt;/author&gt;&lt;author&gt;Jadhav, N.&lt;/author&gt;&lt;author&gt;Lal, G.&lt;/author&gt;&lt;/authors&gt;&lt;/contributors&gt;&lt;auth-address&gt;National Centre for Cell Science, Ganeshkhind, Pune MH-411007, India.&amp;#xD;National Centre for Cell Science, Ganeshkhind, Pune MH-411007, India. Electronic address: glal@nccs.res.in.&lt;/auth-address&gt;&lt;titles&gt;&lt;title&gt;CCR6-CCL20 axis as a therapeutic target for autoimmune diseases&lt;/title&gt;&lt;secondary-title&gt;Autoimmun Rev&lt;/secondary-title&gt;&lt;/titles&gt;&lt;periodical&gt;&lt;full-title&gt;Autoimmun Rev&lt;/full-title&gt;&lt;/periodical&gt;&lt;pages&gt;102846&lt;/pages&gt;&lt;volume&gt;20&lt;/volume&gt;&lt;number&gt;7&lt;/number&gt;&lt;edition&gt;20210507&lt;/edition&gt;&lt;keywords&gt;&lt;keyword&gt;*Autoimmune Diseases/drug therapy&lt;/keyword&gt;&lt;keyword&gt;Chemokine CCL20/genetics&lt;/keyword&gt;&lt;keyword&gt;Genome-Wide Association Study&lt;/keyword&gt;&lt;keyword&gt;Humans&lt;/keyword&gt;&lt;keyword&gt;Immunity, Innate&lt;/keyword&gt;&lt;keyword&gt;*Receptors, CCR6/genetics&lt;/keyword&gt;&lt;keyword&gt;Th17 Cells&lt;/keyword&gt;&lt;keyword&gt;Ccl20&lt;/keyword&gt;&lt;keyword&gt;Ccr6&lt;/keyword&gt;&lt;keyword&gt;Mucosal tolerance&lt;/keyword&gt;&lt;keyword&gt;Regulatory CD4 T cells&lt;/keyword&gt;&lt;/keywords&gt;&lt;dates&gt;&lt;year&gt;2021&lt;/year&gt;&lt;pub-dates&gt;&lt;date&gt;Jul&lt;/date&gt;&lt;/pub-dates&gt;&lt;/dates&gt;&lt;isbn&gt;1873-0183 (Electronic)&amp;#xD;1568-9972 (Linking)&lt;/isbn&gt;&lt;accession-num&gt;33971346&lt;/accession-num&gt;&lt;urls&gt;&lt;related-urls&gt;&lt;url&gt;https://www.ncbi.nlm.nih.gov/pubmed/33971346&lt;/url&gt;&lt;/related-urls&gt;&lt;/urls&gt;&lt;electronic-resource-num&gt;10.1016/j.autrev.2021.102846&lt;/electronic-resource-num&gt;&lt;remote-database-name&gt;Medline&lt;/remote-database-name&gt;&lt;remote-database-provider&gt;NLM&lt;/remote-database-provider&gt;&lt;/record&gt;&lt;/Cite&gt;&lt;/EndNote&gt;</w:instrText>
            </w:r>
            <w:r>
              <w:rPr>
                <w:rFonts w:ascii="Times New Roman" w:hAnsi="Times New Roman" w:cs="Times New Roman"/>
                <w:sz w:val="18"/>
                <w:szCs w:val="20"/>
              </w:rPr>
              <w:fldChar w:fldCharType="separate"/>
            </w:r>
            <w:r w:rsidR="00A804EA">
              <w:rPr>
                <w:rFonts w:ascii="Times New Roman" w:hAnsi="Times New Roman" w:cs="Times New Roman"/>
                <w:noProof/>
                <w:sz w:val="18"/>
                <w:szCs w:val="20"/>
              </w:rPr>
              <w:t>[16]</w:t>
            </w:r>
            <w:r>
              <w:rPr>
                <w:rFonts w:ascii="Times New Roman" w:hAnsi="Times New Roman" w:cs="Times New Roman"/>
                <w:sz w:val="18"/>
                <w:szCs w:val="20"/>
              </w:rPr>
              <w:fldChar w:fldCharType="end"/>
            </w:r>
            <w:r>
              <w:rPr>
                <w:rFonts w:ascii="Times New Roman" w:hAnsi="Times New Roman" w:cs="Times New Roman"/>
                <w:sz w:val="18"/>
                <w:szCs w:val="20"/>
              </w:rPr>
              <w:t>.</w:t>
            </w:r>
          </w:p>
        </w:tc>
      </w:tr>
      <w:tr w:rsidR="00C723C7" w14:paraId="07E13545" w14:textId="77777777">
        <w:trPr>
          <w:tblCellSpacing w:w="15" w:type="dxa"/>
        </w:trPr>
        <w:tc>
          <w:tcPr>
            <w:tcW w:w="1551" w:type="dxa"/>
            <w:vAlign w:val="center"/>
          </w:tcPr>
          <w:p w14:paraId="13C78771" w14:textId="77777777" w:rsidR="00C723C7" w:rsidRDefault="00000000">
            <w:pPr>
              <w:rPr>
                <w:rFonts w:ascii="Times New Roman" w:hAnsi="Times New Roman" w:cs="Times New Roman"/>
                <w:sz w:val="18"/>
                <w:szCs w:val="20"/>
              </w:rPr>
            </w:pPr>
            <w:r>
              <w:rPr>
                <w:rFonts w:ascii="Times New Roman" w:hAnsi="Times New Roman" w:cs="Times New Roman"/>
                <w:sz w:val="18"/>
                <w:szCs w:val="20"/>
              </w:rPr>
              <w:t>TSPAN1</w:t>
            </w:r>
          </w:p>
        </w:tc>
        <w:tc>
          <w:tcPr>
            <w:tcW w:w="1635" w:type="dxa"/>
            <w:vAlign w:val="center"/>
          </w:tcPr>
          <w:p w14:paraId="68A3BE88" w14:textId="77777777" w:rsidR="00C723C7" w:rsidRDefault="00000000">
            <w:pPr>
              <w:jc w:val="left"/>
              <w:rPr>
                <w:rFonts w:ascii="Times New Roman" w:hAnsi="Times New Roman" w:cs="Times New Roman"/>
                <w:sz w:val="18"/>
                <w:szCs w:val="20"/>
              </w:rPr>
            </w:pPr>
            <w:r>
              <w:rPr>
                <w:rFonts w:ascii="Times New Roman" w:hAnsi="Times New Roman" w:cs="Times New Roman"/>
                <w:sz w:val="18"/>
                <w:szCs w:val="20"/>
              </w:rPr>
              <w:t>Tetraspanin 1</w:t>
            </w:r>
          </w:p>
        </w:tc>
        <w:tc>
          <w:tcPr>
            <w:tcW w:w="962" w:type="dxa"/>
            <w:vAlign w:val="center"/>
          </w:tcPr>
          <w:p w14:paraId="6CD1685B" w14:textId="77777777" w:rsidR="00C723C7" w:rsidRDefault="00000000">
            <w:pPr>
              <w:rPr>
                <w:rFonts w:ascii="Times New Roman" w:hAnsi="Times New Roman" w:cs="Times New Roman"/>
                <w:sz w:val="18"/>
                <w:szCs w:val="20"/>
              </w:rPr>
            </w:pPr>
            <w:r>
              <w:rPr>
                <w:rFonts w:ascii="Times New Roman" w:eastAsia="宋体" w:hAnsi="Times New Roman" w:cs="Times New Roman"/>
                <w:kern w:val="0"/>
                <w:sz w:val="18"/>
                <w:szCs w:val="18"/>
              </w:rPr>
              <w:t>0.08869799</w:t>
            </w:r>
          </w:p>
        </w:tc>
        <w:tc>
          <w:tcPr>
            <w:tcW w:w="4008" w:type="dxa"/>
            <w:vAlign w:val="center"/>
          </w:tcPr>
          <w:p w14:paraId="389D5C0D" w14:textId="53D7CE01" w:rsidR="00C723C7" w:rsidRDefault="00000000">
            <w:pPr>
              <w:rPr>
                <w:rFonts w:ascii="Times New Roman" w:hAnsi="Times New Roman" w:cs="Times New Roman"/>
                <w:sz w:val="18"/>
                <w:szCs w:val="20"/>
              </w:rPr>
            </w:pPr>
            <w:r>
              <w:rPr>
                <w:rFonts w:ascii="Times New Roman" w:hAnsi="Times New Roman" w:cs="Times New Roman"/>
                <w:sz w:val="18"/>
                <w:szCs w:val="20"/>
              </w:rPr>
              <w:t>Membrane tetraspanin involved in cell adhesion, proliferation, migration, and organization of membrane signalling complexes</w:t>
            </w:r>
            <w:r>
              <w:rPr>
                <w:rFonts w:ascii="Times New Roman" w:hAnsi="Times New Roman" w:cs="Times New Roman" w:hint="eastAsia"/>
                <w:sz w:val="18"/>
                <w:szCs w:val="20"/>
              </w:rPr>
              <w:t xml:space="preserve"> </w:t>
            </w:r>
            <w:r>
              <w:rPr>
                <w:rFonts w:ascii="Times New Roman" w:hAnsi="Times New Roman" w:cs="Times New Roman"/>
                <w:sz w:val="18"/>
                <w:szCs w:val="20"/>
              </w:rPr>
              <w:fldChar w:fldCharType="begin"/>
            </w:r>
            <w:r w:rsidR="00A804EA">
              <w:rPr>
                <w:rFonts w:ascii="Times New Roman" w:hAnsi="Times New Roman" w:cs="Times New Roman"/>
                <w:sz w:val="18"/>
                <w:szCs w:val="20"/>
              </w:rPr>
              <w:instrText xml:space="preserve"> ADDIN EN.CITE &lt;EndNote&gt;&lt;Cite&gt;&lt;Author&gt;Hou&lt;/Author&gt;&lt;Year&gt;2015&lt;/Year&gt;&lt;RecNum&gt;627&lt;/RecNum&gt;&lt;DisplayText&gt;[17]&lt;/DisplayText&gt;&lt;record&gt;&lt;rec-number&gt;627&lt;/rec-number&gt;&lt;foreign-keys&gt;&lt;key app="EN" db-id="va0vwdrrpewve7etaerxrpf5vw2d0xf5d2sf" timestamp="1789109378"&gt;627&lt;/key&gt;&lt;/foreign-keys&gt;&lt;ref-type name="Journal Article"&gt;17&lt;/ref-type&gt;&lt;contributors&gt;&lt;authors&gt;&lt;author&gt;Hou, F. Q.&lt;/author&gt;&lt;author&gt;Lei, X. F.&lt;/author&gt;&lt;author&gt;Yao, J. L.&lt;/author&gt;&lt;author&gt;Wang, Y. J.&lt;/author&gt;&lt;author&gt;Zhang, W.&lt;/author&gt;&lt;/authors&gt;&lt;/contributors&gt;&lt;auth-address&gt;Department of General Surgery, The Weinan Central Hospital, Weinan, Shaanxi 714000, P.R. China.&lt;/auth-address&gt;&lt;titles&gt;&lt;title&gt;Tetraspanin 1 is involved in survival, proliferation and carcinogenesis of pancreatic cancer&lt;/title&gt;&lt;secondary-title&gt;Oncol Rep&lt;/secondary-title&gt;&lt;/titles&gt;&lt;periodical&gt;&lt;full-title&gt;Oncol Rep&lt;/full-title&gt;&lt;/periodical&gt;&lt;pages&gt;3068-76&lt;/pages&gt;&lt;volume&gt;34&lt;/volume&gt;&lt;number&gt;6&lt;/number&gt;&lt;edition&gt;20150914&lt;/edition&gt;&lt;keywords&gt;&lt;keyword&gt;Apoptosis/genetics&lt;/keyword&gt;&lt;keyword&gt;Carcinogenesis/*genetics&lt;/keyword&gt;&lt;keyword&gt;Cell Line, Tumor&lt;/keyword&gt;&lt;keyword&gt;Cell Proliferation/*genetics&lt;/keyword&gt;&lt;keyword&gt;Cell Survival/genetics&lt;/keyword&gt;&lt;keyword&gt;Gene Expression Regulation, Neoplastic&lt;/keyword&gt;&lt;keyword&gt;Humans&lt;/keyword&gt;&lt;keyword&gt;Pancreatic Neoplasms/*genetics/pathology&lt;/keyword&gt;&lt;keyword&gt;RNA, Small Interfering/genetics&lt;/keyword&gt;&lt;keyword&gt;Tetraspanins/biosynthesis/*genetics&lt;/keyword&gt;&lt;/keywords&gt;&lt;dates&gt;&lt;year&gt;2015&lt;/year&gt;&lt;pub-dates&gt;&lt;date&gt;Dec&lt;/date&gt;&lt;/pub-dates&gt;&lt;/dates&gt;&lt;isbn&gt;1791-2431 (Electronic)&amp;#xD;1021-335X (Linking)&lt;/isbn&gt;&lt;accession-num&gt;26370588&lt;/accession-num&gt;&lt;urls&gt;&lt;related-urls&gt;&lt;url&gt;https://www.ncbi.nlm.nih.gov/pubmed/26370588&lt;/url&gt;&lt;/related-urls&gt;&lt;/urls&gt;&lt;electronic-resource-num&gt;10.3892/or.2015.4272&lt;/electronic-resource-num&gt;&lt;remote-database-name&gt;Medline&lt;/remote-database-name&gt;&lt;remote-database-provider&gt;NLM&lt;/remote-database-provider&gt;&lt;/record&gt;&lt;/Cite&gt;&lt;/EndNote&gt;</w:instrText>
            </w:r>
            <w:r>
              <w:rPr>
                <w:rFonts w:ascii="Times New Roman" w:hAnsi="Times New Roman" w:cs="Times New Roman"/>
                <w:sz w:val="18"/>
                <w:szCs w:val="20"/>
              </w:rPr>
              <w:fldChar w:fldCharType="separate"/>
            </w:r>
            <w:r w:rsidR="00A804EA">
              <w:rPr>
                <w:rFonts w:ascii="Times New Roman" w:hAnsi="Times New Roman" w:cs="Times New Roman"/>
                <w:noProof/>
                <w:sz w:val="18"/>
                <w:szCs w:val="20"/>
              </w:rPr>
              <w:t>[17]</w:t>
            </w:r>
            <w:r>
              <w:rPr>
                <w:rFonts w:ascii="Times New Roman" w:hAnsi="Times New Roman" w:cs="Times New Roman"/>
                <w:sz w:val="18"/>
                <w:szCs w:val="20"/>
              </w:rPr>
              <w:fldChar w:fldCharType="end"/>
            </w:r>
            <w:r>
              <w:rPr>
                <w:rFonts w:ascii="Times New Roman" w:hAnsi="Times New Roman" w:cs="Times New Roman"/>
                <w:sz w:val="18"/>
                <w:szCs w:val="20"/>
              </w:rPr>
              <w:t>.</w:t>
            </w:r>
          </w:p>
        </w:tc>
      </w:tr>
      <w:tr w:rsidR="00C723C7" w14:paraId="1EB39270" w14:textId="77777777">
        <w:trPr>
          <w:tblCellSpacing w:w="15" w:type="dxa"/>
        </w:trPr>
        <w:tc>
          <w:tcPr>
            <w:tcW w:w="1551" w:type="dxa"/>
            <w:vAlign w:val="center"/>
          </w:tcPr>
          <w:p w14:paraId="65C543AC" w14:textId="77777777" w:rsidR="00C723C7" w:rsidRDefault="00000000">
            <w:pPr>
              <w:rPr>
                <w:rFonts w:ascii="Times New Roman" w:hAnsi="Times New Roman" w:cs="Times New Roman"/>
                <w:sz w:val="18"/>
                <w:szCs w:val="20"/>
              </w:rPr>
            </w:pPr>
            <w:r>
              <w:rPr>
                <w:rFonts w:ascii="Times New Roman" w:hAnsi="Times New Roman" w:cs="Times New Roman"/>
                <w:sz w:val="18"/>
                <w:szCs w:val="20"/>
              </w:rPr>
              <w:t>ALDH3A1</w:t>
            </w:r>
          </w:p>
        </w:tc>
        <w:tc>
          <w:tcPr>
            <w:tcW w:w="1635" w:type="dxa"/>
            <w:vAlign w:val="center"/>
          </w:tcPr>
          <w:p w14:paraId="5BC212BF" w14:textId="77777777" w:rsidR="00C723C7" w:rsidRDefault="00000000">
            <w:pPr>
              <w:jc w:val="left"/>
              <w:rPr>
                <w:rFonts w:ascii="Times New Roman" w:hAnsi="Times New Roman" w:cs="Times New Roman"/>
                <w:sz w:val="18"/>
                <w:szCs w:val="20"/>
              </w:rPr>
            </w:pPr>
            <w:r>
              <w:rPr>
                <w:rFonts w:ascii="Times New Roman" w:hAnsi="Times New Roman" w:cs="Times New Roman"/>
                <w:sz w:val="18"/>
                <w:szCs w:val="20"/>
              </w:rPr>
              <w:t>Aldehyde Dehydrogenase 3 Family Member A1</w:t>
            </w:r>
          </w:p>
        </w:tc>
        <w:tc>
          <w:tcPr>
            <w:tcW w:w="962" w:type="dxa"/>
            <w:vAlign w:val="center"/>
          </w:tcPr>
          <w:p w14:paraId="3F560D7E" w14:textId="77777777" w:rsidR="00C723C7" w:rsidRDefault="00000000">
            <w:pPr>
              <w:rPr>
                <w:rFonts w:ascii="Times New Roman" w:hAnsi="Times New Roman" w:cs="Times New Roman"/>
                <w:sz w:val="18"/>
                <w:szCs w:val="20"/>
              </w:rPr>
            </w:pPr>
            <w:r>
              <w:rPr>
                <w:rFonts w:ascii="Times New Roman" w:eastAsia="宋体" w:hAnsi="Times New Roman" w:cs="Times New Roman"/>
                <w:kern w:val="0"/>
                <w:sz w:val="18"/>
                <w:szCs w:val="18"/>
              </w:rPr>
              <w:t>0.16032345</w:t>
            </w:r>
          </w:p>
        </w:tc>
        <w:tc>
          <w:tcPr>
            <w:tcW w:w="4008" w:type="dxa"/>
            <w:vAlign w:val="center"/>
          </w:tcPr>
          <w:p w14:paraId="63506806" w14:textId="34D3071A" w:rsidR="00C723C7" w:rsidRDefault="00000000">
            <w:pPr>
              <w:rPr>
                <w:rFonts w:ascii="Times New Roman" w:hAnsi="Times New Roman" w:cs="Times New Roman"/>
                <w:sz w:val="18"/>
                <w:szCs w:val="20"/>
              </w:rPr>
            </w:pPr>
            <w:r>
              <w:rPr>
                <w:rFonts w:ascii="Times New Roman" w:hAnsi="Times New Roman" w:cs="Times New Roman"/>
                <w:sz w:val="18"/>
                <w:szCs w:val="20"/>
              </w:rPr>
              <w:t>Detoxifies reactive aldehydes generated by oxidative stress and lipid peroxidation and contributes to cellular antioxidant defense</w:t>
            </w:r>
            <w:r>
              <w:rPr>
                <w:rFonts w:ascii="Times New Roman" w:hAnsi="Times New Roman" w:cs="Times New Roman" w:hint="eastAsia"/>
                <w:sz w:val="18"/>
                <w:szCs w:val="20"/>
              </w:rPr>
              <w:t xml:space="preserve"> </w:t>
            </w:r>
            <w:r>
              <w:rPr>
                <w:rFonts w:ascii="Times New Roman" w:hAnsi="Times New Roman" w:cs="Times New Roman"/>
                <w:sz w:val="18"/>
                <w:szCs w:val="20"/>
              </w:rPr>
              <w:fldChar w:fldCharType="begin"/>
            </w:r>
            <w:r w:rsidR="00A804EA">
              <w:rPr>
                <w:rFonts w:ascii="Times New Roman" w:hAnsi="Times New Roman" w:cs="Times New Roman"/>
                <w:sz w:val="18"/>
                <w:szCs w:val="20"/>
              </w:rPr>
              <w:instrText xml:space="preserve"> ADDIN EN.CITE &lt;EndNote&gt;&lt;Cite&gt;&lt;Author&gt;Estey&lt;/Author&gt;&lt;Year&gt;2007&lt;/Year&gt;&lt;RecNum&gt;628&lt;/RecNum&gt;&lt;DisplayText&gt;[18]&lt;/DisplayText&gt;&lt;record&gt;&lt;rec-number&gt;628&lt;/rec-number&gt;&lt;foreign-keys&gt;&lt;key app="EN" db-id="va0vwdrrpewve7etaerxrpf5vw2d0xf5d2sf" timestamp="1789109405"&gt;628&lt;/key&gt;&lt;/foreign-keys&gt;&lt;ref-type name="Journal Article"&gt;17&lt;/ref-type&gt;&lt;contributors&gt;&lt;authors&gt;&lt;author&gt;Estey, T.&lt;/author&gt;&lt;author&gt;Piatigorsky, J.&lt;/author&gt;&lt;author&gt;Lassen, N.&lt;/author&gt;&lt;author&gt;Vasiliou, V.&lt;/author&gt;&lt;/authors&gt;&lt;/contributors&gt;&lt;auth-address&gt;Center for Pharmaceutical Biotechnology, Department of Pharmaceutical Sciences, University of Colorado Health Sciences Center, Denver, CO 80262, USA.&lt;/auth-address&gt;&lt;titles&gt;&lt;title&gt;ALDH3A1: a corneal crystallin with diverse functions&lt;/title&gt;&lt;secondary-title&gt;Exp Eye Res&lt;/secondary-title&gt;&lt;/titles&gt;&lt;periodical&gt;&lt;full-title&gt;Exp Eye Res&lt;/full-title&gt;&lt;/periodical&gt;&lt;pages&gt;3-12&lt;/pages&gt;&lt;volume&gt;84&lt;/volume&gt;&lt;number&gt;1&lt;/number&gt;&lt;edition&gt;20060621&lt;/edition&gt;&lt;keywords&gt;&lt;keyword&gt;Aldehyde Dehydrogenase/*physiology&lt;/keyword&gt;&lt;keyword&gt;Cell Cycle Proteins/physiology&lt;/keyword&gt;&lt;keyword&gt;Cornea/*enzymology/radiation effects&lt;/keyword&gt;&lt;keyword&gt;Eye Proteins/*physiology&lt;/keyword&gt;&lt;keyword&gt;Guanine Nucleotide Exchange Factors/physiology&lt;/keyword&gt;&lt;keyword&gt;Humans&lt;/keyword&gt;&lt;keyword&gt;Lipid Peroxidation/physiology&lt;/keyword&gt;&lt;keyword&gt;Nuclear Proteins/physiology&lt;/keyword&gt;&lt;keyword&gt;Oxidative Stress/physiology&lt;/keyword&gt;&lt;keyword&gt;Ultraviolet Rays&lt;/keyword&gt;&lt;/keywords&gt;&lt;dates&gt;&lt;year&gt;2007&lt;/year&gt;&lt;pub-dates&gt;&lt;date&gt;Jan&lt;/date&gt;&lt;/pub-dates&gt;&lt;/dates&gt;&lt;isbn&gt;0014-4835 (Print)&amp;#xD;0014-4835 (Linking)&lt;/isbn&gt;&lt;accession-num&gt;16797007&lt;/accession-num&gt;&lt;urls&gt;&lt;related-urls&gt;&lt;url&gt;https://www.ncbi.nlm.nih.gov/pubmed/16797007&lt;/url&gt;&lt;/related-urls&gt;&lt;/urls&gt;&lt;electronic-resource-num&gt;10.1016/j.exer.2006.04.010&lt;/electronic-resource-num&gt;&lt;remote-database-name&gt;Medline&lt;/remote-database-name&gt;&lt;remote-database-provider&gt;NLM&lt;/remote-database-provider&gt;&lt;/record&gt;&lt;/Cite&gt;&lt;/EndNote&gt;</w:instrText>
            </w:r>
            <w:r>
              <w:rPr>
                <w:rFonts w:ascii="Times New Roman" w:hAnsi="Times New Roman" w:cs="Times New Roman"/>
                <w:sz w:val="18"/>
                <w:szCs w:val="20"/>
              </w:rPr>
              <w:fldChar w:fldCharType="separate"/>
            </w:r>
            <w:r w:rsidR="00A804EA">
              <w:rPr>
                <w:rFonts w:ascii="Times New Roman" w:hAnsi="Times New Roman" w:cs="Times New Roman"/>
                <w:noProof/>
                <w:sz w:val="18"/>
                <w:szCs w:val="20"/>
              </w:rPr>
              <w:t>[18]</w:t>
            </w:r>
            <w:r>
              <w:rPr>
                <w:rFonts w:ascii="Times New Roman" w:hAnsi="Times New Roman" w:cs="Times New Roman"/>
                <w:sz w:val="18"/>
                <w:szCs w:val="20"/>
              </w:rPr>
              <w:fldChar w:fldCharType="end"/>
            </w:r>
            <w:r>
              <w:rPr>
                <w:rFonts w:ascii="Times New Roman" w:hAnsi="Times New Roman" w:cs="Times New Roman"/>
                <w:sz w:val="18"/>
                <w:szCs w:val="20"/>
              </w:rPr>
              <w:t>.</w:t>
            </w:r>
          </w:p>
        </w:tc>
      </w:tr>
      <w:tr w:rsidR="00C723C7" w14:paraId="2963C180" w14:textId="77777777">
        <w:trPr>
          <w:tblCellSpacing w:w="15" w:type="dxa"/>
        </w:trPr>
        <w:tc>
          <w:tcPr>
            <w:tcW w:w="1551" w:type="dxa"/>
            <w:vAlign w:val="center"/>
          </w:tcPr>
          <w:p w14:paraId="6A058782" w14:textId="77777777" w:rsidR="00C723C7" w:rsidRDefault="00000000">
            <w:pPr>
              <w:rPr>
                <w:rFonts w:ascii="Times New Roman" w:hAnsi="Times New Roman" w:cs="Times New Roman"/>
                <w:sz w:val="18"/>
                <w:szCs w:val="20"/>
              </w:rPr>
            </w:pPr>
            <w:r>
              <w:rPr>
                <w:rFonts w:ascii="Times New Roman" w:hAnsi="Times New Roman" w:cs="Times New Roman"/>
                <w:sz w:val="18"/>
                <w:szCs w:val="20"/>
              </w:rPr>
              <w:t>IGFBP2</w:t>
            </w:r>
          </w:p>
        </w:tc>
        <w:tc>
          <w:tcPr>
            <w:tcW w:w="1635" w:type="dxa"/>
            <w:vAlign w:val="center"/>
          </w:tcPr>
          <w:p w14:paraId="712C8899" w14:textId="77777777" w:rsidR="00C723C7" w:rsidRDefault="00000000">
            <w:pPr>
              <w:jc w:val="left"/>
              <w:rPr>
                <w:rFonts w:ascii="Times New Roman" w:hAnsi="Times New Roman" w:cs="Times New Roman"/>
                <w:sz w:val="18"/>
                <w:szCs w:val="20"/>
              </w:rPr>
            </w:pPr>
            <w:r>
              <w:rPr>
                <w:rFonts w:ascii="Times New Roman" w:hAnsi="Times New Roman" w:cs="Times New Roman"/>
                <w:sz w:val="18"/>
                <w:szCs w:val="20"/>
              </w:rPr>
              <w:t>Insulin-Like Growth Factor Binding Protein 2</w:t>
            </w:r>
          </w:p>
        </w:tc>
        <w:tc>
          <w:tcPr>
            <w:tcW w:w="962" w:type="dxa"/>
            <w:vAlign w:val="center"/>
          </w:tcPr>
          <w:p w14:paraId="548157E2" w14:textId="77777777" w:rsidR="00C723C7" w:rsidRDefault="00000000">
            <w:pPr>
              <w:rPr>
                <w:rFonts w:ascii="Times New Roman" w:hAnsi="Times New Roman" w:cs="Times New Roman"/>
                <w:sz w:val="18"/>
                <w:szCs w:val="20"/>
              </w:rPr>
            </w:pPr>
            <w:r>
              <w:rPr>
                <w:rFonts w:ascii="Times New Roman" w:eastAsia="宋体" w:hAnsi="Times New Roman" w:cs="Times New Roman"/>
                <w:kern w:val="0"/>
                <w:sz w:val="18"/>
                <w:szCs w:val="18"/>
              </w:rPr>
              <w:t>0.19077518</w:t>
            </w:r>
          </w:p>
        </w:tc>
        <w:tc>
          <w:tcPr>
            <w:tcW w:w="4008" w:type="dxa"/>
            <w:vAlign w:val="center"/>
          </w:tcPr>
          <w:p w14:paraId="01154E26" w14:textId="77777777" w:rsidR="00C723C7" w:rsidRDefault="00000000">
            <w:pPr>
              <w:rPr>
                <w:rFonts w:ascii="Times New Roman" w:hAnsi="Times New Roman" w:cs="Times New Roman"/>
                <w:sz w:val="18"/>
                <w:szCs w:val="20"/>
              </w:rPr>
            </w:pPr>
            <w:r>
              <w:rPr>
                <w:rFonts w:ascii="Times New Roman" w:hAnsi="Times New Roman" w:cs="Times New Roman"/>
                <w:sz w:val="18"/>
                <w:szCs w:val="20"/>
              </w:rPr>
              <w:t>Regulates IGF bioavailability and signalling and participates in cellular growth, metabolism, migration, and tissue remodeling.</w:t>
            </w:r>
          </w:p>
        </w:tc>
      </w:tr>
      <w:tr w:rsidR="00C723C7" w14:paraId="69B633F7" w14:textId="77777777">
        <w:trPr>
          <w:tblCellSpacing w:w="15" w:type="dxa"/>
        </w:trPr>
        <w:tc>
          <w:tcPr>
            <w:tcW w:w="1551" w:type="dxa"/>
            <w:vAlign w:val="center"/>
          </w:tcPr>
          <w:p w14:paraId="73032018" w14:textId="77777777" w:rsidR="00C723C7" w:rsidRDefault="00000000">
            <w:pPr>
              <w:rPr>
                <w:rFonts w:ascii="Times New Roman" w:hAnsi="Times New Roman" w:cs="Times New Roman"/>
                <w:sz w:val="18"/>
                <w:szCs w:val="20"/>
              </w:rPr>
            </w:pPr>
            <w:r>
              <w:rPr>
                <w:rFonts w:ascii="Times New Roman" w:hAnsi="Times New Roman" w:cs="Times New Roman"/>
                <w:sz w:val="18"/>
                <w:szCs w:val="20"/>
              </w:rPr>
              <w:t>FCN2</w:t>
            </w:r>
          </w:p>
        </w:tc>
        <w:tc>
          <w:tcPr>
            <w:tcW w:w="1635" w:type="dxa"/>
            <w:vAlign w:val="center"/>
          </w:tcPr>
          <w:p w14:paraId="59F320D5" w14:textId="77777777" w:rsidR="00C723C7" w:rsidRDefault="00000000">
            <w:pPr>
              <w:jc w:val="left"/>
              <w:rPr>
                <w:rFonts w:ascii="Times New Roman" w:hAnsi="Times New Roman" w:cs="Times New Roman"/>
                <w:sz w:val="18"/>
                <w:szCs w:val="20"/>
              </w:rPr>
            </w:pPr>
            <w:r>
              <w:rPr>
                <w:rFonts w:ascii="Times New Roman" w:hAnsi="Times New Roman" w:cs="Times New Roman"/>
                <w:sz w:val="18"/>
                <w:szCs w:val="20"/>
              </w:rPr>
              <w:t>Ficolin 2</w:t>
            </w:r>
          </w:p>
        </w:tc>
        <w:tc>
          <w:tcPr>
            <w:tcW w:w="962" w:type="dxa"/>
            <w:vAlign w:val="center"/>
          </w:tcPr>
          <w:p w14:paraId="5F3F6105" w14:textId="77777777" w:rsidR="00C723C7" w:rsidRDefault="00000000">
            <w:pPr>
              <w:rPr>
                <w:rFonts w:ascii="Times New Roman" w:hAnsi="Times New Roman" w:cs="Times New Roman"/>
                <w:sz w:val="18"/>
                <w:szCs w:val="20"/>
              </w:rPr>
            </w:pPr>
            <w:r>
              <w:rPr>
                <w:rFonts w:ascii="Times New Roman" w:eastAsia="宋体" w:hAnsi="Times New Roman" w:cs="Times New Roman"/>
                <w:kern w:val="0"/>
                <w:sz w:val="18"/>
                <w:szCs w:val="18"/>
              </w:rPr>
              <w:t>-0.08904503</w:t>
            </w:r>
          </w:p>
        </w:tc>
        <w:tc>
          <w:tcPr>
            <w:tcW w:w="4008" w:type="dxa"/>
            <w:vAlign w:val="center"/>
          </w:tcPr>
          <w:p w14:paraId="1D79EE43" w14:textId="27D4BFF0" w:rsidR="00C723C7" w:rsidRDefault="00000000">
            <w:pPr>
              <w:rPr>
                <w:rFonts w:ascii="Times New Roman" w:hAnsi="Times New Roman" w:cs="Times New Roman"/>
                <w:sz w:val="18"/>
                <w:szCs w:val="20"/>
              </w:rPr>
            </w:pPr>
            <w:r>
              <w:rPr>
                <w:rFonts w:ascii="Times New Roman" w:hAnsi="Times New Roman" w:cs="Times New Roman"/>
                <w:sz w:val="18"/>
                <w:szCs w:val="20"/>
              </w:rPr>
              <w:t xml:space="preserve">Soluble pattern-recognition molecule of the lectin complement pathway that recognizes microbial carbohydrate structures and promotes complement </w:t>
            </w:r>
            <w:r>
              <w:rPr>
                <w:rFonts w:ascii="Times New Roman" w:hAnsi="Times New Roman" w:cs="Times New Roman"/>
                <w:sz w:val="18"/>
                <w:szCs w:val="20"/>
              </w:rPr>
              <w:lastRenderedPageBreak/>
              <w:t>activation</w:t>
            </w:r>
            <w:r>
              <w:rPr>
                <w:rFonts w:ascii="Times New Roman" w:hAnsi="Times New Roman" w:cs="Times New Roman" w:hint="eastAsia"/>
                <w:sz w:val="18"/>
                <w:szCs w:val="20"/>
              </w:rPr>
              <w:t xml:space="preserve"> </w:t>
            </w:r>
            <w:r>
              <w:rPr>
                <w:rFonts w:ascii="Times New Roman" w:hAnsi="Times New Roman" w:cs="Times New Roman"/>
                <w:sz w:val="18"/>
                <w:szCs w:val="20"/>
              </w:rPr>
              <w:fldChar w:fldCharType="begin"/>
            </w:r>
            <w:r w:rsidR="00A804EA">
              <w:rPr>
                <w:rFonts w:ascii="Times New Roman" w:hAnsi="Times New Roman" w:cs="Times New Roman"/>
                <w:sz w:val="18"/>
                <w:szCs w:val="20"/>
              </w:rPr>
              <w:instrText xml:space="preserve"> ADDIN EN.CITE &lt;EndNote&gt;&lt;Cite&gt;&lt;Author&gt;Garred&lt;/Author&gt;&lt;Year&gt;2009&lt;/Year&gt;&lt;RecNum&gt;629&lt;/RecNum&gt;&lt;DisplayText&gt;[19]&lt;/DisplayText&gt;&lt;record&gt;&lt;rec-number&gt;629&lt;/rec-number&gt;&lt;foreign-keys&gt;&lt;key app="EN" db-id="va0vwdrrpewve7etaerxrpf5vw2d0xf5d2sf" timestamp="1789109446"&gt;629&lt;/key&gt;&lt;/foreign-keys&gt;&lt;ref-type name="Journal Article"&gt;17&lt;/ref-type&gt;&lt;contributors&gt;&lt;authors&gt;&lt;author&gt;Garred, P.&lt;/author&gt;&lt;author&gt;Honore, C.&lt;/author&gt;&lt;author&gt;Ma, Y. J.&lt;/author&gt;&lt;author&gt;Munthe-Fog, L.&lt;/author&gt;&lt;author&gt;Hummelshoj, T.&lt;/author&gt;&lt;/authors&gt;&lt;/contributors&gt;&lt;auth-address&gt;Department of Clinical Immunology, Rigshospitalet, University of Copenhagen, Denmark. garred@post5.tele.dk&lt;/auth-address&gt;&lt;titles&gt;&lt;title&gt;MBL2, FCN1, FCN2 and FCN3-The genes behind the initiation of the lectin pathway of complement&lt;/title&gt;&lt;secondary-title&gt;Mol Immunol&lt;/secondary-title&gt;&lt;/titles&gt;&lt;periodical&gt;&lt;full-title&gt;Mol Immunol&lt;/full-title&gt;&lt;/periodical&gt;&lt;pages&gt;2737-44&lt;/pages&gt;&lt;volume&gt;46&lt;/volume&gt;&lt;number&gt;14&lt;/number&gt;&lt;edition&gt;20090607&lt;/edition&gt;&lt;keywords&gt;&lt;keyword&gt;Alleles&lt;/keyword&gt;&lt;keyword&gt;Complement Pathway, Mannose-Binding Lectin/*genetics/immunology&lt;/keyword&gt;&lt;keyword&gt;Complement System Proteins/genetics/immunology/metabolism&lt;/keyword&gt;&lt;keyword&gt;Exons/genetics&lt;/keyword&gt;&lt;keyword&gt;Glycoproteins/*genetics/immunology/metabolism&lt;/keyword&gt;&lt;keyword&gt;Humans&lt;/keyword&gt;&lt;keyword&gt;Immunity, Innate&lt;/keyword&gt;&lt;keyword&gt;Lectins/*genetics/immunology/metabolism&lt;/keyword&gt;&lt;keyword&gt;Mannose-Binding Lectin/*genetics/immunology/metabolism&lt;/keyword&gt;&lt;keyword&gt;Polymorphism, Single Nucleotide/genetics&lt;/keyword&gt;&lt;keyword&gt;Ficolins&lt;/keyword&gt;&lt;/keywords&gt;&lt;dates&gt;&lt;year&gt;2009&lt;/year&gt;&lt;pub-dates&gt;&lt;date&gt;Sep&lt;/date&gt;&lt;/pub-dates&gt;&lt;/dates&gt;&lt;isbn&gt;1872-9142 (Electronic)&amp;#xD;0161-5890 (Linking)&lt;/isbn&gt;&lt;accession-num&gt;19501910&lt;/accession-num&gt;&lt;urls&gt;&lt;related-urls&gt;&lt;url&gt;https://www.ncbi.nlm.nih.gov/pubmed/19501910&lt;/url&gt;&lt;/related-urls&gt;&lt;/urls&gt;&lt;electronic-resource-num&gt;10.1016/j.molimm.2009.05.005&lt;/electronic-resource-num&gt;&lt;remote-database-name&gt;Medline&lt;/remote-database-name&gt;&lt;remote-database-provider&gt;NLM&lt;/remote-database-provider&gt;&lt;/record&gt;&lt;/Cite&gt;&lt;/EndNote&gt;</w:instrText>
            </w:r>
            <w:r>
              <w:rPr>
                <w:rFonts w:ascii="Times New Roman" w:hAnsi="Times New Roman" w:cs="Times New Roman"/>
                <w:sz w:val="18"/>
                <w:szCs w:val="20"/>
              </w:rPr>
              <w:fldChar w:fldCharType="separate"/>
            </w:r>
            <w:r w:rsidR="00A804EA">
              <w:rPr>
                <w:rFonts w:ascii="Times New Roman" w:hAnsi="Times New Roman" w:cs="Times New Roman"/>
                <w:noProof/>
                <w:sz w:val="18"/>
                <w:szCs w:val="20"/>
              </w:rPr>
              <w:t>[19]</w:t>
            </w:r>
            <w:r>
              <w:rPr>
                <w:rFonts w:ascii="Times New Roman" w:hAnsi="Times New Roman" w:cs="Times New Roman"/>
                <w:sz w:val="18"/>
                <w:szCs w:val="20"/>
              </w:rPr>
              <w:fldChar w:fldCharType="end"/>
            </w:r>
            <w:r>
              <w:rPr>
                <w:rFonts w:ascii="Times New Roman" w:hAnsi="Times New Roman" w:cs="Times New Roman"/>
                <w:sz w:val="18"/>
                <w:szCs w:val="20"/>
              </w:rPr>
              <w:t>.</w:t>
            </w:r>
          </w:p>
        </w:tc>
      </w:tr>
      <w:tr w:rsidR="00C723C7" w14:paraId="62F7AF0C" w14:textId="77777777">
        <w:trPr>
          <w:tblCellSpacing w:w="15" w:type="dxa"/>
        </w:trPr>
        <w:tc>
          <w:tcPr>
            <w:tcW w:w="1551" w:type="dxa"/>
            <w:vAlign w:val="center"/>
          </w:tcPr>
          <w:p w14:paraId="0DF46A58" w14:textId="77777777" w:rsidR="00C723C7" w:rsidRDefault="00000000">
            <w:pPr>
              <w:rPr>
                <w:rFonts w:ascii="Times New Roman" w:hAnsi="Times New Roman" w:cs="Times New Roman"/>
                <w:sz w:val="18"/>
                <w:szCs w:val="20"/>
              </w:rPr>
            </w:pPr>
            <w:r>
              <w:rPr>
                <w:rFonts w:ascii="Times New Roman" w:hAnsi="Times New Roman" w:cs="Times New Roman"/>
                <w:sz w:val="18"/>
                <w:szCs w:val="20"/>
              </w:rPr>
              <w:lastRenderedPageBreak/>
              <w:t>TNFSF10</w:t>
            </w:r>
          </w:p>
        </w:tc>
        <w:tc>
          <w:tcPr>
            <w:tcW w:w="1635" w:type="dxa"/>
            <w:vAlign w:val="center"/>
          </w:tcPr>
          <w:p w14:paraId="74A05CC0" w14:textId="77777777" w:rsidR="00C723C7" w:rsidRDefault="00000000">
            <w:pPr>
              <w:jc w:val="left"/>
              <w:rPr>
                <w:rFonts w:ascii="Times New Roman" w:hAnsi="Times New Roman" w:cs="Times New Roman"/>
                <w:sz w:val="18"/>
                <w:szCs w:val="20"/>
              </w:rPr>
            </w:pPr>
            <w:r>
              <w:rPr>
                <w:rFonts w:ascii="Times New Roman" w:hAnsi="Times New Roman" w:cs="Times New Roman"/>
                <w:sz w:val="18"/>
                <w:szCs w:val="20"/>
              </w:rPr>
              <w:t>Tumor Necrosis Factor Superfamily Member 10 (TRAIL)</w:t>
            </w:r>
          </w:p>
        </w:tc>
        <w:tc>
          <w:tcPr>
            <w:tcW w:w="962" w:type="dxa"/>
            <w:vAlign w:val="center"/>
          </w:tcPr>
          <w:p w14:paraId="47132716" w14:textId="77777777" w:rsidR="00C723C7" w:rsidRDefault="00000000">
            <w:pPr>
              <w:rPr>
                <w:rFonts w:ascii="Times New Roman" w:hAnsi="Times New Roman" w:cs="Times New Roman"/>
                <w:sz w:val="18"/>
                <w:szCs w:val="20"/>
              </w:rPr>
            </w:pPr>
            <w:r>
              <w:rPr>
                <w:rFonts w:ascii="Times New Roman" w:eastAsia="宋体" w:hAnsi="Times New Roman" w:cs="Times New Roman"/>
                <w:kern w:val="0"/>
                <w:sz w:val="18"/>
                <w:szCs w:val="18"/>
              </w:rPr>
              <w:t>-0.15158842</w:t>
            </w:r>
          </w:p>
        </w:tc>
        <w:tc>
          <w:tcPr>
            <w:tcW w:w="4008" w:type="dxa"/>
            <w:vAlign w:val="center"/>
          </w:tcPr>
          <w:p w14:paraId="44CF6237" w14:textId="00F0CE34" w:rsidR="00C723C7" w:rsidRDefault="00000000">
            <w:pPr>
              <w:rPr>
                <w:rFonts w:ascii="Times New Roman" w:hAnsi="Times New Roman" w:cs="Times New Roman"/>
                <w:sz w:val="18"/>
                <w:szCs w:val="20"/>
              </w:rPr>
            </w:pPr>
            <w:r>
              <w:rPr>
                <w:rFonts w:ascii="Times New Roman" w:hAnsi="Times New Roman" w:cs="Times New Roman"/>
                <w:sz w:val="18"/>
                <w:szCs w:val="20"/>
              </w:rPr>
              <w:t>Death-receptor ligand capable of inducing apoptosis and modulating immune surveillance and inflammatory responses</w:t>
            </w:r>
            <w:r>
              <w:rPr>
                <w:rFonts w:ascii="Times New Roman" w:hAnsi="Times New Roman" w:cs="Times New Roman" w:hint="eastAsia"/>
                <w:sz w:val="18"/>
                <w:szCs w:val="20"/>
              </w:rPr>
              <w:t xml:space="preserve"> </w:t>
            </w:r>
            <w:r>
              <w:rPr>
                <w:rFonts w:ascii="Times New Roman" w:hAnsi="Times New Roman" w:cs="Times New Roman"/>
                <w:sz w:val="18"/>
                <w:szCs w:val="20"/>
              </w:rPr>
              <w:fldChar w:fldCharType="begin"/>
            </w:r>
            <w:r w:rsidR="00A804EA">
              <w:rPr>
                <w:rFonts w:ascii="Times New Roman" w:hAnsi="Times New Roman" w:cs="Times New Roman"/>
                <w:sz w:val="18"/>
                <w:szCs w:val="20"/>
              </w:rPr>
              <w:instrText xml:space="preserve"> ADDIN EN.CITE &lt;EndNote&gt;&lt;Cite&gt;&lt;Author&gt;Cardoso Alves&lt;/Author&gt;&lt;Year&gt;2021&lt;/Year&gt;&lt;RecNum&gt;630&lt;/RecNum&gt;&lt;DisplayText&gt;[20]&lt;/DisplayText&gt;&lt;record&gt;&lt;rec-number&gt;630&lt;/rec-number&gt;&lt;foreign-keys&gt;&lt;key app="EN" db-id="va0vwdrrpewve7etaerxrpf5vw2d0xf5d2sf" timestamp="1789109479"&gt;630&lt;/key&gt;&lt;/foreign-keys&gt;&lt;ref-type name="Journal Article"&gt;17&lt;/ref-type&gt;&lt;contributors&gt;&lt;authors&gt;&lt;author&gt;Cardoso Alves, L.&lt;/author&gt;&lt;author&gt;Corazza, N.&lt;/author&gt;&lt;author&gt;Micheau, O.&lt;/author&gt;&lt;author&gt;Krebs, P.&lt;/author&gt;&lt;/authors&gt;&lt;/contributors&gt;&lt;auth-address&gt;Institute of Pathology, University of Bern, Switzerland.&amp;#xD;INSERM, Universite Bourgogne Franche-Comte, LNC UMR1231, Dijon, France.&lt;/auth-address&gt;&lt;titles&gt;&lt;title&gt;The multifaceted role of TRAIL signaling in cancer and immunity&lt;/title&gt;&lt;secondary-title&gt;FEBS J&lt;/secondary-title&gt;&lt;/titles&gt;&lt;periodical&gt;&lt;full-title&gt;FEBS J&lt;/full-title&gt;&lt;/periodical&gt;&lt;pages&gt;5530-5554&lt;/pages&gt;&lt;volume&gt;288&lt;/volume&gt;&lt;number&gt;19&lt;/number&gt;&lt;edition&gt;20201209&lt;/edition&gt;&lt;keywords&gt;&lt;keyword&gt;Apoptosis/*genetics/immunology&lt;/keyword&gt;&lt;keyword&gt;Humans&lt;/keyword&gt;&lt;keyword&gt;Immunity/*genetics&lt;/keyword&gt;&lt;keyword&gt;Killer Cells, Natural/immunology&lt;/keyword&gt;&lt;keyword&gt;Neoplasms/*genetics/immunology&lt;/keyword&gt;&lt;keyword&gt;Signal Transduction/genetics&lt;/keyword&gt;&lt;keyword&gt;TNF-Related Apoptosis-Inducing Ligand/*genetics&lt;/keyword&gt;&lt;keyword&gt;NK cells&lt;/keyword&gt;&lt;keyword&gt;TRAIL signaling&lt;/keyword&gt;&lt;keyword&gt;apoptosis&lt;/keyword&gt;&lt;keyword&gt;cancer&lt;/keyword&gt;&lt;keyword&gt;immune cell regulation&lt;/keyword&gt;&lt;keyword&gt;noncanonical TRAIL signaling&lt;/keyword&gt;&lt;/keywords&gt;&lt;dates&gt;&lt;year&gt;2021&lt;/year&gt;&lt;pub-dates&gt;&lt;date&gt;Oct&lt;/date&gt;&lt;/pub-dates&gt;&lt;/dates&gt;&lt;isbn&gt;1742-4658 (Electronic)&amp;#xD;1742-464X (Linking)&lt;/isbn&gt;&lt;accession-num&gt;33215853&lt;/accession-num&gt;&lt;urls&gt;&lt;related-urls&gt;&lt;url&gt;https://www.ncbi.nlm.nih.gov/pubmed/33215853&lt;/url&gt;&lt;/related-urls&gt;&lt;/urls&gt;&lt;electronic-resource-num&gt;10.1111/febs.15637&lt;/electronic-resource-num&gt;&lt;remote-database-name&gt;Medline&lt;/remote-database-name&gt;&lt;remote-database-provider&gt;NLM&lt;/remote-database-provider&gt;&lt;/record&gt;&lt;/Cite&gt;&lt;/EndNote&gt;</w:instrText>
            </w:r>
            <w:r>
              <w:rPr>
                <w:rFonts w:ascii="Times New Roman" w:hAnsi="Times New Roman" w:cs="Times New Roman"/>
                <w:sz w:val="18"/>
                <w:szCs w:val="20"/>
              </w:rPr>
              <w:fldChar w:fldCharType="separate"/>
            </w:r>
            <w:r w:rsidR="00A804EA">
              <w:rPr>
                <w:rFonts w:ascii="Times New Roman" w:hAnsi="Times New Roman" w:cs="Times New Roman"/>
                <w:noProof/>
                <w:sz w:val="18"/>
                <w:szCs w:val="20"/>
              </w:rPr>
              <w:t>[20]</w:t>
            </w:r>
            <w:r>
              <w:rPr>
                <w:rFonts w:ascii="Times New Roman" w:hAnsi="Times New Roman" w:cs="Times New Roman"/>
                <w:sz w:val="18"/>
                <w:szCs w:val="20"/>
              </w:rPr>
              <w:fldChar w:fldCharType="end"/>
            </w:r>
            <w:r>
              <w:rPr>
                <w:rFonts w:ascii="Times New Roman" w:hAnsi="Times New Roman" w:cs="Times New Roman"/>
                <w:sz w:val="18"/>
                <w:szCs w:val="20"/>
              </w:rPr>
              <w:t>.</w:t>
            </w:r>
          </w:p>
        </w:tc>
      </w:tr>
      <w:tr w:rsidR="00C723C7" w14:paraId="1B3620E2" w14:textId="77777777">
        <w:trPr>
          <w:tblCellSpacing w:w="15" w:type="dxa"/>
        </w:trPr>
        <w:tc>
          <w:tcPr>
            <w:tcW w:w="1551" w:type="dxa"/>
            <w:vAlign w:val="center"/>
          </w:tcPr>
          <w:p w14:paraId="53033BBF" w14:textId="77777777" w:rsidR="00C723C7" w:rsidRDefault="00000000">
            <w:pPr>
              <w:rPr>
                <w:rFonts w:ascii="Times New Roman" w:hAnsi="Times New Roman" w:cs="Times New Roman"/>
                <w:sz w:val="18"/>
                <w:szCs w:val="20"/>
              </w:rPr>
            </w:pPr>
            <w:r>
              <w:rPr>
                <w:rFonts w:ascii="Times New Roman" w:hAnsi="Times New Roman" w:cs="Times New Roman"/>
                <w:sz w:val="18"/>
                <w:szCs w:val="20"/>
              </w:rPr>
              <w:t>IGFBP3</w:t>
            </w:r>
          </w:p>
        </w:tc>
        <w:tc>
          <w:tcPr>
            <w:tcW w:w="1635" w:type="dxa"/>
            <w:vAlign w:val="center"/>
          </w:tcPr>
          <w:p w14:paraId="3E17E6CD" w14:textId="77777777" w:rsidR="00C723C7" w:rsidRDefault="00000000">
            <w:pPr>
              <w:jc w:val="left"/>
              <w:rPr>
                <w:rFonts w:ascii="Times New Roman" w:hAnsi="Times New Roman" w:cs="Times New Roman"/>
                <w:sz w:val="18"/>
                <w:szCs w:val="20"/>
              </w:rPr>
            </w:pPr>
            <w:r>
              <w:rPr>
                <w:rFonts w:ascii="Times New Roman" w:hAnsi="Times New Roman" w:cs="Times New Roman"/>
                <w:sz w:val="18"/>
                <w:szCs w:val="20"/>
              </w:rPr>
              <w:t>Insulin-Like Growth Factor Binding Protein 3</w:t>
            </w:r>
          </w:p>
        </w:tc>
        <w:tc>
          <w:tcPr>
            <w:tcW w:w="962" w:type="dxa"/>
            <w:vAlign w:val="center"/>
          </w:tcPr>
          <w:p w14:paraId="35FE2D33" w14:textId="77777777" w:rsidR="00C723C7" w:rsidRDefault="00000000">
            <w:pPr>
              <w:rPr>
                <w:rFonts w:ascii="Times New Roman" w:hAnsi="Times New Roman" w:cs="Times New Roman"/>
                <w:sz w:val="18"/>
                <w:szCs w:val="20"/>
              </w:rPr>
            </w:pPr>
            <w:r>
              <w:rPr>
                <w:rFonts w:ascii="Times New Roman" w:eastAsia="宋体" w:hAnsi="Times New Roman" w:cs="Times New Roman"/>
                <w:kern w:val="0"/>
                <w:sz w:val="18"/>
                <w:szCs w:val="18"/>
              </w:rPr>
              <w:t>-0.13627487</w:t>
            </w:r>
          </w:p>
        </w:tc>
        <w:tc>
          <w:tcPr>
            <w:tcW w:w="4008" w:type="dxa"/>
            <w:vAlign w:val="center"/>
          </w:tcPr>
          <w:p w14:paraId="7318D87D" w14:textId="0735E5AD" w:rsidR="00C723C7" w:rsidRDefault="00000000">
            <w:pPr>
              <w:rPr>
                <w:rFonts w:ascii="Times New Roman" w:hAnsi="Times New Roman" w:cs="Times New Roman"/>
                <w:sz w:val="18"/>
                <w:szCs w:val="20"/>
              </w:rPr>
            </w:pPr>
            <w:r>
              <w:rPr>
                <w:rFonts w:ascii="Times New Roman" w:hAnsi="Times New Roman" w:cs="Times New Roman"/>
                <w:sz w:val="18"/>
                <w:szCs w:val="20"/>
              </w:rPr>
              <w:t>Major circulating IGF-binding protein that regulates IGF availability and also influences apoptosis, proliferation, and cellular stress responses</w:t>
            </w:r>
            <w:r>
              <w:rPr>
                <w:rFonts w:ascii="Times New Roman" w:hAnsi="Times New Roman" w:cs="Times New Roman" w:hint="eastAsia"/>
                <w:sz w:val="18"/>
                <w:szCs w:val="20"/>
              </w:rPr>
              <w:t xml:space="preserve"> </w:t>
            </w:r>
            <w:r>
              <w:rPr>
                <w:rFonts w:ascii="Times New Roman" w:hAnsi="Times New Roman" w:cs="Times New Roman"/>
                <w:sz w:val="18"/>
                <w:szCs w:val="20"/>
              </w:rPr>
              <w:fldChar w:fldCharType="begin"/>
            </w:r>
            <w:r w:rsidR="00A804EA">
              <w:rPr>
                <w:rFonts w:ascii="Times New Roman" w:hAnsi="Times New Roman" w:cs="Times New Roman"/>
                <w:sz w:val="18"/>
                <w:szCs w:val="20"/>
              </w:rPr>
              <w:instrText xml:space="preserve"> ADDIN EN.CITE &lt;EndNote&gt;&lt;Cite&gt;&lt;Author&gt;Johnson&lt;/Author&gt;&lt;Year&gt;2014&lt;/Year&gt;&lt;RecNum&gt;631&lt;/RecNum&gt;&lt;DisplayText&gt;[21]&lt;/DisplayText&gt;&lt;record&gt;&lt;rec-number&gt;631&lt;/rec-number&gt;&lt;foreign-keys&gt;&lt;key app="EN" db-id="va0vwdrrpewve7etaerxrpf5vw2d0xf5d2sf" timestamp="1789109542"&gt;631&lt;/key&gt;&lt;/foreign-keys&gt;&lt;ref-type name="Journal Article"&gt;17&lt;/ref-type&gt;&lt;contributors&gt;&lt;authors&gt;&lt;author&gt;Johnson, M. A.&lt;/author&gt;&lt;author&gt;Firth, S. M.&lt;/author&gt;&lt;/authors&gt;&lt;/contributors&gt;&lt;auth-address&gt;Hormones and Cancer, Kolling Institute of Medical Research, The University of Sydney, Royal North Shore Hospital, St Leonards, NSW 2065, Australia.&lt;/auth-address&gt;&lt;titles&gt;&lt;title&gt;IGFBP-3: a cell fate pivot in cancer and disease&lt;/title&gt;&lt;secondary-title&gt;Growth Horm IGF Res&lt;/secondary-title&gt;&lt;/titles&gt;&lt;periodical&gt;&lt;full-title&gt;Growth Horm IGF Res&lt;/full-title&gt;&lt;/periodical&gt;&lt;pages&gt;164-73&lt;/pages&gt;&lt;volume&gt;24&lt;/volume&gt;&lt;number&gt;5&lt;/number&gt;&lt;edition&gt;20140607&lt;/edition&gt;&lt;keywords&gt;&lt;keyword&gt;Animals&lt;/keyword&gt;&lt;keyword&gt;Apoptosis/genetics&lt;/keyword&gt;&lt;keyword&gt;Cell Differentiation/genetics&lt;/keyword&gt;&lt;keyword&gt;Cell Proliferation/genetics&lt;/keyword&gt;&lt;keyword&gt;Disease/*genetics&lt;/keyword&gt;&lt;keyword&gt;Endoplasmic Reticulum/metabolism&lt;/keyword&gt;&lt;keyword&gt;*Genes, Switch&lt;/keyword&gt;&lt;keyword&gt;Humans&lt;/keyword&gt;&lt;keyword&gt;Insulin-Like Growth Factor Binding Protein 3/*physiology&lt;/keyword&gt;&lt;keyword&gt;Neoplasms/*genetics&lt;/keyword&gt;&lt;keyword&gt;Apoptosis&lt;/keyword&gt;&lt;keyword&gt;Autophagy&lt;/keyword&gt;&lt;keyword&gt;Cancer&lt;/keyword&gt;&lt;keyword&gt;Cell survival&lt;/keyword&gt;&lt;keyword&gt;Igfbp-3&lt;/keyword&gt;&lt;/keywords&gt;&lt;dates&gt;&lt;year&gt;2014&lt;/year&gt;&lt;pub-dates&gt;&lt;date&gt;Oct&lt;/date&gt;&lt;/pub-dates&gt;&lt;/dates&gt;&lt;isbn&gt;1532-2238 (Electronic)&amp;#xD;1096-6374 (Linking)&lt;/isbn&gt;&lt;accession-num&gt;24953254&lt;/accession-num&gt;&lt;urls&gt;&lt;related-urls&gt;&lt;url&gt;https://www.ncbi.nlm.nih.gov/pubmed/24953254&lt;/url&gt;&lt;/related-urls&gt;&lt;/urls&gt;&lt;electronic-resource-num&gt;10.1016/j.ghir.2014.04.007&lt;/electronic-resource-num&gt;&lt;remote-database-name&gt;Medline&lt;/remote-database-name&gt;&lt;remote-database-provider&gt;NLM&lt;/remote-database-provider&gt;&lt;/record&gt;&lt;/Cite&gt;&lt;/EndNote&gt;</w:instrText>
            </w:r>
            <w:r>
              <w:rPr>
                <w:rFonts w:ascii="Times New Roman" w:hAnsi="Times New Roman" w:cs="Times New Roman"/>
                <w:sz w:val="18"/>
                <w:szCs w:val="20"/>
              </w:rPr>
              <w:fldChar w:fldCharType="separate"/>
            </w:r>
            <w:r w:rsidR="00A804EA">
              <w:rPr>
                <w:rFonts w:ascii="Times New Roman" w:hAnsi="Times New Roman" w:cs="Times New Roman"/>
                <w:noProof/>
                <w:sz w:val="18"/>
                <w:szCs w:val="20"/>
              </w:rPr>
              <w:t>[21]</w:t>
            </w:r>
            <w:r>
              <w:rPr>
                <w:rFonts w:ascii="Times New Roman" w:hAnsi="Times New Roman" w:cs="Times New Roman"/>
                <w:sz w:val="18"/>
                <w:szCs w:val="20"/>
              </w:rPr>
              <w:fldChar w:fldCharType="end"/>
            </w:r>
            <w:r>
              <w:rPr>
                <w:rFonts w:ascii="Times New Roman" w:hAnsi="Times New Roman" w:cs="Times New Roman"/>
                <w:sz w:val="18"/>
                <w:szCs w:val="20"/>
              </w:rPr>
              <w:t>.</w:t>
            </w:r>
          </w:p>
        </w:tc>
      </w:tr>
      <w:tr w:rsidR="00C723C7" w14:paraId="20EA8A1D" w14:textId="77777777">
        <w:trPr>
          <w:tblCellSpacing w:w="15" w:type="dxa"/>
        </w:trPr>
        <w:tc>
          <w:tcPr>
            <w:tcW w:w="1551" w:type="dxa"/>
            <w:vAlign w:val="center"/>
          </w:tcPr>
          <w:p w14:paraId="0698401E" w14:textId="77777777" w:rsidR="00C723C7" w:rsidRDefault="00000000">
            <w:pPr>
              <w:rPr>
                <w:rFonts w:ascii="Times New Roman" w:hAnsi="Times New Roman" w:cs="Times New Roman"/>
                <w:sz w:val="18"/>
                <w:szCs w:val="20"/>
              </w:rPr>
            </w:pPr>
            <w:r>
              <w:rPr>
                <w:rFonts w:ascii="Times New Roman" w:hAnsi="Times New Roman" w:cs="Times New Roman"/>
                <w:sz w:val="18"/>
                <w:szCs w:val="20"/>
              </w:rPr>
              <w:t>BANK1</w:t>
            </w:r>
          </w:p>
        </w:tc>
        <w:tc>
          <w:tcPr>
            <w:tcW w:w="1635" w:type="dxa"/>
            <w:vAlign w:val="center"/>
          </w:tcPr>
          <w:p w14:paraId="19E0735A" w14:textId="77777777" w:rsidR="00C723C7" w:rsidRDefault="00000000">
            <w:pPr>
              <w:jc w:val="left"/>
              <w:rPr>
                <w:rFonts w:ascii="Times New Roman" w:hAnsi="Times New Roman" w:cs="Times New Roman"/>
                <w:sz w:val="18"/>
                <w:szCs w:val="20"/>
              </w:rPr>
            </w:pPr>
            <w:r>
              <w:rPr>
                <w:rFonts w:ascii="Times New Roman" w:hAnsi="Times New Roman" w:cs="Times New Roman"/>
                <w:sz w:val="18"/>
                <w:szCs w:val="20"/>
              </w:rPr>
              <w:t>B-Cell Scaffold Protein With Ankyrin Repeats 1</w:t>
            </w:r>
          </w:p>
        </w:tc>
        <w:tc>
          <w:tcPr>
            <w:tcW w:w="962" w:type="dxa"/>
            <w:vAlign w:val="center"/>
          </w:tcPr>
          <w:p w14:paraId="52B5FCDD" w14:textId="77777777" w:rsidR="00C723C7" w:rsidRDefault="00000000">
            <w:pPr>
              <w:rPr>
                <w:rFonts w:ascii="Times New Roman" w:hAnsi="Times New Roman" w:cs="Times New Roman"/>
                <w:sz w:val="18"/>
                <w:szCs w:val="20"/>
              </w:rPr>
            </w:pPr>
            <w:r>
              <w:rPr>
                <w:rFonts w:ascii="Times New Roman" w:eastAsia="宋体" w:hAnsi="Times New Roman" w:cs="Times New Roman"/>
                <w:kern w:val="0"/>
                <w:sz w:val="18"/>
                <w:szCs w:val="18"/>
              </w:rPr>
              <w:t>-0.11618413</w:t>
            </w:r>
          </w:p>
        </w:tc>
        <w:tc>
          <w:tcPr>
            <w:tcW w:w="4008" w:type="dxa"/>
            <w:vAlign w:val="center"/>
          </w:tcPr>
          <w:p w14:paraId="2AB29AD4" w14:textId="22337AE7" w:rsidR="00C723C7" w:rsidRDefault="00000000">
            <w:pPr>
              <w:rPr>
                <w:rFonts w:ascii="Times New Roman" w:hAnsi="Times New Roman" w:cs="Times New Roman"/>
                <w:sz w:val="18"/>
                <w:szCs w:val="20"/>
              </w:rPr>
            </w:pPr>
            <w:r>
              <w:rPr>
                <w:rFonts w:ascii="Times New Roman" w:hAnsi="Times New Roman" w:cs="Times New Roman"/>
                <w:sz w:val="18"/>
                <w:szCs w:val="20"/>
              </w:rPr>
              <w:t>B-cell adaptor/scaffold protein involved in B-cell receptor signalling, calcium mobilization, and regulation of humoral immune responses</w:t>
            </w:r>
            <w:r>
              <w:rPr>
                <w:rFonts w:ascii="Times New Roman" w:hAnsi="Times New Roman" w:cs="Times New Roman" w:hint="eastAsia"/>
                <w:sz w:val="18"/>
                <w:szCs w:val="20"/>
              </w:rPr>
              <w:t xml:space="preserve"> </w:t>
            </w:r>
            <w:r>
              <w:rPr>
                <w:rFonts w:ascii="Times New Roman" w:hAnsi="Times New Roman" w:cs="Times New Roman"/>
                <w:sz w:val="18"/>
                <w:szCs w:val="20"/>
              </w:rPr>
              <w:fldChar w:fldCharType="begin">
                <w:fldData xml:space="preserve">PEVuZE5vdGU+PENpdGU+PEF1dGhvcj5Hb21leiBIZXJuYW5kZXo8L0F1dGhvcj48WWVhcj4yMDIx
PC9ZZWFyPjxSZWNOdW0+NjMyPC9SZWNOdW0+PERpc3BsYXlUZXh0PlsyMl08L0Rpc3BsYXlUZXh0
PjxyZWNvcmQ+PHJlYy1udW1iZXI+NjMyPC9yZWMtbnVtYmVyPjxmb3JlaWduLWtleXM+PGtleSBh
cHA9IkVOIiBkYi1pZD0idmEwdndkcnJwZXd2ZTdldGFlcnhycGY1dncyZDB4ZjVkMnNmIiB0aW1l
c3RhbXA9IjE3ODkxMDk1NzMiPjYzMjwva2V5PjwvZm9yZWlnbi1rZXlzPjxyZWYtdHlwZSBuYW1l
PSJKb3VybmFsIEFydGljbGUiPjE3PC9yZWYtdHlwZT48Y29udHJpYnV0b3JzPjxhdXRob3JzPjxh
dXRob3I+R29tZXogSGVybmFuZGV6LCBHLjwvYXV0aG9yPjxhdXRob3I+TW9yZWxsLCBNLjwvYXV0
aG9yPjxhdXRob3I+QWxhcmNvbi1SaXF1ZWxtZSwgTS4gRS48L2F1dGhvcj48L2F1dGhvcnM+PC9j
b250cmlidXRvcnM+PGF1dGgtYWRkcmVzcz5HRU5ZTywgQ2VudGVyIGZvciBHZW5vbWljcyBhbmQg
T25jb2xvZ2ljYWwgUmVzZWFyY2gsIFBmaXplciwgVW5pdmVyc2l0eSBvZiBHcmFuYWRhLCBBbmRh
bHVzaWFuIEdvdmVybm1lbnQsIFBUUywgMTgwMTYgR3JhbmFkYSwgU3BhaW4uJiN4RDtEZXBhcnRt
ZW50IG9mIEVudmlyb25tZW50YWwgTWVkaWNpbmUsIEthcm9saW5za2EgSW5zdGl0dXRldCwgMTcx
NjcgU29sbmEsIFN3ZWRlbi48L2F1dGgtYWRkcmVzcz48dGl0bGVzPjx0aXRsZT5UaGUgUm9sZSBv
ZiBCQU5LMSBpbiBCIENlbGwgU2lnbmFsaW5nIGFuZCBEaXNlYXNlPC90aXRsZT48c2Vjb25kYXJ5
LXRpdGxlPkNlbGxzPC9zZWNvbmRhcnktdGl0bGU+PC90aXRsZXM+PHBlcmlvZGljYWw+PGZ1bGwt
dGl0bGU+Q2VsbHM8L2Z1bGwtdGl0bGU+PC9wZXJpb2RpY2FsPjx2b2x1bWU+MTA8L3ZvbHVtZT48
bnVtYmVyPjU8L251bWJlcj48ZWRpdGlvbj4yMDIxMDUxMjwvZWRpdGlvbj48a2V5d29yZHM+PGtl
eXdvcmQ+QWRhcHRvciBQcm90ZWlucywgU2lnbmFsIFRyYW5zZHVjaW5nLypnZW5ldGljcy9waHlz
aW9sb2d5PC9rZXl3b3JkPjxrZXl3b3JkPkFsbGVsZXM8L2tleXdvcmQ+PGtleXdvcmQ+QW5pbWFs
czwva2V5d29yZD48a2V5d29yZD5BdXRvaW1tdW5lIERpc2Vhc2VzLypnZW5ldGljcy9tZXRhYm9s
aXNtPC9rZXl3b3JkPjxrZXl3b3JkPkF1dG9pbW11bml0eTwva2V5d29yZD48a2V5d29yZD5CLUx5
bXBob2N5dGVzLyptZXRhYm9saXNtPC9rZXl3b3JkPjxrZXl3b3JkPkNENDAgQW50aWdlbnMvbWV0
YWJvbGlzbTwva2V5d29yZD48a2V5d29yZD5EZW5kcml0aWMgQ2VsbHM8L2tleXdvcmQ+PGtleXdv
cmQ+R2VuZXRpYyBWYXJpYXRpb248L2tleXdvcmQ+PGtleXdvcmQ+SHVtYW5zPC9rZXl3b3JkPjxr
ZXl3b3JkPk1lbWJyYW5lIFByb3RlaW5zLypnZW5ldGljcy9waHlzaW9sb2d5PC9rZXl3b3JkPjxr
ZXl3b3JkPk1pY2U8L2tleXdvcmQ+PGtleXdvcmQ+UGhlbm90eXBlPC9rZXl3b3JkPjxrZXl3b3Jk
PipQb2x5bW9ycGhpc20sIEdlbmV0aWM8L2tleXdvcmQ+PGtleXdvcmQ+Umlzazwva2V5d29yZD48
a2V5d29yZD5TaWduYWwgVHJhbnNkdWN0aW9uPC9rZXl3b3JkPjxrZXl3b3JkPlRvbGwtTGlrZSBS
ZWNlcHRvciA3L2dlbmV0aWNzL21ldGFib2xpc208L2tleXdvcmQ+PGtleXdvcmQ+VG9sbC1MaWtl
IFJlY2VwdG9yIDkvZ2VuZXRpY3MvbWV0YWJvbGlzbTwva2V5d29yZD48a2V5d29yZD5zcmMtRmFt
aWx5IEtpbmFzZXMvZ2VuZXRpY3MvbWV0YWJvbGlzbTwva2V5d29yZD48a2V5d29yZD5CIGNlbGwg
cmVjZXB0b3I8L2tleXdvcmQ+PGtleXdvcmQ+QiBjZWxsIHNjYWZmb2xkIHdpdGggYW5reXJpbiBy
ZXBlYXRzPC9rZXl3b3JkPjxrZXl3b3JkPkIgY2VsbHM8L2tleXdvcmQ+PGtleXdvcmQ+QmxrPC9r
ZXl3b3JkPjxrZXl3b3JkPkNkNDA8L2tleXdvcmQ+PGtleXdvcmQ+THluPC9rZXl3b3JkPjxrZXl3
b3JkPlRscjc8L2tleXdvcmQ+PGtleXdvcmQ+VHJhZjY8L2tleXdvcmQ+PGtleXdvcmQ+Z2VuZXRp
YyBhc3NvY2lhdGlvbjwva2V5d29yZD48L2tleXdvcmRzPjxkYXRlcz48eWVhcj4yMDIxPC95ZWFy
PjxwdWItZGF0ZXM+PGRhdGU+TWF5IDEyPC9kYXRlPjwvcHViLWRhdGVzPjwvZGF0ZXM+PGlzYm4+
MjA3My00NDA5IChFbGVjdHJvbmljKSYjeEQ7MjA3My00NDA5IChMaW5raW5nKTwvaXNibj48YWNj
ZXNzaW9uLW51bT4zNDA2NjE2NDwvYWNjZXNzaW9uLW51bT48dXJscz48cmVsYXRlZC11cmxzPjx1
cmw+aHR0cHM6Ly93d3cubmNiaS5ubG0ubmloLmdvdi9wdWJtZWQvMzQwNjYxNjQ8L3VybD48L3Jl
bGF0ZWQtdXJscz48L3VybHM+PGN1c3RvbTE+VGhlIGF1dGhvcnMgZGVjbGFyZSBubyBjb25mbGlj
dCBvZiBpbnRlcmVzdC4gVGhlIGF1dGhvcnMgYXJlIE5PVCBlbXBsb3llZXMgb2YgUGZpemVyLjwv
Y3VzdG9tMT48Y3VzdG9tMj5QTUM4MTUxODY2PC9jdXN0b20yPjxlbGVjdHJvbmljLXJlc291cmNl
LW51bT4xMC4zMzkwL2NlbGxzMTAwNTExODQ8L2VsZWN0cm9uaWMtcmVzb3VyY2UtbnVtPjxyZW1v
dGUtZGF0YWJhc2UtbmFtZT5NZWRsaW5lPC9yZW1vdGUtZGF0YWJhc2UtbmFtZT48cmVtb3RlLWRh
dGFiYXNlLXByb3ZpZGVyPk5MTTwvcmVtb3RlLWRhdGFiYXNlLXByb3ZpZGVyPjwvcmVjb3JkPjwv
Q2l0ZT48L0VuZE5vdGU+AG==
</w:fldData>
              </w:fldChar>
            </w:r>
            <w:r w:rsidR="00A804EA">
              <w:rPr>
                <w:rFonts w:ascii="Times New Roman" w:hAnsi="Times New Roman" w:cs="Times New Roman"/>
                <w:sz w:val="18"/>
                <w:szCs w:val="20"/>
              </w:rPr>
              <w:instrText xml:space="preserve"> ADDIN EN.CITE </w:instrText>
            </w:r>
            <w:r w:rsidR="00A804EA">
              <w:rPr>
                <w:rFonts w:ascii="Times New Roman" w:hAnsi="Times New Roman" w:cs="Times New Roman"/>
                <w:sz w:val="18"/>
                <w:szCs w:val="20"/>
              </w:rPr>
              <w:fldChar w:fldCharType="begin">
                <w:fldData xml:space="preserve">PEVuZE5vdGU+PENpdGU+PEF1dGhvcj5Hb21leiBIZXJuYW5kZXo8L0F1dGhvcj48WWVhcj4yMDIx
PC9ZZWFyPjxSZWNOdW0+NjMyPC9SZWNOdW0+PERpc3BsYXlUZXh0PlsyMl08L0Rpc3BsYXlUZXh0
PjxyZWNvcmQ+PHJlYy1udW1iZXI+NjMyPC9yZWMtbnVtYmVyPjxmb3JlaWduLWtleXM+PGtleSBh
cHA9IkVOIiBkYi1pZD0idmEwdndkcnJwZXd2ZTdldGFlcnhycGY1dncyZDB4ZjVkMnNmIiB0aW1l
c3RhbXA9IjE3ODkxMDk1NzMiPjYzMjwva2V5PjwvZm9yZWlnbi1rZXlzPjxyZWYtdHlwZSBuYW1l
PSJKb3VybmFsIEFydGljbGUiPjE3PC9yZWYtdHlwZT48Y29udHJpYnV0b3JzPjxhdXRob3JzPjxh
dXRob3I+R29tZXogSGVybmFuZGV6LCBHLjwvYXV0aG9yPjxhdXRob3I+TW9yZWxsLCBNLjwvYXV0
aG9yPjxhdXRob3I+QWxhcmNvbi1SaXF1ZWxtZSwgTS4gRS48L2F1dGhvcj48L2F1dGhvcnM+PC9j
b250cmlidXRvcnM+PGF1dGgtYWRkcmVzcz5HRU5ZTywgQ2VudGVyIGZvciBHZW5vbWljcyBhbmQg
T25jb2xvZ2ljYWwgUmVzZWFyY2gsIFBmaXplciwgVW5pdmVyc2l0eSBvZiBHcmFuYWRhLCBBbmRh
bHVzaWFuIEdvdmVybm1lbnQsIFBUUywgMTgwMTYgR3JhbmFkYSwgU3BhaW4uJiN4RDtEZXBhcnRt
ZW50IG9mIEVudmlyb25tZW50YWwgTWVkaWNpbmUsIEthcm9saW5za2EgSW5zdGl0dXRldCwgMTcx
NjcgU29sbmEsIFN3ZWRlbi48L2F1dGgtYWRkcmVzcz48dGl0bGVzPjx0aXRsZT5UaGUgUm9sZSBv
ZiBCQU5LMSBpbiBCIENlbGwgU2lnbmFsaW5nIGFuZCBEaXNlYXNlPC90aXRsZT48c2Vjb25kYXJ5
LXRpdGxlPkNlbGxzPC9zZWNvbmRhcnktdGl0bGU+PC90aXRsZXM+PHBlcmlvZGljYWw+PGZ1bGwt
dGl0bGU+Q2VsbHM8L2Z1bGwtdGl0bGU+PC9wZXJpb2RpY2FsPjx2b2x1bWU+MTA8L3ZvbHVtZT48
bnVtYmVyPjU8L251bWJlcj48ZWRpdGlvbj4yMDIxMDUxMjwvZWRpdGlvbj48a2V5d29yZHM+PGtl
eXdvcmQ+QWRhcHRvciBQcm90ZWlucywgU2lnbmFsIFRyYW5zZHVjaW5nLypnZW5ldGljcy9waHlz
aW9sb2d5PC9rZXl3b3JkPjxrZXl3b3JkPkFsbGVsZXM8L2tleXdvcmQ+PGtleXdvcmQ+QW5pbWFs
czwva2V5d29yZD48a2V5d29yZD5BdXRvaW1tdW5lIERpc2Vhc2VzLypnZW5ldGljcy9tZXRhYm9s
aXNtPC9rZXl3b3JkPjxrZXl3b3JkPkF1dG9pbW11bml0eTwva2V5d29yZD48a2V5d29yZD5CLUx5
bXBob2N5dGVzLyptZXRhYm9saXNtPC9rZXl3b3JkPjxrZXl3b3JkPkNENDAgQW50aWdlbnMvbWV0
YWJvbGlzbTwva2V5d29yZD48a2V5d29yZD5EZW5kcml0aWMgQ2VsbHM8L2tleXdvcmQ+PGtleXdv
cmQ+R2VuZXRpYyBWYXJpYXRpb248L2tleXdvcmQ+PGtleXdvcmQ+SHVtYW5zPC9rZXl3b3JkPjxr
ZXl3b3JkPk1lbWJyYW5lIFByb3RlaW5zLypnZW5ldGljcy9waHlzaW9sb2d5PC9rZXl3b3JkPjxr
ZXl3b3JkPk1pY2U8L2tleXdvcmQ+PGtleXdvcmQ+UGhlbm90eXBlPC9rZXl3b3JkPjxrZXl3b3Jk
PipQb2x5bW9ycGhpc20sIEdlbmV0aWM8L2tleXdvcmQ+PGtleXdvcmQ+Umlzazwva2V5d29yZD48
a2V5d29yZD5TaWduYWwgVHJhbnNkdWN0aW9uPC9rZXl3b3JkPjxrZXl3b3JkPlRvbGwtTGlrZSBS
ZWNlcHRvciA3L2dlbmV0aWNzL21ldGFib2xpc208L2tleXdvcmQ+PGtleXdvcmQ+VG9sbC1MaWtl
IFJlY2VwdG9yIDkvZ2VuZXRpY3MvbWV0YWJvbGlzbTwva2V5d29yZD48a2V5d29yZD5zcmMtRmFt
aWx5IEtpbmFzZXMvZ2VuZXRpY3MvbWV0YWJvbGlzbTwva2V5d29yZD48a2V5d29yZD5CIGNlbGwg
cmVjZXB0b3I8L2tleXdvcmQ+PGtleXdvcmQ+QiBjZWxsIHNjYWZmb2xkIHdpdGggYW5reXJpbiBy
ZXBlYXRzPC9rZXl3b3JkPjxrZXl3b3JkPkIgY2VsbHM8L2tleXdvcmQ+PGtleXdvcmQ+QmxrPC9r
ZXl3b3JkPjxrZXl3b3JkPkNkNDA8L2tleXdvcmQ+PGtleXdvcmQ+THluPC9rZXl3b3JkPjxrZXl3
b3JkPlRscjc8L2tleXdvcmQ+PGtleXdvcmQ+VHJhZjY8L2tleXdvcmQ+PGtleXdvcmQ+Z2VuZXRp
YyBhc3NvY2lhdGlvbjwva2V5d29yZD48L2tleXdvcmRzPjxkYXRlcz48eWVhcj4yMDIxPC95ZWFy
PjxwdWItZGF0ZXM+PGRhdGU+TWF5IDEyPC9kYXRlPjwvcHViLWRhdGVzPjwvZGF0ZXM+PGlzYm4+
MjA3My00NDA5IChFbGVjdHJvbmljKSYjeEQ7MjA3My00NDA5IChMaW5raW5nKTwvaXNibj48YWNj
ZXNzaW9uLW51bT4zNDA2NjE2NDwvYWNjZXNzaW9uLW51bT48dXJscz48cmVsYXRlZC11cmxzPjx1
cmw+aHR0cHM6Ly93d3cubmNiaS5ubG0ubmloLmdvdi9wdWJtZWQvMzQwNjYxNjQ8L3VybD48L3Jl
bGF0ZWQtdXJscz48L3VybHM+PGN1c3RvbTE+VGhlIGF1dGhvcnMgZGVjbGFyZSBubyBjb25mbGlj
dCBvZiBpbnRlcmVzdC4gVGhlIGF1dGhvcnMgYXJlIE5PVCBlbXBsb3llZXMgb2YgUGZpemVyLjwv
Y3VzdG9tMT48Y3VzdG9tMj5QTUM4MTUxODY2PC9jdXN0b20yPjxlbGVjdHJvbmljLXJlc291cmNl
LW51bT4xMC4zMzkwL2NlbGxzMTAwNTExODQ8L2VsZWN0cm9uaWMtcmVzb3VyY2UtbnVtPjxyZW1v
dGUtZGF0YWJhc2UtbmFtZT5NZWRsaW5lPC9yZW1vdGUtZGF0YWJhc2UtbmFtZT48cmVtb3RlLWRh
dGFiYXNlLXByb3ZpZGVyPk5MTTwvcmVtb3RlLWRhdGFiYXNlLXByb3ZpZGVyPjwvcmVjb3JkPjwv
Q2l0ZT48L0VuZE5vdGU+AG==
</w:fldData>
              </w:fldChar>
            </w:r>
            <w:r w:rsidR="00A804EA">
              <w:rPr>
                <w:rFonts w:ascii="Times New Roman" w:hAnsi="Times New Roman" w:cs="Times New Roman"/>
                <w:sz w:val="18"/>
                <w:szCs w:val="20"/>
              </w:rPr>
              <w:instrText xml:space="preserve"> ADDIN EN.CITE.DATA </w:instrText>
            </w:r>
            <w:r w:rsidR="00A804EA">
              <w:rPr>
                <w:rFonts w:ascii="Times New Roman" w:hAnsi="Times New Roman" w:cs="Times New Roman"/>
                <w:sz w:val="18"/>
                <w:szCs w:val="20"/>
              </w:rPr>
            </w:r>
            <w:r w:rsidR="00A804EA">
              <w:rPr>
                <w:rFonts w:ascii="Times New Roman" w:hAnsi="Times New Roman" w:cs="Times New Roman"/>
                <w:sz w:val="18"/>
                <w:szCs w:val="20"/>
              </w:rPr>
              <w:fldChar w:fldCharType="end"/>
            </w:r>
            <w:r>
              <w:rPr>
                <w:rFonts w:ascii="Times New Roman" w:hAnsi="Times New Roman" w:cs="Times New Roman"/>
                <w:sz w:val="18"/>
                <w:szCs w:val="20"/>
              </w:rPr>
            </w:r>
            <w:r>
              <w:rPr>
                <w:rFonts w:ascii="Times New Roman" w:hAnsi="Times New Roman" w:cs="Times New Roman"/>
                <w:sz w:val="18"/>
                <w:szCs w:val="20"/>
              </w:rPr>
              <w:fldChar w:fldCharType="separate"/>
            </w:r>
            <w:r w:rsidR="00A804EA">
              <w:rPr>
                <w:rFonts w:ascii="Times New Roman" w:hAnsi="Times New Roman" w:cs="Times New Roman"/>
                <w:noProof/>
                <w:sz w:val="18"/>
                <w:szCs w:val="20"/>
              </w:rPr>
              <w:t>[22]</w:t>
            </w:r>
            <w:r>
              <w:rPr>
                <w:rFonts w:ascii="Times New Roman" w:hAnsi="Times New Roman" w:cs="Times New Roman"/>
                <w:sz w:val="18"/>
                <w:szCs w:val="20"/>
              </w:rPr>
              <w:fldChar w:fldCharType="end"/>
            </w:r>
            <w:r>
              <w:rPr>
                <w:rFonts w:ascii="Times New Roman" w:hAnsi="Times New Roman" w:cs="Times New Roman"/>
                <w:sz w:val="18"/>
                <w:szCs w:val="20"/>
              </w:rPr>
              <w:t>.</w:t>
            </w:r>
          </w:p>
        </w:tc>
      </w:tr>
      <w:tr w:rsidR="00C723C7" w14:paraId="34D11DEA" w14:textId="77777777">
        <w:trPr>
          <w:tblCellSpacing w:w="15" w:type="dxa"/>
        </w:trPr>
        <w:tc>
          <w:tcPr>
            <w:tcW w:w="1551" w:type="dxa"/>
            <w:vAlign w:val="center"/>
          </w:tcPr>
          <w:p w14:paraId="60C13EDE" w14:textId="77777777" w:rsidR="00C723C7" w:rsidRDefault="00000000">
            <w:pPr>
              <w:rPr>
                <w:rFonts w:ascii="Times New Roman" w:hAnsi="Times New Roman" w:cs="Times New Roman"/>
                <w:sz w:val="18"/>
                <w:szCs w:val="20"/>
              </w:rPr>
            </w:pPr>
            <w:r>
              <w:rPr>
                <w:rFonts w:ascii="Times New Roman" w:hAnsi="Times New Roman" w:cs="Times New Roman"/>
                <w:sz w:val="18"/>
                <w:szCs w:val="20"/>
              </w:rPr>
              <w:t>CD200R1</w:t>
            </w:r>
          </w:p>
        </w:tc>
        <w:tc>
          <w:tcPr>
            <w:tcW w:w="1635" w:type="dxa"/>
            <w:vAlign w:val="center"/>
          </w:tcPr>
          <w:p w14:paraId="7095BDA9" w14:textId="77777777" w:rsidR="00C723C7" w:rsidRDefault="00000000">
            <w:pPr>
              <w:jc w:val="left"/>
              <w:rPr>
                <w:rFonts w:ascii="Times New Roman" w:hAnsi="Times New Roman" w:cs="Times New Roman"/>
                <w:sz w:val="18"/>
                <w:szCs w:val="20"/>
              </w:rPr>
            </w:pPr>
            <w:r>
              <w:rPr>
                <w:rFonts w:ascii="Times New Roman" w:hAnsi="Times New Roman" w:cs="Times New Roman"/>
                <w:sz w:val="18"/>
                <w:szCs w:val="20"/>
              </w:rPr>
              <w:t>CD200 Receptor 1</w:t>
            </w:r>
          </w:p>
        </w:tc>
        <w:tc>
          <w:tcPr>
            <w:tcW w:w="962" w:type="dxa"/>
            <w:vAlign w:val="center"/>
          </w:tcPr>
          <w:p w14:paraId="3B99F5A1" w14:textId="77777777" w:rsidR="00C723C7" w:rsidRDefault="00000000">
            <w:pPr>
              <w:rPr>
                <w:rFonts w:ascii="Times New Roman" w:hAnsi="Times New Roman" w:cs="Times New Roman"/>
                <w:sz w:val="18"/>
                <w:szCs w:val="20"/>
              </w:rPr>
            </w:pPr>
            <w:r>
              <w:rPr>
                <w:rFonts w:ascii="Times New Roman" w:eastAsia="宋体" w:hAnsi="Times New Roman" w:cs="Times New Roman"/>
                <w:kern w:val="0"/>
                <w:sz w:val="18"/>
                <w:szCs w:val="18"/>
              </w:rPr>
              <w:t>-0.17109667</w:t>
            </w:r>
          </w:p>
        </w:tc>
        <w:tc>
          <w:tcPr>
            <w:tcW w:w="4008" w:type="dxa"/>
            <w:vAlign w:val="center"/>
          </w:tcPr>
          <w:p w14:paraId="1C70F76F" w14:textId="654A5AA6" w:rsidR="00C723C7" w:rsidRDefault="00000000">
            <w:pPr>
              <w:rPr>
                <w:rFonts w:ascii="Times New Roman" w:hAnsi="Times New Roman" w:cs="Times New Roman"/>
                <w:sz w:val="18"/>
                <w:szCs w:val="20"/>
              </w:rPr>
            </w:pPr>
            <w:r>
              <w:rPr>
                <w:rFonts w:ascii="Times New Roman" w:hAnsi="Times New Roman" w:cs="Times New Roman"/>
                <w:sz w:val="18"/>
                <w:szCs w:val="20"/>
              </w:rPr>
              <w:t>Inhibitory immune receptor expressed predominantly on myeloid cells; suppresses inflammatory activation after binding CD200</w:t>
            </w:r>
            <w:r>
              <w:rPr>
                <w:rFonts w:ascii="Times New Roman" w:hAnsi="Times New Roman" w:cs="Times New Roman" w:hint="eastAsia"/>
                <w:sz w:val="18"/>
                <w:szCs w:val="20"/>
              </w:rPr>
              <w:t xml:space="preserve"> </w:t>
            </w:r>
            <w:r>
              <w:rPr>
                <w:rFonts w:ascii="Times New Roman" w:hAnsi="Times New Roman" w:cs="Times New Roman"/>
                <w:sz w:val="18"/>
                <w:szCs w:val="20"/>
              </w:rPr>
              <w:fldChar w:fldCharType="begin">
                <w:fldData xml:space="preserve">PEVuZE5vdGU+PENpdGU+PEF1dGhvcj5WYWluZTwvQXV0aG9yPjxZZWFyPjIwMTQ8L1llYXI+PFJl
Y051bT42MzM8L1JlY051bT48RGlzcGxheVRleHQ+WzIzXTwvRGlzcGxheVRleHQ+PHJlY29yZD48
cmVjLW51bWJlcj42MzM8L3JlYy1udW1iZXI+PGZvcmVpZ24ta2V5cz48a2V5IGFwcD0iRU4iIGRi
LWlkPSJ2YTB2d2RycnBld3ZlN2V0YWVyeHJwZjV2dzJkMHhmNWQyc2YiIHRpbWVzdGFtcD0iMTc4
OTEwOTYwMSI+NjMzPC9rZXk+PC9mb3JlaWduLWtleXM+PHJlZi10eXBlIG5hbWU9IkpvdXJuYWwg
QXJ0aWNsZSI+MTc8L3JlZi10eXBlPjxjb250cmlidXRvcnM+PGF1dGhvcnM+PGF1dGhvcj5WYWlu
ZSwgQy4gQS48L2F1dGhvcj48YXV0aG9yPlNvYmVybWFuLCBSLiBKLjwvYXV0aG9yPjwvYXV0aG9y
cz48L2NvbnRyaWJ1dG9ycz48YXV0aC1hZGRyZXNzPkRlcGFydG1lbnQgb2YgTWVkaWNpbmUsIERp
dmlzaW9uIG9mIE5lcGhyb2xvZ3ksIE1hc3NhY2h1c2V0dHMgR2VuZXJhbCBIb3NwaXRhbCwgQm9z
dG9uLCBNYXNzYWNodXNldHRzLCBVU0EuJiN4RDtEZXBhcnRtZW50IG9mIE1lZGljaW5lLCBEaXZp
c2lvbiBvZiBOZXBocm9sb2d5LCBNYXNzYWNodXNldHRzIEdlbmVyYWwgSG9zcGl0YWwsIEJvc3Rv
biwgTWFzc2FjaHVzZXR0cywgVVNBLiBFbGVjdHJvbmljIGFkZHJlc3M6IHNvYmVybWFuQGhlbGl4
Lm1naC5oYXJ2YXJkLmVkdS48L2F1dGgtYWRkcmVzcz48dGl0bGVzPjx0aXRsZT5UaGUgQ0QyMDAt
Q0QyMDBSMSBpbmhpYml0b3J5IHNpZ25hbGluZyBwYXRod2F5OiBpbW11bmUgcmVndWxhdGlvbiBh
bmQgaG9zdC1wYXRob2dlbiBpbnRlcmFjdGlvbnM8L3RpdGxlPjxzZWNvbmRhcnktdGl0bGU+QWR2
IEltbXVub2w8L3NlY29uZGFyeS10aXRsZT48L3RpdGxlcz48cGVyaW9kaWNhbD48ZnVsbC10aXRs
ZT5BZHYgSW1tdW5vbDwvZnVsbC10aXRsZT48L3BlcmlvZGljYWw+PHBhZ2VzPjE5MS0yMTE8L3Bh
Z2VzPjx2b2x1bWU+MTIxPC92b2x1bWU+PGtleXdvcmRzPjxrZXl3b3JkPkFuaW1hbHM8L2tleXdv
cmQ+PGtleXdvcmQ+QW50aWdlbnMsIENELypwaHlzaW9sb2d5PC9rZXl3b3JkPjxrZXl3b3JkPkFu
dGlnZW5zLCBTdXJmYWNlLypwaHlzaW9sb2d5PC9rZXl3b3JkPjxrZXl3b3JkPkV4dHJhY2VsbHVs
YXIgRmx1aWQvaW1tdW5vbG9neS9taWNyb2Jpb2xvZ3kvdmlyb2xvZ3k8L2tleXdvcmQ+PGtleXdv
cmQ+SG9zdC1QYXRob2dlbiBJbnRlcmFjdGlvbnMvZ2VuZXRpY3MvKmltbXVub2xvZ3k8L2tleXdv
cmQ+PGtleXdvcmQ+SHVtYW5zPC9rZXl3b3JkPjxrZXl3b3JkPkltbXVub2dsb2J1bGlucy9waHlz
aW9sb2d5PC9rZXl3b3JkPjxrZXl3b3JkPkluZmxhbW1hdGlvbi9nZW5ldGljcy9taWNyb2Jpb2xv
Z3kvdmlyb2xvZ3k8L2tleXdvcmQ+PGtleXdvcmQ+SW5mbHVlbnphLCBIdW1hbi9nZW5ldGljcy9p
bW11bm9sb2d5L3Zpcm9sb2d5PC9rZXl3b3JkPjxrZXl3b3JkPkxlY3RpbnMsIEMtVHlwZS9waHlz
aW9sb2d5PC9rZXl3b3JkPjxrZXl3b3JkPk1pY2U8L2tleXdvcmQ+PGtleXdvcmQ+T3JleGluIFJl
Y2VwdG9yczwva2V5d29yZD48a2V5d29yZD5PcnRob215eG92aXJpZGFlIEluZmVjdGlvbnMvZ2Vu
ZXRpY3MvaW1tdW5vbG9neTwva2V5d29yZD48a2V5d29yZD5SZWNlcHRvcnMsIENlbGwgU3VyZmFj
ZS9kZWZpY2llbmN5LypwaHlzaW9sb2d5PC9rZXl3b3JkPjxrZXl3b3JkPlJlY2VwdG9ycywgS0lS
L2FkbWluaXN0cmF0aW9uICZhbXA7IGRvc2FnZS9nZW5ldGljczwva2V5d29yZD48a2V5d29yZD5T
aWduYWwgVHJhbnNkdWN0aW9uL2dlbmV0aWNzLyppbW11bm9sb2d5PC9rZXl3b3JkPjxrZXl3b3Jk
PkNkMjAwPC9rZXl3b3JkPjxrZXl3b3JkPkNkMjAwcjE8L2tleXdvcmQ+PGtleXdvcmQ+SW5mbGFt
bWF0aW9uPC9rZXl3b3JkPjxrZXl3b3JkPkluaGliaXRvcnkgcmVjZXB0b3JzPC9rZXl3b3JkPjxr
ZXl3b3JkPlBhdGhvZ2Vuczwva2V5d29yZD48a2V5d29yZD5WaXJ1c2VzPC9rZXl3b3JkPjwva2V5
d29yZHM+PGRhdGVzPjx5ZWFyPjIwMTQ8L3llYXI+PC9kYXRlcz48aXNibj4xNTU3LTg0NDUgKEVs
ZWN0cm9uaWMpJiN4RDswMDY1LTI3NzYgKFByaW50KSYjeEQ7MDA2NS0yNzc2IChMaW5raW5nKTwv
aXNibj48YWNjZXNzaW9uLW51bT4yNDM4ODIxNjwvYWNjZXNzaW9uLW51bT48dXJscz48cmVsYXRl
ZC11cmxzPjx1cmw+aHR0cHM6Ly93d3cubmNiaS5ubG0ubmloLmdvdi9wdWJtZWQvMjQzODgyMTY8
L3VybD48L3JlbGF0ZWQtdXJscz48L3VybHM+PGN1c3RvbTI+UE1DNDYxNzY4NDwvY3VzdG9tMj48
ZWxlY3Ryb25pYy1yZXNvdXJjZS1udW0+MTAuMTAxNi9COTc4LTAtMTItODAwMTAwLTQuMDAwMDUt
MjwvZWxlY3Ryb25pYy1yZXNvdXJjZS1udW0+PHJlbW90ZS1kYXRhYmFzZS1uYW1lPk1lZGxpbmU8
L3JlbW90ZS1kYXRhYmFzZS1uYW1lPjxyZW1vdGUtZGF0YWJhc2UtcHJvdmlkZXI+TkxNPC9yZW1v
dGUtZGF0YWJhc2UtcHJvdmlkZXI+PC9yZWNvcmQ+PC9DaXRlPjwvRW5kTm90ZT5=
</w:fldData>
              </w:fldChar>
            </w:r>
            <w:r w:rsidR="00A804EA">
              <w:rPr>
                <w:rFonts w:ascii="Times New Roman" w:hAnsi="Times New Roman" w:cs="Times New Roman"/>
                <w:sz w:val="18"/>
                <w:szCs w:val="20"/>
              </w:rPr>
              <w:instrText xml:space="preserve"> ADDIN EN.CITE </w:instrText>
            </w:r>
            <w:r w:rsidR="00A804EA">
              <w:rPr>
                <w:rFonts w:ascii="Times New Roman" w:hAnsi="Times New Roman" w:cs="Times New Roman"/>
                <w:sz w:val="18"/>
                <w:szCs w:val="20"/>
              </w:rPr>
              <w:fldChar w:fldCharType="begin">
                <w:fldData xml:space="preserve">PEVuZE5vdGU+PENpdGU+PEF1dGhvcj5WYWluZTwvQXV0aG9yPjxZZWFyPjIwMTQ8L1llYXI+PFJl
Y051bT42MzM8L1JlY051bT48RGlzcGxheVRleHQ+WzIzXTwvRGlzcGxheVRleHQ+PHJlY29yZD48
cmVjLW51bWJlcj42MzM8L3JlYy1udW1iZXI+PGZvcmVpZ24ta2V5cz48a2V5IGFwcD0iRU4iIGRi
LWlkPSJ2YTB2d2RycnBld3ZlN2V0YWVyeHJwZjV2dzJkMHhmNWQyc2YiIHRpbWVzdGFtcD0iMTc4
OTEwOTYwMSI+NjMzPC9rZXk+PC9mb3JlaWduLWtleXM+PHJlZi10eXBlIG5hbWU9IkpvdXJuYWwg
QXJ0aWNsZSI+MTc8L3JlZi10eXBlPjxjb250cmlidXRvcnM+PGF1dGhvcnM+PGF1dGhvcj5WYWlu
ZSwgQy4gQS48L2F1dGhvcj48YXV0aG9yPlNvYmVybWFuLCBSLiBKLjwvYXV0aG9yPjwvYXV0aG9y
cz48L2NvbnRyaWJ1dG9ycz48YXV0aC1hZGRyZXNzPkRlcGFydG1lbnQgb2YgTWVkaWNpbmUsIERp
dmlzaW9uIG9mIE5lcGhyb2xvZ3ksIE1hc3NhY2h1c2V0dHMgR2VuZXJhbCBIb3NwaXRhbCwgQm9z
dG9uLCBNYXNzYWNodXNldHRzLCBVU0EuJiN4RDtEZXBhcnRtZW50IG9mIE1lZGljaW5lLCBEaXZp
c2lvbiBvZiBOZXBocm9sb2d5LCBNYXNzYWNodXNldHRzIEdlbmVyYWwgSG9zcGl0YWwsIEJvc3Rv
biwgTWFzc2FjaHVzZXR0cywgVVNBLiBFbGVjdHJvbmljIGFkZHJlc3M6IHNvYmVybWFuQGhlbGl4
Lm1naC5oYXJ2YXJkLmVkdS48L2F1dGgtYWRkcmVzcz48dGl0bGVzPjx0aXRsZT5UaGUgQ0QyMDAt
Q0QyMDBSMSBpbmhpYml0b3J5IHNpZ25hbGluZyBwYXRod2F5OiBpbW11bmUgcmVndWxhdGlvbiBh
bmQgaG9zdC1wYXRob2dlbiBpbnRlcmFjdGlvbnM8L3RpdGxlPjxzZWNvbmRhcnktdGl0bGU+QWR2
IEltbXVub2w8L3NlY29uZGFyeS10aXRsZT48L3RpdGxlcz48cGVyaW9kaWNhbD48ZnVsbC10aXRs
ZT5BZHYgSW1tdW5vbDwvZnVsbC10aXRsZT48L3BlcmlvZGljYWw+PHBhZ2VzPjE5MS0yMTE8L3Bh
Z2VzPjx2b2x1bWU+MTIxPC92b2x1bWU+PGtleXdvcmRzPjxrZXl3b3JkPkFuaW1hbHM8L2tleXdv
cmQ+PGtleXdvcmQ+QW50aWdlbnMsIENELypwaHlzaW9sb2d5PC9rZXl3b3JkPjxrZXl3b3JkPkFu
dGlnZW5zLCBTdXJmYWNlLypwaHlzaW9sb2d5PC9rZXl3b3JkPjxrZXl3b3JkPkV4dHJhY2VsbHVs
YXIgRmx1aWQvaW1tdW5vbG9neS9taWNyb2Jpb2xvZ3kvdmlyb2xvZ3k8L2tleXdvcmQ+PGtleXdv
cmQ+SG9zdC1QYXRob2dlbiBJbnRlcmFjdGlvbnMvZ2VuZXRpY3MvKmltbXVub2xvZ3k8L2tleXdv
cmQ+PGtleXdvcmQ+SHVtYW5zPC9rZXl3b3JkPjxrZXl3b3JkPkltbXVub2dsb2J1bGlucy9waHlz
aW9sb2d5PC9rZXl3b3JkPjxrZXl3b3JkPkluZmxhbW1hdGlvbi9nZW5ldGljcy9taWNyb2Jpb2xv
Z3kvdmlyb2xvZ3k8L2tleXdvcmQ+PGtleXdvcmQ+SW5mbHVlbnphLCBIdW1hbi9nZW5ldGljcy9p
bW11bm9sb2d5L3Zpcm9sb2d5PC9rZXl3b3JkPjxrZXl3b3JkPkxlY3RpbnMsIEMtVHlwZS9waHlz
aW9sb2d5PC9rZXl3b3JkPjxrZXl3b3JkPk1pY2U8L2tleXdvcmQ+PGtleXdvcmQ+T3JleGluIFJl
Y2VwdG9yczwva2V5d29yZD48a2V5d29yZD5PcnRob215eG92aXJpZGFlIEluZmVjdGlvbnMvZ2Vu
ZXRpY3MvaW1tdW5vbG9neTwva2V5d29yZD48a2V5d29yZD5SZWNlcHRvcnMsIENlbGwgU3VyZmFj
ZS9kZWZpY2llbmN5LypwaHlzaW9sb2d5PC9rZXl3b3JkPjxrZXl3b3JkPlJlY2VwdG9ycywgS0lS
L2FkbWluaXN0cmF0aW9uICZhbXA7IGRvc2FnZS9nZW5ldGljczwva2V5d29yZD48a2V5d29yZD5T
aWduYWwgVHJhbnNkdWN0aW9uL2dlbmV0aWNzLyppbW11bm9sb2d5PC9rZXl3b3JkPjxrZXl3b3Jk
PkNkMjAwPC9rZXl3b3JkPjxrZXl3b3JkPkNkMjAwcjE8L2tleXdvcmQ+PGtleXdvcmQ+SW5mbGFt
bWF0aW9uPC9rZXl3b3JkPjxrZXl3b3JkPkluaGliaXRvcnkgcmVjZXB0b3JzPC9rZXl3b3JkPjxr
ZXl3b3JkPlBhdGhvZ2Vuczwva2V5d29yZD48a2V5d29yZD5WaXJ1c2VzPC9rZXl3b3JkPjwva2V5
d29yZHM+PGRhdGVzPjx5ZWFyPjIwMTQ8L3llYXI+PC9kYXRlcz48aXNibj4xNTU3LTg0NDUgKEVs
ZWN0cm9uaWMpJiN4RDswMDY1LTI3NzYgKFByaW50KSYjeEQ7MDA2NS0yNzc2IChMaW5raW5nKTwv
aXNibj48YWNjZXNzaW9uLW51bT4yNDM4ODIxNjwvYWNjZXNzaW9uLW51bT48dXJscz48cmVsYXRl
ZC11cmxzPjx1cmw+aHR0cHM6Ly93d3cubmNiaS5ubG0ubmloLmdvdi9wdWJtZWQvMjQzODgyMTY8
L3VybD48L3JlbGF0ZWQtdXJscz48L3VybHM+PGN1c3RvbTI+UE1DNDYxNzY4NDwvY3VzdG9tMj48
ZWxlY3Ryb25pYy1yZXNvdXJjZS1udW0+MTAuMTAxNi9COTc4LTAtMTItODAwMTAwLTQuMDAwMDUt
MjwvZWxlY3Ryb25pYy1yZXNvdXJjZS1udW0+PHJlbW90ZS1kYXRhYmFzZS1uYW1lPk1lZGxpbmU8
L3JlbW90ZS1kYXRhYmFzZS1uYW1lPjxyZW1vdGUtZGF0YWJhc2UtcHJvdmlkZXI+TkxNPC9yZW1v
dGUtZGF0YWJhc2UtcHJvdmlkZXI+PC9yZWNvcmQ+PC9DaXRlPjwvRW5kTm90ZT5=
</w:fldData>
              </w:fldChar>
            </w:r>
            <w:r w:rsidR="00A804EA">
              <w:rPr>
                <w:rFonts w:ascii="Times New Roman" w:hAnsi="Times New Roman" w:cs="Times New Roman"/>
                <w:sz w:val="18"/>
                <w:szCs w:val="20"/>
              </w:rPr>
              <w:instrText xml:space="preserve"> ADDIN EN.CITE.DATA </w:instrText>
            </w:r>
            <w:r w:rsidR="00A804EA">
              <w:rPr>
                <w:rFonts w:ascii="Times New Roman" w:hAnsi="Times New Roman" w:cs="Times New Roman"/>
                <w:sz w:val="18"/>
                <w:szCs w:val="20"/>
              </w:rPr>
            </w:r>
            <w:r w:rsidR="00A804EA">
              <w:rPr>
                <w:rFonts w:ascii="Times New Roman" w:hAnsi="Times New Roman" w:cs="Times New Roman"/>
                <w:sz w:val="18"/>
                <w:szCs w:val="20"/>
              </w:rPr>
              <w:fldChar w:fldCharType="end"/>
            </w:r>
            <w:r>
              <w:rPr>
                <w:rFonts w:ascii="Times New Roman" w:hAnsi="Times New Roman" w:cs="Times New Roman"/>
                <w:sz w:val="18"/>
                <w:szCs w:val="20"/>
              </w:rPr>
            </w:r>
            <w:r>
              <w:rPr>
                <w:rFonts w:ascii="Times New Roman" w:hAnsi="Times New Roman" w:cs="Times New Roman"/>
                <w:sz w:val="18"/>
                <w:szCs w:val="20"/>
              </w:rPr>
              <w:fldChar w:fldCharType="separate"/>
            </w:r>
            <w:r w:rsidR="00A804EA">
              <w:rPr>
                <w:rFonts w:ascii="Times New Roman" w:hAnsi="Times New Roman" w:cs="Times New Roman"/>
                <w:noProof/>
                <w:sz w:val="18"/>
                <w:szCs w:val="20"/>
              </w:rPr>
              <w:t>[23]</w:t>
            </w:r>
            <w:r>
              <w:rPr>
                <w:rFonts w:ascii="Times New Roman" w:hAnsi="Times New Roman" w:cs="Times New Roman"/>
                <w:sz w:val="18"/>
                <w:szCs w:val="20"/>
              </w:rPr>
              <w:fldChar w:fldCharType="end"/>
            </w:r>
            <w:r>
              <w:rPr>
                <w:rFonts w:ascii="Times New Roman" w:hAnsi="Times New Roman" w:cs="Times New Roman"/>
                <w:sz w:val="18"/>
                <w:szCs w:val="20"/>
              </w:rPr>
              <w:t>.</w:t>
            </w:r>
          </w:p>
        </w:tc>
      </w:tr>
      <w:tr w:rsidR="00C723C7" w14:paraId="417CCB6B" w14:textId="77777777">
        <w:trPr>
          <w:tblCellSpacing w:w="15" w:type="dxa"/>
        </w:trPr>
        <w:tc>
          <w:tcPr>
            <w:tcW w:w="1551" w:type="dxa"/>
            <w:vAlign w:val="center"/>
          </w:tcPr>
          <w:p w14:paraId="55756383" w14:textId="77777777" w:rsidR="00C723C7" w:rsidRDefault="00000000">
            <w:pPr>
              <w:rPr>
                <w:rFonts w:ascii="Times New Roman" w:hAnsi="Times New Roman" w:cs="Times New Roman"/>
                <w:sz w:val="18"/>
                <w:szCs w:val="20"/>
              </w:rPr>
            </w:pPr>
            <w:r>
              <w:rPr>
                <w:rFonts w:ascii="Times New Roman" w:hAnsi="Times New Roman" w:cs="Times New Roman"/>
                <w:sz w:val="18"/>
                <w:szCs w:val="20"/>
              </w:rPr>
              <w:t>NFATC1</w:t>
            </w:r>
          </w:p>
        </w:tc>
        <w:tc>
          <w:tcPr>
            <w:tcW w:w="1635" w:type="dxa"/>
            <w:vAlign w:val="center"/>
          </w:tcPr>
          <w:p w14:paraId="137779B3" w14:textId="77777777" w:rsidR="00C723C7" w:rsidRDefault="00000000">
            <w:pPr>
              <w:jc w:val="left"/>
              <w:rPr>
                <w:rFonts w:ascii="Times New Roman" w:hAnsi="Times New Roman" w:cs="Times New Roman"/>
                <w:sz w:val="18"/>
                <w:szCs w:val="20"/>
              </w:rPr>
            </w:pPr>
            <w:r>
              <w:rPr>
                <w:rFonts w:ascii="Times New Roman" w:hAnsi="Times New Roman" w:cs="Times New Roman"/>
                <w:sz w:val="18"/>
                <w:szCs w:val="20"/>
              </w:rPr>
              <w:t>Nuclear Factor of Activated T Cells 1</w:t>
            </w:r>
          </w:p>
        </w:tc>
        <w:tc>
          <w:tcPr>
            <w:tcW w:w="962" w:type="dxa"/>
            <w:vAlign w:val="center"/>
          </w:tcPr>
          <w:p w14:paraId="69848B16" w14:textId="77777777" w:rsidR="00C723C7" w:rsidRDefault="00000000">
            <w:pPr>
              <w:rPr>
                <w:rFonts w:ascii="Times New Roman" w:hAnsi="Times New Roman" w:cs="Times New Roman"/>
                <w:sz w:val="18"/>
                <w:szCs w:val="20"/>
              </w:rPr>
            </w:pPr>
            <w:r>
              <w:rPr>
                <w:rFonts w:ascii="Times New Roman" w:eastAsia="宋体" w:hAnsi="Times New Roman" w:cs="Times New Roman"/>
                <w:kern w:val="0"/>
                <w:sz w:val="18"/>
                <w:szCs w:val="18"/>
              </w:rPr>
              <w:t>-0.19490920</w:t>
            </w:r>
          </w:p>
        </w:tc>
        <w:tc>
          <w:tcPr>
            <w:tcW w:w="4008" w:type="dxa"/>
            <w:vAlign w:val="center"/>
          </w:tcPr>
          <w:p w14:paraId="1CD8BAA3" w14:textId="388796BC" w:rsidR="00C723C7" w:rsidRDefault="00000000">
            <w:pPr>
              <w:rPr>
                <w:rFonts w:ascii="Times New Roman" w:hAnsi="Times New Roman" w:cs="Times New Roman"/>
                <w:sz w:val="18"/>
                <w:szCs w:val="20"/>
              </w:rPr>
            </w:pPr>
            <w:r>
              <w:rPr>
                <w:rFonts w:ascii="Times New Roman" w:hAnsi="Times New Roman" w:cs="Times New Roman"/>
                <w:sz w:val="18"/>
                <w:szCs w:val="20"/>
              </w:rPr>
              <w:t>Calcium/calcineurin-regulated transcription factor controlling lymphocyte activation, cytokine production, differentiation, and immune responses</w:t>
            </w:r>
            <w:r>
              <w:rPr>
                <w:rFonts w:ascii="Times New Roman" w:hAnsi="Times New Roman" w:cs="Times New Roman" w:hint="eastAsia"/>
                <w:sz w:val="18"/>
                <w:szCs w:val="20"/>
              </w:rPr>
              <w:t xml:space="preserve"> </w:t>
            </w:r>
            <w:r>
              <w:rPr>
                <w:rFonts w:ascii="Times New Roman" w:hAnsi="Times New Roman" w:cs="Times New Roman"/>
                <w:sz w:val="18"/>
                <w:szCs w:val="20"/>
              </w:rPr>
              <w:fldChar w:fldCharType="begin"/>
            </w:r>
            <w:r w:rsidR="00A804EA">
              <w:rPr>
                <w:rFonts w:ascii="Times New Roman" w:hAnsi="Times New Roman" w:cs="Times New Roman"/>
                <w:sz w:val="18"/>
                <w:szCs w:val="20"/>
              </w:rPr>
              <w:instrText xml:space="preserve"> ADDIN EN.CITE &lt;EndNote&gt;&lt;Cite&gt;&lt;Author&gt;Rudolf&lt;/Author&gt;&lt;Year&gt;2014&lt;/Year&gt;&lt;RecNum&gt;634&lt;/RecNum&gt;&lt;DisplayText&gt;[24]&lt;/DisplayText&gt;&lt;record&gt;&lt;rec-number&gt;634&lt;/rec-number&gt;&lt;foreign-keys&gt;&lt;key app="EN" db-id="va0vwdrrpewve7etaerxrpf5vw2d0xf5d2sf" timestamp="1789109633"&gt;634&lt;/key&gt;&lt;/foreign-keys&gt;&lt;ref-type name="Journal Article"&gt;17&lt;/ref-type&gt;&lt;contributors&gt;&lt;authors&gt;&lt;author&gt;Rudolf, R.&lt;/author&gt;&lt;author&gt;Busch, R.&lt;/author&gt;&lt;author&gt;Patra, A. K.&lt;/author&gt;&lt;author&gt;Muhammad, K.&lt;/author&gt;&lt;author&gt;Avots, A.&lt;/author&gt;&lt;author&gt;Andrau, J. C.&lt;/author&gt;&lt;author&gt;Klein-Hessling, S.&lt;/author&gt;&lt;author&gt;Serfling, E.&lt;/author&gt;&lt;/authors&gt;&lt;/contributors&gt;&lt;auth-address&gt;Department of Molecular Pathology, Comprehensive Cancer Center Mainfranken, Institute of Pathology, University of Wurzburg , Wurzburg , Germany.&amp;#xD;Centre d&amp;apos;Immunologie de Marseille-Luminy, Universite Aix-Marseille , Marseille , France.&lt;/auth-address&gt;&lt;titles&gt;&lt;title&gt;Architecture and expression of the nfatc1 gene in lymphocytes&lt;/title&gt;&lt;secondary-title&gt;Front Immunol&lt;/secondary-title&gt;&lt;/titles&gt;&lt;periodical&gt;&lt;full-title&gt;Front Immunol&lt;/full-title&gt;&lt;/periodical&gt;&lt;pages&gt;21&lt;/pages&gt;&lt;volume&gt;5&lt;/volume&gt;&lt;edition&gt;20140203&lt;/edition&gt;&lt;keywords&gt;&lt;keyword&gt;chromatin&lt;/keyword&gt;&lt;keyword&gt;induction&lt;/keyword&gt;&lt;keyword&gt;lymphocytes, Nfatc1&lt;/keyword&gt;&lt;keyword&gt;transcription&lt;/keyword&gt;&lt;/keywords&gt;&lt;dates&gt;&lt;year&gt;2014&lt;/year&gt;&lt;/dates&gt;&lt;isbn&gt;1664-3224 (Print)&amp;#xD;1664-3224 (Electronic)&amp;#xD;1664-3224 (Linking)&lt;/isbn&gt;&lt;accession-num&gt;24550910&lt;/accession-num&gt;&lt;urls&gt;&lt;related-urls&gt;&lt;url&gt;https://www.ncbi.nlm.nih.gov/pubmed/24550910&lt;/url&gt;&lt;/related-urls&gt;&lt;/urls&gt;&lt;custom2&gt;PMC3909943&lt;/custom2&gt;&lt;electronic-resource-num&gt;10.3389/fimmu.2014.00021&lt;/electronic-resource-num&gt;&lt;remote-database-name&gt;PubMed-not-MEDLINE&lt;/remote-database-name&gt;&lt;remote-database-provider&gt;NLM&lt;/remote-database-provider&gt;&lt;/record&gt;&lt;/Cite&gt;&lt;/EndNote&gt;</w:instrText>
            </w:r>
            <w:r>
              <w:rPr>
                <w:rFonts w:ascii="Times New Roman" w:hAnsi="Times New Roman" w:cs="Times New Roman"/>
                <w:sz w:val="18"/>
                <w:szCs w:val="20"/>
              </w:rPr>
              <w:fldChar w:fldCharType="separate"/>
            </w:r>
            <w:r w:rsidR="00A804EA">
              <w:rPr>
                <w:rFonts w:ascii="Times New Roman" w:hAnsi="Times New Roman" w:cs="Times New Roman"/>
                <w:noProof/>
                <w:sz w:val="18"/>
                <w:szCs w:val="20"/>
              </w:rPr>
              <w:t>[24]</w:t>
            </w:r>
            <w:r>
              <w:rPr>
                <w:rFonts w:ascii="Times New Roman" w:hAnsi="Times New Roman" w:cs="Times New Roman"/>
                <w:sz w:val="18"/>
                <w:szCs w:val="20"/>
              </w:rPr>
              <w:fldChar w:fldCharType="end"/>
            </w:r>
            <w:r>
              <w:rPr>
                <w:rFonts w:ascii="Times New Roman" w:hAnsi="Times New Roman" w:cs="Times New Roman"/>
                <w:sz w:val="18"/>
                <w:szCs w:val="20"/>
              </w:rPr>
              <w:t>.</w:t>
            </w:r>
          </w:p>
        </w:tc>
      </w:tr>
      <w:tr w:rsidR="00C723C7" w14:paraId="386E07E3" w14:textId="77777777">
        <w:trPr>
          <w:tblCellSpacing w:w="15" w:type="dxa"/>
        </w:trPr>
        <w:tc>
          <w:tcPr>
            <w:tcW w:w="1551" w:type="dxa"/>
            <w:vAlign w:val="center"/>
          </w:tcPr>
          <w:p w14:paraId="6B94974B" w14:textId="77777777" w:rsidR="00C723C7" w:rsidRDefault="00000000">
            <w:pPr>
              <w:rPr>
                <w:rFonts w:ascii="Times New Roman" w:hAnsi="Times New Roman" w:cs="Times New Roman"/>
                <w:sz w:val="18"/>
                <w:szCs w:val="20"/>
              </w:rPr>
            </w:pPr>
            <w:r>
              <w:rPr>
                <w:rFonts w:ascii="Times New Roman" w:hAnsi="Times New Roman" w:cs="Times New Roman"/>
                <w:sz w:val="18"/>
                <w:szCs w:val="20"/>
              </w:rPr>
              <w:t>CBLIF</w:t>
            </w:r>
          </w:p>
        </w:tc>
        <w:tc>
          <w:tcPr>
            <w:tcW w:w="1635" w:type="dxa"/>
            <w:vAlign w:val="center"/>
          </w:tcPr>
          <w:p w14:paraId="3E7D06C4" w14:textId="77777777" w:rsidR="00C723C7" w:rsidRDefault="00000000">
            <w:pPr>
              <w:jc w:val="left"/>
              <w:rPr>
                <w:rFonts w:ascii="Times New Roman" w:hAnsi="Times New Roman" w:cs="Times New Roman"/>
                <w:sz w:val="18"/>
                <w:szCs w:val="20"/>
              </w:rPr>
            </w:pPr>
            <w:r>
              <w:rPr>
                <w:rFonts w:ascii="Times New Roman" w:hAnsi="Times New Roman" w:cs="Times New Roman"/>
                <w:sz w:val="18"/>
                <w:szCs w:val="20"/>
              </w:rPr>
              <w:t>Cobalamin Binding Intrinsic Factor</w:t>
            </w:r>
          </w:p>
        </w:tc>
        <w:tc>
          <w:tcPr>
            <w:tcW w:w="962" w:type="dxa"/>
            <w:vAlign w:val="center"/>
          </w:tcPr>
          <w:p w14:paraId="5D79640B" w14:textId="77777777" w:rsidR="00C723C7" w:rsidRDefault="00000000">
            <w:pPr>
              <w:rPr>
                <w:rFonts w:ascii="Times New Roman" w:hAnsi="Times New Roman" w:cs="Times New Roman"/>
                <w:sz w:val="18"/>
                <w:szCs w:val="20"/>
              </w:rPr>
            </w:pPr>
            <w:r>
              <w:rPr>
                <w:rFonts w:ascii="Times New Roman" w:eastAsia="宋体" w:hAnsi="Times New Roman" w:cs="Times New Roman"/>
                <w:kern w:val="0"/>
                <w:sz w:val="18"/>
                <w:szCs w:val="18"/>
              </w:rPr>
              <w:t>-0.27472119</w:t>
            </w:r>
          </w:p>
        </w:tc>
        <w:tc>
          <w:tcPr>
            <w:tcW w:w="4008" w:type="dxa"/>
            <w:vAlign w:val="center"/>
          </w:tcPr>
          <w:p w14:paraId="14FFE7D8" w14:textId="77777777" w:rsidR="00C723C7" w:rsidRDefault="00000000">
            <w:pPr>
              <w:rPr>
                <w:rFonts w:ascii="Times New Roman" w:hAnsi="Times New Roman" w:cs="Times New Roman"/>
                <w:sz w:val="18"/>
                <w:szCs w:val="20"/>
              </w:rPr>
            </w:pPr>
            <w:r>
              <w:rPr>
                <w:rFonts w:ascii="Times New Roman" w:hAnsi="Times New Roman" w:cs="Times New Roman"/>
                <w:sz w:val="18"/>
                <w:szCs w:val="20"/>
              </w:rPr>
              <w:t>Gastric glycoprotein that binds vitamin B12 and enables its absorption in the terminal ileum.</w:t>
            </w:r>
          </w:p>
        </w:tc>
      </w:tr>
      <w:tr w:rsidR="00C723C7" w14:paraId="78056B46" w14:textId="77777777">
        <w:trPr>
          <w:tblCellSpacing w:w="15" w:type="dxa"/>
        </w:trPr>
        <w:tc>
          <w:tcPr>
            <w:tcW w:w="1551" w:type="dxa"/>
            <w:vAlign w:val="center"/>
          </w:tcPr>
          <w:p w14:paraId="70314EB4" w14:textId="77777777" w:rsidR="00C723C7" w:rsidRDefault="00000000">
            <w:pPr>
              <w:rPr>
                <w:rFonts w:ascii="Times New Roman" w:hAnsi="Times New Roman" w:cs="Times New Roman"/>
                <w:sz w:val="18"/>
                <w:szCs w:val="20"/>
              </w:rPr>
            </w:pPr>
            <w:r>
              <w:rPr>
                <w:rFonts w:ascii="Times New Roman" w:hAnsi="Times New Roman" w:cs="Times New Roman"/>
                <w:sz w:val="18"/>
                <w:szCs w:val="20"/>
              </w:rPr>
              <w:t>SUSD1</w:t>
            </w:r>
          </w:p>
        </w:tc>
        <w:tc>
          <w:tcPr>
            <w:tcW w:w="1635" w:type="dxa"/>
            <w:vAlign w:val="center"/>
          </w:tcPr>
          <w:p w14:paraId="2EA534EB" w14:textId="77777777" w:rsidR="00C723C7" w:rsidRDefault="00000000">
            <w:pPr>
              <w:jc w:val="left"/>
              <w:rPr>
                <w:rFonts w:ascii="Times New Roman" w:hAnsi="Times New Roman" w:cs="Times New Roman"/>
                <w:sz w:val="18"/>
                <w:szCs w:val="20"/>
              </w:rPr>
            </w:pPr>
            <w:r>
              <w:rPr>
                <w:rFonts w:ascii="Times New Roman" w:hAnsi="Times New Roman" w:cs="Times New Roman"/>
                <w:sz w:val="18"/>
                <w:szCs w:val="20"/>
              </w:rPr>
              <w:t>Sushi Domain Containing 1</w:t>
            </w:r>
          </w:p>
        </w:tc>
        <w:tc>
          <w:tcPr>
            <w:tcW w:w="962" w:type="dxa"/>
            <w:vAlign w:val="center"/>
          </w:tcPr>
          <w:p w14:paraId="12EBFA02" w14:textId="77777777" w:rsidR="00C723C7" w:rsidRDefault="00000000">
            <w:pPr>
              <w:rPr>
                <w:rFonts w:ascii="Times New Roman" w:hAnsi="Times New Roman" w:cs="Times New Roman"/>
                <w:sz w:val="18"/>
                <w:szCs w:val="20"/>
              </w:rPr>
            </w:pPr>
            <w:r>
              <w:rPr>
                <w:rFonts w:ascii="Times New Roman" w:eastAsia="宋体" w:hAnsi="Times New Roman" w:cs="Times New Roman"/>
                <w:kern w:val="0"/>
                <w:sz w:val="18"/>
                <w:szCs w:val="18"/>
              </w:rPr>
              <w:t>-0.15161157</w:t>
            </w:r>
          </w:p>
        </w:tc>
        <w:tc>
          <w:tcPr>
            <w:tcW w:w="4008" w:type="dxa"/>
            <w:vAlign w:val="center"/>
          </w:tcPr>
          <w:p w14:paraId="01E2E204" w14:textId="77777777" w:rsidR="00C723C7" w:rsidRDefault="00000000">
            <w:pPr>
              <w:rPr>
                <w:rFonts w:ascii="Times New Roman" w:hAnsi="Times New Roman" w:cs="Times New Roman"/>
                <w:sz w:val="18"/>
                <w:szCs w:val="20"/>
              </w:rPr>
            </w:pPr>
            <w:r>
              <w:rPr>
                <w:rFonts w:ascii="Times New Roman" w:hAnsi="Times New Roman" w:cs="Times New Roman"/>
                <w:sz w:val="18"/>
                <w:szCs w:val="20"/>
              </w:rPr>
              <w:t>Cell-surface/secreted protein containing complement-control-like sushi domains; implicated in cell adhesion and extracellular protein interactions, although its physiological function remains incompletely characterized.</w:t>
            </w:r>
          </w:p>
        </w:tc>
      </w:tr>
      <w:tr w:rsidR="00C723C7" w14:paraId="38280689" w14:textId="77777777">
        <w:trPr>
          <w:tblCellSpacing w:w="15" w:type="dxa"/>
        </w:trPr>
        <w:tc>
          <w:tcPr>
            <w:tcW w:w="1551" w:type="dxa"/>
            <w:vAlign w:val="center"/>
          </w:tcPr>
          <w:p w14:paraId="02F142A3" w14:textId="77777777" w:rsidR="00C723C7" w:rsidRDefault="00000000">
            <w:pPr>
              <w:rPr>
                <w:rFonts w:ascii="Times New Roman" w:hAnsi="Times New Roman" w:cs="Times New Roman"/>
                <w:sz w:val="18"/>
                <w:szCs w:val="20"/>
              </w:rPr>
            </w:pPr>
            <w:r>
              <w:rPr>
                <w:rFonts w:ascii="Times New Roman" w:hAnsi="Times New Roman" w:cs="Times New Roman"/>
                <w:sz w:val="18"/>
                <w:szCs w:val="20"/>
              </w:rPr>
              <w:t>LGMN</w:t>
            </w:r>
          </w:p>
        </w:tc>
        <w:tc>
          <w:tcPr>
            <w:tcW w:w="1635" w:type="dxa"/>
            <w:vAlign w:val="center"/>
          </w:tcPr>
          <w:p w14:paraId="7C962879" w14:textId="77777777" w:rsidR="00C723C7" w:rsidRDefault="00000000">
            <w:pPr>
              <w:jc w:val="left"/>
              <w:rPr>
                <w:rFonts w:ascii="Times New Roman" w:hAnsi="Times New Roman" w:cs="Times New Roman"/>
                <w:sz w:val="18"/>
                <w:szCs w:val="20"/>
              </w:rPr>
            </w:pPr>
            <w:r>
              <w:rPr>
                <w:rFonts w:ascii="Times New Roman" w:hAnsi="Times New Roman" w:cs="Times New Roman"/>
                <w:sz w:val="18"/>
                <w:szCs w:val="20"/>
              </w:rPr>
              <w:t>Legumain</w:t>
            </w:r>
          </w:p>
        </w:tc>
        <w:tc>
          <w:tcPr>
            <w:tcW w:w="962" w:type="dxa"/>
            <w:vAlign w:val="center"/>
          </w:tcPr>
          <w:p w14:paraId="279BB22E" w14:textId="77777777" w:rsidR="00C723C7" w:rsidRDefault="00000000">
            <w:pPr>
              <w:rPr>
                <w:rFonts w:ascii="Times New Roman" w:hAnsi="Times New Roman" w:cs="Times New Roman"/>
                <w:sz w:val="18"/>
                <w:szCs w:val="20"/>
              </w:rPr>
            </w:pPr>
            <w:r>
              <w:rPr>
                <w:rFonts w:ascii="Times New Roman" w:eastAsia="宋体" w:hAnsi="Times New Roman" w:cs="Times New Roman"/>
                <w:kern w:val="0"/>
                <w:sz w:val="18"/>
                <w:szCs w:val="18"/>
              </w:rPr>
              <w:t>-0.16440012</w:t>
            </w:r>
          </w:p>
        </w:tc>
        <w:tc>
          <w:tcPr>
            <w:tcW w:w="4008" w:type="dxa"/>
            <w:vAlign w:val="center"/>
          </w:tcPr>
          <w:p w14:paraId="1B0F61CF" w14:textId="77777777" w:rsidR="00C723C7" w:rsidRDefault="00000000">
            <w:pPr>
              <w:rPr>
                <w:rFonts w:ascii="Times New Roman" w:hAnsi="Times New Roman" w:cs="Times New Roman"/>
                <w:sz w:val="18"/>
                <w:szCs w:val="20"/>
              </w:rPr>
            </w:pPr>
            <w:r>
              <w:rPr>
                <w:rFonts w:ascii="Times New Roman" w:hAnsi="Times New Roman" w:cs="Times New Roman"/>
                <w:sz w:val="18"/>
                <w:szCs w:val="20"/>
              </w:rPr>
              <w:t>Lysosomal cysteine protease involved in protein processing, antigen presentation, extracellular-matrix remodeling, and inflammatory-cell functions.</w:t>
            </w:r>
          </w:p>
        </w:tc>
      </w:tr>
      <w:tr w:rsidR="00C723C7" w14:paraId="19C913E6" w14:textId="77777777">
        <w:trPr>
          <w:tblCellSpacing w:w="15" w:type="dxa"/>
        </w:trPr>
        <w:tc>
          <w:tcPr>
            <w:tcW w:w="1551" w:type="dxa"/>
            <w:vAlign w:val="center"/>
          </w:tcPr>
          <w:p w14:paraId="728F826B" w14:textId="77777777" w:rsidR="00C723C7" w:rsidRDefault="00000000">
            <w:pPr>
              <w:rPr>
                <w:rFonts w:ascii="Times New Roman" w:hAnsi="Times New Roman" w:cs="Times New Roman"/>
                <w:sz w:val="18"/>
                <w:szCs w:val="20"/>
              </w:rPr>
            </w:pPr>
            <w:r>
              <w:rPr>
                <w:rFonts w:ascii="Times New Roman" w:hAnsi="Times New Roman" w:cs="Times New Roman"/>
                <w:sz w:val="18"/>
                <w:szCs w:val="20"/>
              </w:rPr>
              <w:t>DAPP1</w:t>
            </w:r>
          </w:p>
        </w:tc>
        <w:tc>
          <w:tcPr>
            <w:tcW w:w="1635" w:type="dxa"/>
            <w:vAlign w:val="center"/>
          </w:tcPr>
          <w:p w14:paraId="068B3C1C" w14:textId="77777777" w:rsidR="00C723C7" w:rsidRDefault="00000000">
            <w:pPr>
              <w:jc w:val="left"/>
              <w:rPr>
                <w:rFonts w:ascii="Times New Roman" w:hAnsi="Times New Roman" w:cs="Times New Roman"/>
                <w:sz w:val="18"/>
                <w:szCs w:val="20"/>
              </w:rPr>
            </w:pPr>
            <w:r>
              <w:rPr>
                <w:rFonts w:ascii="Times New Roman" w:hAnsi="Times New Roman" w:cs="Times New Roman"/>
                <w:sz w:val="18"/>
                <w:szCs w:val="20"/>
              </w:rPr>
              <w:t>Dual Adaptor of Phosphotyrosine and 3-Phosphoinositides 1</w:t>
            </w:r>
          </w:p>
        </w:tc>
        <w:tc>
          <w:tcPr>
            <w:tcW w:w="962" w:type="dxa"/>
            <w:vAlign w:val="center"/>
          </w:tcPr>
          <w:p w14:paraId="268DADC1" w14:textId="77777777" w:rsidR="00C723C7" w:rsidRDefault="00000000">
            <w:pPr>
              <w:rPr>
                <w:rFonts w:ascii="Times New Roman" w:hAnsi="Times New Roman" w:cs="Times New Roman"/>
                <w:sz w:val="18"/>
                <w:szCs w:val="20"/>
              </w:rPr>
            </w:pPr>
            <w:r>
              <w:rPr>
                <w:rFonts w:ascii="Times New Roman" w:eastAsia="宋体" w:hAnsi="Times New Roman" w:cs="Times New Roman"/>
                <w:kern w:val="0"/>
                <w:sz w:val="18"/>
                <w:szCs w:val="18"/>
              </w:rPr>
              <w:t>-0.13661323</w:t>
            </w:r>
          </w:p>
        </w:tc>
        <w:tc>
          <w:tcPr>
            <w:tcW w:w="4008" w:type="dxa"/>
            <w:vAlign w:val="center"/>
          </w:tcPr>
          <w:p w14:paraId="244F85B4" w14:textId="519A0AA1" w:rsidR="00C723C7" w:rsidRDefault="00000000">
            <w:pPr>
              <w:rPr>
                <w:rFonts w:ascii="Times New Roman" w:hAnsi="Times New Roman" w:cs="Times New Roman"/>
                <w:sz w:val="18"/>
                <w:szCs w:val="20"/>
              </w:rPr>
            </w:pPr>
            <w:r>
              <w:rPr>
                <w:rFonts w:ascii="Times New Roman" w:hAnsi="Times New Roman" w:cs="Times New Roman"/>
                <w:sz w:val="18"/>
                <w:szCs w:val="20"/>
              </w:rPr>
              <w:t>Intracellular adaptor protein involved in phosphoinositide-mediated signalling, particularly downstream of B-cell receptor and immune-cell activation pathways</w:t>
            </w:r>
            <w:r>
              <w:rPr>
                <w:rFonts w:ascii="Times New Roman" w:hAnsi="Times New Roman" w:cs="Times New Roman" w:hint="eastAsia"/>
                <w:sz w:val="18"/>
                <w:szCs w:val="20"/>
              </w:rPr>
              <w:t xml:space="preserve"> </w:t>
            </w:r>
            <w:r>
              <w:rPr>
                <w:rFonts w:ascii="Times New Roman" w:hAnsi="Times New Roman" w:cs="Times New Roman"/>
                <w:sz w:val="18"/>
                <w:szCs w:val="20"/>
              </w:rPr>
              <w:fldChar w:fldCharType="begin"/>
            </w:r>
            <w:r w:rsidR="00A804EA">
              <w:rPr>
                <w:rFonts w:ascii="Times New Roman" w:hAnsi="Times New Roman" w:cs="Times New Roman"/>
                <w:sz w:val="18"/>
                <w:szCs w:val="20"/>
              </w:rPr>
              <w:instrText xml:space="preserve"> ADDIN EN.CITE &lt;EndNote&gt;&lt;Cite&gt;&lt;Author&gt;Marshall&lt;/Author&gt;&lt;Year&gt;2007&lt;/Year&gt;&lt;RecNum&gt;635&lt;/RecNum&gt;&lt;DisplayText&gt;[25]&lt;/DisplayText&gt;&lt;record&gt;&lt;rec-number&gt;635&lt;/rec-number&gt;&lt;foreign-keys&gt;&lt;key app="EN" db-id="va0vwdrrpewve7etaerxrpf5vw2d0xf5d2sf" timestamp="1789109684"&gt;635&lt;/key&gt;&lt;/foreign-keys&gt;&lt;ref-type name="Journal Article"&gt;17&lt;/ref-type&gt;&lt;contributors&gt;&lt;authors&gt;&lt;author&gt;Marshall, A. J.&lt;/author&gt;&lt;author&gt;Zhang, T.&lt;/author&gt;&lt;author&gt;Al-Alwan, M.&lt;/author&gt;&lt;/authors&gt;&lt;/contributors&gt;&lt;auth-address&gt;Department of Immunology, University of Manitoba, Winnipeg, MB, Canada. marshall@ms.umanitoba.ca&lt;/auth-address&gt;&lt;titles&gt;&lt;title&gt;Regulation of B-lymphocyte activation by the PH domain adaptor protein Bam32/DAPP1&lt;/title&gt;&lt;secondary-title&gt;Biochem Soc Trans&lt;/secondary-title&gt;&lt;/titles&gt;&lt;periodical&gt;&lt;full-title&gt;Biochem Soc Trans&lt;/full-title&gt;&lt;/periodical&gt;&lt;pages&gt;181-2&lt;/pages&gt;&lt;volume&gt;35&lt;/volume&gt;&lt;number&gt;Pt 2&lt;/number&gt;&lt;keywords&gt;&lt;keyword&gt;Adaptor Proteins, Signal Transducing/*metabolism&lt;/keyword&gt;&lt;keyword&gt;Animals&lt;/keyword&gt;&lt;keyword&gt;Antibody Formation&lt;/keyword&gt;&lt;keyword&gt;B-Lymphocytes/*immunology&lt;/keyword&gt;&lt;keyword&gt;Cell Membrane/metabolism&lt;/keyword&gt;&lt;keyword&gt;Cytoskeleton/physiology&lt;/keyword&gt;&lt;keyword&gt;Humans&lt;/keyword&gt;&lt;keyword&gt;Lipoproteins/*metabolism&lt;/keyword&gt;&lt;keyword&gt;Lymphocyte Activation&lt;/keyword&gt;&lt;keyword&gt;Mice&lt;/keyword&gt;&lt;keyword&gt;Phosphorylation&lt;/keyword&gt;&lt;keyword&gt;Receptors, Antigen, B-Cell/immunology&lt;/keyword&gt;&lt;keyword&gt;Recombinant Fusion Proteins&lt;/keyword&gt;&lt;keyword&gt;Signal Transduction&lt;/keyword&gt;&lt;/keywords&gt;&lt;dates&gt;&lt;year&gt;2007&lt;/year&gt;&lt;pub-dates&gt;&lt;date&gt;Apr&lt;/date&gt;&lt;/pub-dates&gt;&lt;/dates&gt;&lt;isbn&gt;0300-5127 (Print)&amp;#xD;0300-5127 (Linking)&lt;/isbn&gt;&lt;accession-num&gt;17371232&lt;/accession-num&gt;&lt;urls&gt;&lt;related-urls&gt;&lt;url&gt;https://www.ncbi.nlm.nih.gov/pubmed/17371232&lt;/url&gt;&lt;/related-urls&gt;&lt;/urls&gt;&lt;electronic-resource-num&gt;10.1042/BST0350181&lt;/electronic-resource-num&gt;&lt;remote-database-name&gt;Medline&lt;/remote-database-name&gt;&lt;remote-database-provider&gt;NLM&lt;/remote-database-provider&gt;&lt;/record&gt;&lt;/Cite&gt;&lt;/EndNote&gt;</w:instrText>
            </w:r>
            <w:r>
              <w:rPr>
                <w:rFonts w:ascii="Times New Roman" w:hAnsi="Times New Roman" w:cs="Times New Roman"/>
                <w:sz w:val="18"/>
                <w:szCs w:val="20"/>
              </w:rPr>
              <w:fldChar w:fldCharType="separate"/>
            </w:r>
            <w:r w:rsidR="00A804EA">
              <w:rPr>
                <w:rFonts w:ascii="Times New Roman" w:hAnsi="Times New Roman" w:cs="Times New Roman"/>
                <w:noProof/>
                <w:sz w:val="18"/>
                <w:szCs w:val="20"/>
              </w:rPr>
              <w:t>[25]</w:t>
            </w:r>
            <w:r>
              <w:rPr>
                <w:rFonts w:ascii="Times New Roman" w:hAnsi="Times New Roman" w:cs="Times New Roman"/>
                <w:sz w:val="18"/>
                <w:szCs w:val="20"/>
              </w:rPr>
              <w:fldChar w:fldCharType="end"/>
            </w:r>
            <w:r>
              <w:rPr>
                <w:rFonts w:ascii="Times New Roman" w:hAnsi="Times New Roman" w:cs="Times New Roman"/>
                <w:sz w:val="18"/>
                <w:szCs w:val="20"/>
              </w:rPr>
              <w:t>.</w:t>
            </w:r>
          </w:p>
        </w:tc>
      </w:tr>
      <w:tr w:rsidR="00C723C7" w14:paraId="6732DA05" w14:textId="77777777">
        <w:trPr>
          <w:tblCellSpacing w:w="15" w:type="dxa"/>
        </w:trPr>
        <w:tc>
          <w:tcPr>
            <w:tcW w:w="1551" w:type="dxa"/>
            <w:vAlign w:val="center"/>
          </w:tcPr>
          <w:p w14:paraId="520D194C" w14:textId="77777777" w:rsidR="00C723C7" w:rsidRDefault="00000000">
            <w:pPr>
              <w:rPr>
                <w:rFonts w:ascii="Times New Roman" w:hAnsi="Times New Roman" w:cs="Times New Roman"/>
                <w:sz w:val="18"/>
                <w:szCs w:val="20"/>
              </w:rPr>
            </w:pPr>
            <w:r>
              <w:rPr>
                <w:rFonts w:ascii="Times New Roman" w:hAnsi="Times New Roman" w:cs="Times New Roman"/>
                <w:sz w:val="18"/>
                <w:szCs w:val="20"/>
              </w:rPr>
              <w:t>CHIT1</w:t>
            </w:r>
          </w:p>
        </w:tc>
        <w:tc>
          <w:tcPr>
            <w:tcW w:w="1635" w:type="dxa"/>
            <w:vAlign w:val="center"/>
          </w:tcPr>
          <w:p w14:paraId="5B906208" w14:textId="77777777" w:rsidR="00C723C7" w:rsidRDefault="00000000">
            <w:pPr>
              <w:jc w:val="left"/>
              <w:rPr>
                <w:rFonts w:ascii="Times New Roman" w:hAnsi="Times New Roman" w:cs="Times New Roman"/>
                <w:sz w:val="18"/>
                <w:szCs w:val="20"/>
              </w:rPr>
            </w:pPr>
            <w:r>
              <w:rPr>
                <w:rFonts w:ascii="Times New Roman" w:hAnsi="Times New Roman" w:cs="Times New Roman"/>
                <w:sz w:val="18"/>
                <w:szCs w:val="20"/>
              </w:rPr>
              <w:t>Chitotriosidase 1</w:t>
            </w:r>
          </w:p>
        </w:tc>
        <w:tc>
          <w:tcPr>
            <w:tcW w:w="962" w:type="dxa"/>
            <w:vAlign w:val="center"/>
          </w:tcPr>
          <w:p w14:paraId="4D0DBC8D" w14:textId="77777777" w:rsidR="00C723C7" w:rsidRDefault="00000000">
            <w:pPr>
              <w:rPr>
                <w:rFonts w:ascii="Times New Roman" w:hAnsi="Times New Roman" w:cs="Times New Roman"/>
                <w:sz w:val="18"/>
                <w:szCs w:val="20"/>
              </w:rPr>
            </w:pPr>
            <w:r>
              <w:rPr>
                <w:rFonts w:ascii="Times New Roman" w:eastAsia="宋体" w:hAnsi="Times New Roman" w:cs="Times New Roman"/>
                <w:kern w:val="0"/>
                <w:sz w:val="18"/>
                <w:szCs w:val="18"/>
              </w:rPr>
              <w:t>-0.20107011</w:t>
            </w:r>
          </w:p>
        </w:tc>
        <w:tc>
          <w:tcPr>
            <w:tcW w:w="4008" w:type="dxa"/>
            <w:vAlign w:val="center"/>
          </w:tcPr>
          <w:p w14:paraId="2307396D" w14:textId="0DA79DC5" w:rsidR="00C723C7" w:rsidRDefault="00000000">
            <w:pPr>
              <w:rPr>
                <w:rFonts w:ascii="Times New Roman" w:hAnsi="Times New Roman" w:cs="Times New Roman"/>
                <w:sz w:val="18"/>
                <w:szCs w:val="20"/>
              </w:rPr>
            </w:pPr>
            <w:r>
              <w:rPr>
                <w:rFonts w:ascii="Times New Roman" w:hAnsi="Times New Roman" w:cs="Times New Roman"/>
                <w:sz w:val="18"/>
                <w:szCs w:val="20"/>
              </w:rPr>
              <w:t>Chitinase predominantly secreted by activated macrophages and other myeloid cells; marker and mediator of innate immune activation and macrophage-associated inflammation</w:t>
            </w:r>
            <w:r>
              <w:rPr>
                <w:rFonts w:ascii="Times New Roman" w:hAnsi="Times New Roman" w:cs="Times New Roman" w:hint="eastAsia"/>
                <w:sz w:val="18"/>
                <w:szCs w:val="20"/>
              </w:rPr>
              <w:t xml:space="preserve"> </w:t>
            </w:r>
            <w:r>
              <w:rPr>
                <w:rFonts w:ascii="Times New Roman" w:hAnsi="Times New Roman" w:cs="Times New Roman"/>
                <w:sz w:val="18"/>
                <w:szCs w:val="20"/>
              </w:rPr>
              <w:fldChar w:fldCharType="begin">
                <w:fldData xml:space="preserve">PEVuZE5vdGU+PENpdGU+PEF1dGhvcj5DaG88L0F1dGhvcj48WWVhcj4yMDE1PC9ZZWFyPjxSZWNO
dW0+NjM2PC9SZWNOdW0+PERpc3BsYXlUZXh0PlsyNl08L0Rpc3BsYXlUZXh0PjxyZWNvcmQ+PHJl
Yy1udW1iZXI+NjM2PC9yZWMtbnVtYmVyPjxmb3JlaWduLWtleXM+PGtleSBhcHA9IkVOIiBkYi1p
ZD0idmEwdndkcnJwZXd2ZTdldGFlcnhycGY1dncyZDB4ZjVkMnNmIiB0aW1lc3RhbXA9IjE3ODkx
MDk3MjAiPjYzNjwva2V5PjwvZm9yZWlnbi1rZXlzPjxyZWYtdHlwZSBuYW1lPSJKb3VybmFsIEFy
dGljbGUiPjE3PC9yZWYtdHlwZT48Y29udHJpYnV0b3JzPjxhdXRob3JzPjxhdXRob3I+Q2hvLCBT
LiBKLjwvYXV0aG9yPjxhdXRob3I+V2VpZGVuLCBNLiBELjwvYXV0aG9yPjxhdXRob3I+TGVlLCBD
LiBHLjwvYXV0aG9yPjwvYXV0aG9ycz48L2NvbnRyaWJ1dG9ycz48YXV0aC1hZGRyZXNzPkRpdmlz
aW9uIG9mIFB1bG1vbmFyeSBhbmQgQ3JpdGljYWwgQ2FyZSBNZWRpY2luZSwgTmV3IFlvcmstUHJl
c2J5dGVyaWFuIEhvc3BpdGFsLVdlaWxsIENvcm5lbGwgTWVkaWNhbCBDZW50ZXIsIFdlaWxsIENv
cm5lbGwgTWVkaWNhbCBDb2xsZWdlLCBOZXcgWW9yaywgTlksIFVTQS4mI3hEO0RpdmlzaW9uIG9m
IFB1bG1vbmFyeSwgQ3JpdGljYWwgQ2FyZSBhbmQgU2xlZXAgTWVkaWNpbmUsIERlcGFydG1lbnQg
b2YgSW50ZXJuYWwgTWVkaWNpbmUsIE5ldyBZb3JrIFVuaXZlcnNpdHkgU2Nob29sIG9mIE1lZGlj
aW5lLCBOZXcgWW9yaywgTlksIFVTQS4gOyBOZXcgWW9yayBVbml2ZXJzaXR5LCBTY2hvb2wgb2Yg
TWVkaWNpbmUsIERlcGFydG1lbnQgb2YgRW52aXJvbm1lbnRhbCBNZWRpY2luZSwgVHV4ZWRvIFBh
cmssIE5ZLCBVU0EuIDsgQnVyZWF1IG9mIEhlYWx0aCBTZXJ2aWNlcyBhbmQgT2ZmaWNlIG9mIE1l
ZGljYWwgQWZmYWlycyBGaXJlIERlcGFydG1lbnQgb2YgTmV3IFlvcmssIEJyb29rbHluLCBOWSwg
VVNBLiYjeEQ7TW9sZWN1bGFyIE1pY3JvYmlvbG9neSBhbmQgSW1tdW5vbG9neSwgQnJvd24gVW5p
dmVyc2l0eSxXYXJyZW4gQWxwZXJ0IFNjaG9vbCBvZiBNZWRpY2luZSBCb3ggRy1MLCBQcm92aWRl
bmNlLCBSSSwgVVNBLjwvYXV0aC1hZGRyZXNzPjx0aXRsZXM+PHRpdGxlPkNoaXRvdHJpb3NpZGFz
ZSBpbiB0aGUgUGF0aG9nZW5lc2lzIG9mIEluZmxhbW1hdGlvbiwgSW50ZXJzdGl0aWFsIEx1bmcg
RGlzZWFzZXMgYW5kIENPUEQ8L3RpdGxlPjxzZWNvbmRhcnktdGl0bGU+QWxsZXJneSBBc3RobWEg
SW1tdW5vbCBSZXM8L3NlY29uZGFyeS10aXRsZT48L3RpdGxlcz48cGVyaW9kaWNhbD48ZnVsbC10
aXRsZT5BbGxlcmd5IEFzdGhtYSBJbW11bm9sIFJlczwvZnVsbC10aXRsZT48L3BlcmlvZGljYWw+
PHBhZ2VzPjE0LTIxPC9wYWdlcz48dm9sdW1lPjc8L3ZvbHVtZT48bnVtYmVyPjE8L251bWJlcj48
ZWRpdGlvbj4yMDE0MTEwNTwvZWRpdGlvbj48a2V5d29yZHM+PGtleXdvcmQ+Q2hpdG90cmlvc2lk
YXNlPC9rZXl3b3JkPjxrZXl3b3JkPlRHRi1iZXRhPC9rZXl3b3JkPjxrZXl3b3JkPmlkaW9wYXRo
aWMgcHVsbW9uYXJ5IGZpYnJvc2lzPC9rZXl3b3JkPjxrZXl3b3JkPmluZmxhbW1hdGlvbjwva2V5
d29yZD48a2V5d29yZD5zYXJjb2lkb3Npczwva2V5d29yZD48a2V5d29yZD5zY2xlcm9kZXJtYTwv
a2V5d29yZD48L2tleXdvcmRzPjxkYXRlcz48eWVhcj4yMDE1PC95ZWFyPjxwdWItZGF0ZXM+PGRh
dGU+SmFuPC9kYXRlPjwvcHViLWRhdGVzPjwvZGF0ZXM+PGlzYm4+MjA5Mi03MzU1IChQcmludCkm
I3hEOzIwOTItNzM2MyAoRWxlY3Ryb25pYykmI3hEOzIwOTItNzM1NSAoTGlua2luZyk8L2lzYm4+
PGFjY2Vzc2lvbi1udW0+MjU1NTMyNTg8L2FjY2Vzc2lvbi1udW0+PHVybHM+PHJlbGF0ZWQtdXJs
cz48dXJsPmh0dHBzOi8vd3d3Lm5jYmkubmxtLm5paC5nb3YvcHVibWVkLzI1NTUzMjU4PC91cmw+
PC9yZWxhdGVkLXVybHM+PC91cmxzPjxjdXN0b20xPlRoZXJlIGFyZSBubyBmaW5hbmNpYWwgb3Ig
b3RoZXIgaXNzdWVzIHRoYXQgbWlnaHQgbGVhZCB0byBjb25mbGljdCBvZiBpbnRlcmVzdC48L2N1
c3RvbTE+PGN1c3RvbTI+UE1DNDI3NDQ2NDwvY3VzdG9tMj48ZWxlY3Ryb25pYy1yZXNvdXJjZS1u
dW0+MTAuNDE2OC9hYWlyLjIwMTUuNy4xLjE0PC9lbGVjdHJvbmljLXJlc291cmNlLW51bT48cmVt
b3RlLWRhdGFiYXNlLW5hbWU+UHViTWVkLW5vdC1NRURMSU5FPC9yZW1vdGUtZGF0YWJhc2UtbmFt
ZT48cmVtb3RlLWRhdGFiYXNlLXByb3ZpZGVyPk5MTTwvcmVtb3RlLWRhdGFiYXNlLXByb3ZpZGVy
PjwvcmVjb3JkPjwvQ2l0ZT48L0VuZE5vdGU+AG==
</w:fldData>
              </w:fldChar>
            </w:r>
            <w:r w:rsidR="00A804EA">
              <w:rPr>
                <w:rFonts w:ascii="Times New Roman" w:hAnsi="Times New Roman" w:cs="Times New Roman"/>
                <w:sz w:val="18"/>
                <w:szCs w:val="20"/>
              </w:rPr>
              <w:instrText xml:space="preserve"> ADDIN EN.CITE </w:instrText>
            </w:r>
            <w:r w:rsidR="00A804EA">
              <w:rPr>
                <w:rFonts w:ascii="Times New Roman" w:hAnsi="Times New Roman" w:cs="Times New Roman"/>
                <w:sz w:val="18"/>
                <w:szCs w:val="20"/>
              </w:rPr>
              <w:fldChar w:fldCharType="begin">
                <w:fldData xml:space="preserve">PEVuZE5vdGU+PENpdGU+PEF1dGhvcj5DaG88L0F1dGhvcj48WWVhcj4yMDE1PC9ZZWFyPjxSZWNO
dW0+NjM2PC9SZWNOdW0+PERpc3BsYXlUZXh0PlsyNl08L0Rpc3BsYXlUZXh0PjxyZWNvcmQ+PHJl
Yy1udW1iZXI+NjM2PC9yZWMtbnVtYmVyPjxmb3JlaWduLWtleXM+PGtleSBhcHA9IkVOIiBkYi1p
ZD0idmEwdndkcnJwZXd2ZTdldGFlcnhycGY1dncyZDB4ZjVkMnNmIiB0aW1lc3RhbXA9IjE3ODkx
MDk3MjAiPjYzNjwva2V5PjwvZm9yZWlnbi1rZXlzPjxyZWYtdHlwZSBuYW1lPSJKb3VybmFsIEFy
dGljbGUiPjE3PC9yZWYtdHlwZT48Y29udHJpYnV0b3JzPjxhdXRob3JzPjxhdXRob3I+Q2hvLCBT
LiBKLjwvYXV0aG9yPjxhdXRob3I+V2VpZGVuLCBNLiBELjwvYXV0aG9yPjxhdXRob3I+TGVlLCBD
LiBHLjwvYXV0aG9yPjwvYXV0aG9ycz48L2NvbnRyaWJ1dG9ycz48YXV0aC1hZGRyZXNzPkRpdmlz
aW9uIG9mIFB1bG1vbmFyeSBhbmQgQ3JpdGljYWwgQ2FyZSBNZWRpY2luZSwgTmV3IFlvcmstUHJl
c2J5dGVyaWFuIEhvc3BpdGFsLVdlaWxsIENvcm5lbGwgTWVkaWNhbCBDZW50ZXIsIFdlaWxsIENv
cm5lbGwgTWVkaWNhbCBDb2xsZWdlLCBOZXcgWW9yaywgTlksIFVTQS4mI3hEO0RpdmlzaW9uIG9m
IFB1bG1vbmFyeSwgQ3JpdGljYWwgQ2FyZSBhbmQgU2xlZXAgTWVkaWNpbmUsIERlcGFydG1lbnQg
b2YgSW50ZXJuYWwgTWVkaWNpbmUsIE5ldyBZb3JrIFVuaXZlcnNpdHkgU2Nob29sIG9mIE1lZGlj
aW5lLCBOZXcgWW9yaywgTlksIFVTQS4gOyBOZXcgWW9yayBVbml2ZXJzaXR5LCBTY2hvb2wgb2Yg
TWVkaWNpbmUsIERlcGFydG1lbnQgb2YgRW52aXJvbm1lbnRhbCBNZWRpY2luZSwgVHV4ZWRvIFBh
cmssIE5ZLCBVU0EuIDsgQnVyZWF1IG9mIEhlYWx0aCBTZXJ2aWNlcyBhbmQgT2ZmaWNlIG9mIE1l
ZGljYWwgQWZmYWlycyBGaXJlIERlcGFydG1lbnQgb2YgTmV3IFlvcmssIEJyb29rbHluLCBOWSwg
VVNBLiYjeEQ7TW9sZWN1bGFyIE1pY3JvYmlvbG9neSBhbmQgSW1tdW5vbG9neSwgQnJvd24gVW5p
dmVyc2l0eSxXYXJyZW4gQWxwZXJ0IFNjaG9vbCBvZiBNZWRpY2luZSBCb3ggRy1MLCBQcm92aWRl
bmNlLCBSSSwgVVNBLjwvYXV0aC1hZGRyZXNzPjx0aXRsZXM+PHRpdGxlPkNoaXRvdHJpb3NpZGFz
ZSBpbiB0aGUgUGF0aG9nZW5lc2lzIG9mIEluZmxhbW1hdGlvbiwgSW50ZXJzdGl0aWFsIEx1bmcg
RGlzZWFzZXMgYW5kIENPUEQ8L3RpdGxlPjxzZWNvbmRhcnktdGl0bGU+QWxsZXJneSBBc3RobWEg
SW1tdW5vbCBSZXM8L3NlY29uZGFyeS10aXRsZT48L3RpdGxlcz48cGVyaW9kaWNhbD48ZnVsbC10
aXRsZT5BbGxlcmd5IEFzdGhtYSBJbW11bm9sIFJlczwvZnVsbC10aXRsZT48L3BlcmlvZGljYWw+
PHBhZ2VzPjE0LTIxPC9wYWdlcz48dm9sdW1lPjc8L3ZvbHVtZT48bnVtYmVyPjE8L251bWJlcj48
ZWRpdGlvbj4yMDE0MTEwNTwvZWRpdGlvbj48a2V5d29yZHM+PGtleXdvcmQ+Q2hpdG90cmlvc2lk
YXNlPC9rZXl3b3JkPjxrZXl3b3JkPlRHRi1iZXRhPC9rZXl3b3JkPjxrZXl3b3JkPmlkaW9wYXRo
aWMgcHVsbW9uYXJ5IGZpYnJvc2lzPC9rZXl3b3JkPjxrZXl3b3JkPmluZmxhbW1hdGlvbjwva2V5
d29yZD48a2V5d29yZD5zYXJjb2lkb3Npczwva2V5d29yZD48a2V5d29yZD5zY2xlcm9kZXJtYTwv
a2V5d29yZD48L2tleXdvcmRzPjxkYXRlcz48eWVhcj4yMDE1PC95ZWFyPjxwdWItZGF0ZXM+PGRh
dGU+SmFuPC9kYXRlPjwvcHViLWRhdGVzPjwvZGF0ZXM+PGlzYm4+MjA5Mi03MzU1IChQcmludCkm
I3hEOzIwOTItNzM2MyAoRWxlY3Ryb25pYykmI3hEOzIwOTItNzM1NSAoTGlua2luZyk8L2lzYm4+
PGFjY2Vzc2lvbi1udW0+MjU1NTMyNTg8L2FjY2Vzc2lvbi1udW0+PHVybHM+PHJlbGF0ZWQtdXJs
cz48dXJsPmh0dHBzOi8vd3d3Lm5jYmkubmxtLm5paC5nb3YvcHVibWVkLzI1NTUzMjU4PC91cmw+
PC9yZWxhdGVkLXVybHM+PC91cmxzPjxjdXN0b20xPlRoZXJlIGFyZSBubyBmaW5hbmNpYWwgb3Ig
b3RoZXIgaXNzdWVzIHRoYXQgbWlnaHQgbGVhZCB0byBjb25mbGljdCBvZiBpbnRlcmVzdC48L2N1
c3RvbTE+PGN1c3RvbTI+UE1DNDI3NDQ2NDwvY3VzdG9tMj48ZWxlY3Ryb25pYy1yZXNvdXJjZS1u
dW0+MTAuNDE2OC9hYWlyLjIwMTUuNy4xLjE0PC9lbGVjdHJvbmljLXJlc291cmNlLW51bT48cmVt
b3RlLWRhdGFiYXNlLW5hbWU+UHViTWVkLW5vdC1NRURMSU5FPC9yZW1vdGUtZGF0YWJhc2UtbmFt
ZT48cmVtb3RlLWRhdGFiYXNlLXByb3ZpZGVyPk5MTTwvcmVtb3RlLWRhdGFiYXNlLXByb3ZpZGVy
PjwvcmVjb3JkPjwvQ2l0ZT48L0VuZE5vdGU+AG==
</w:fldData>
              </w:fldChar>
            </w:r>
            <w:r w:rsidR="00A804EA">
              <w:rPr>
                <w:rFonts w:ascii="Times New Roman" w:hAnsi="Times New Roman" w:cs="Times New Roman"/>
                <w:sz w:val="18"/>
                <w:szCs w:val="20"/>
              </w:rPr>
              <w:instrText xml:space="preserve"> ADDIN EN.CITE.DATA </w:instrText>
            </w:r>
            <w:r w:rsidR="00A804EA">
              <w:rPr>
                <w:rFonts w:ascii="Times New Roman" w:hAnsi="Times New Roman" w:cs="Times New Roman"/>
                <w:sz w:val="18"/>
                <w:szCs w:val="20"/>
              </w:rPr>
            </w:r>
            <w:r w:rsidR="00A804EA">
              <w:rPr>
                <w:rFonts w:ascii="Times New Roman" w:hAnsi="Times New Roman" w:cs="Times New Roman"/>
                <w:sz w:val="18"/>
                <w:szCs w:val="20"/>
              </w:rPr>
              <w:fldChar w:fldCharType="end"/>
            </w:r>
            <w:r>
              <w:rPr>
                <w:rFonts w:ascii="Times New Roman" w:hAnsi="Times New Roman" w:cs="Times New Roman"/>
                <w:sz w:val="18"/>
                <w:szCs w:val="20"/>
              </w:rPr>
            </w:r>
            <w:r>
              <w:rPr>
                <w:rFonts w:ascii="Times New Roman" w:hAnsi="Times New Roman" w:cs="Times New Roman"/>
                <w:sz w:val="18"/>
                <w:szCs w:val="20"/>
              </w:rPr>
              <w:fldChar w:fldCharType="separate"/>
            </w:r>
            <w:r w:rsidR="00A804EA">
              <w:rPr>
                <w:rFonts w:ascii="Times New Roman" w:hAnsi="Times New Roman" w:cs="Times New Roman"/>
                <w:noProof/>
                <w:sz w:val="18"/>
                <w:szCs w:val="20"/>
              </w:rPr>
              <w:t>[26]</w:t>
            </w:r>
            <w:r>
              <w:rPr>
                <w:rFonts w:ascii="Times New Roman" w:hAnsi="Times New Roman" w:cs="Times New Roman"/>
                <w:sz w:val="18"/>
                <w:szCs w:val="20"/>
              </w:rPr>
              <w:fldChar w:fldCharType="end"/>
            </w:r>
            <w:r>
              <w:rPr>
                <w:rFonts w:ascii="Times New Roman" w:hAnsi="Times New Roman" w:cs="Times New Roman"/>
                <w:sz w:val="18"/>
                <w:szCs w:val="20"/>
              </w:rPr>
              <w:t>.</w:t>
            </w:r>
          </w:p>
        </w:tc>
      </w:tr>
      <w:tr w:rsidR="00C723C7" w14:paraId="2BD55CB3" w14:textId="77777777">
        <w:trPr>
          <w:tblCellSpacing w:w="15" w:type="dxa"/>
        </w:trPr>
        <w:tc>
          <w:tcPr>
            <w:tcW w:w="1551" w:type="dxa"/>
            <w:vAlign w:val="center"/>
          </w:tcPr>
          <w:p w14:paraId="24E2E056" w14:textId="77777777" w:rsidR="00C723C7" w:rsidRDefault="00000000">
            <w:pPr>
              <w:rPr>
                <w:rFonts w:ascii="Times New Roman" w:hAnsi="Times New Roman" w:cs="Times New Roman"/>
                <w:sz w:val="18"/>
                <w:szCs w:val="20"/>
              </w:rPr>
            </w:pPr>
            <w:r>
              <w:rPr>
                <w:rFonts w:ascii="Times New Roman" w:hAnsi="Times New Roman" w:cs="Times New Roman"/>
                <w:sz w:val="18"/>
                <w:szCs w:val="20"/>
              </w:rPr>
              <w:t>Intercept</w:t>
            </w:r>
          </w:p>
        </w:tc>
        <w:tc>
          <w:tcPr>
            <w:tcW w:w="1635" w:type="dxa"/>
            <w:vAlign w:val="center"/>
          </w:tcPr>
          <w:p w14:paraId="2EC51A03" w14:textId="77777777" w:rsidR="00C723C7" w:rsidRDefault="00000000">
            <w:pPr>
              <w:rPr>
                <w:rFonts w:ascii="Times New Roman" w:hAnsi="Times New Roman" w:cs="Times New Roman"/>
                <w:sz w:val="18"/>
                <w:szCs w:val="20"/>
              </w:rPr>
            </w:pPr>
            <w:r>
              <w:rPr>
                <w:rFonts w:ascii="Times New Roman" w:hAnsi="Times New Roman" w:cs="Times New Roman"/>
                <w:sz w:val="18"/>
                <w:szCs w:val="20"/>
              </w:rPr>
              <w:t>—</w:t>
            </w:r>
          </w:p>
        </w:tc>
        <w:tc>
          <w:tcPr>
            <w:tcW w:w="962" w:type="dxa"/>
            <w:vAlign w:val="center"/>
          </w:tcPr>
          <w:p w14:paraId="5A83A59A" w14:textId="77777777" w:rsidR="00C723C7" w:rsidRDefault="00000000">
            <w:pPr>
              <w:rPr>
                <w:rFonts w:ascii="Times New Roman" w:hAnsi="Times New Roman" w:cs="Times New Roman"/>
                <w:sz w:val="18"/>
                <w:szCs w:val="20"/>
              </w:rPr>
            </w:pPr>
            <w:r>
              <w:rPr>
                <w:rFonts w:ascii="Times New Roman" w:hAnsi="Times New Roman" w:cs="Times New Roman"/>
                <w:sz w:val="18"/>
                <w:szCs w:val="18"/>
              </w:rPr>
              <w:t>-0.70251467</w:t>
            </w:r>
          </w:p>
        </w:tc>
        <w:tc>
          <w:tcPr>
            <w:tcW w:w="4008" w:type="dxa"/>
            <w:vAlign w:val="center"/>
          </w:tcPr>
          <w:p w14:paraId="0774EDD9" w14:textId="77777777" w:rsidR="00C723C7" w:rsidRDefault="00C723C7">
            <w:pPr>
              <w:rPr>
                <w:rFonts w:ascii="Times New Roman" w:hAnsi="Times New Roman" w:cs="Times New Roman"/>
                <w:sz w:val="18"/>
                <w:szCs w:val="20"/>
              </w:rPr>
            </w:pPr>
          </w:p>
        </w:tc>
      </w:tr>
    </w:tbl>
    <w:p w14:paraId="3071DB74" w14:textId="77777777" w:rsidR="00C723C7" w:rsidRDefault="00C723C7">
      <w:pPr>
        <w:widowControl/>
        <w:jc w:val="left"/>
        <w:rPr>
          <w:rFonts w:ascii="Times New Roman" w:hAnsi="Times New Roman" w:cs="Times New Roman"/>
          <w:b/>
          <w:bCs/>
        </w:rPr>
      </w:pPr>
    </w:p>
    <w:p w14:paraId="62AFCF9A" w14:textId="70B2067F" w:rsidR="00C723C7" w:rsidRDefault="00000000" w:rsidP="00ED3BE8">
      <w:pPr>
        <w:widowControl/>
        <w:jc w:val="left"/>
        <w:rPr>
          <w:rFonts w:ascii="Times New Roman" w:hAnsi="Times New Roman" w:cs="Times New Roman"/>
        </w:rPr>
      </w:pPr>
      <w:r>
        <w:rPr>
          <w:rFonts w:ascii="Times New Roman" w:hAnsi="Times New Roman" w:cs="Times New Roman"/>
          <w:b/>
          <w:bCs/>
        </w:rPr>
        <w:br w:type="page"/>
      </w:r>
    </w:p>
    <w:p w14:paraId="50305D73" w14:textId="77777777" w:rsidR="00C723C7" w:rsidRDefault="00C723C7">
      <w:pPr>
        <w:rPr>
          <w:rFonts w:ascii="Times New Roman" w:hAnsi="Times New Roman" w:cs="Times New Roman"/>
          <w:b/>
          <w:bCs/>
        </w:rPr>
      </w:pPr>
    </w:p>
    <w:p w14:paraId="290915EF" w14:textId="77777777" w:rsidR="00C723C7" w:rsidRDefault="00000000">
      <w:pPr>
        <w:rPr>
          <w:rFonts w:ascii="Times New Roman" w:hAnsi="Times New Roman" w:cs="Times New Roman"/>
          <w:b/>
          <w:bCs/>
          <w:sz w:val="22"/>
          <w:szCs w:val="24"/>
        </w:rPr>
      </w:pPr>
      <w:r>
        <w:rPr>
          <w:rFonts w:ascii="Times New Roman" w:hAnsi="Times New Roman" w:cs="Times New Roman"/>
          <w:b/>
          <w:bCs/>
          <w:sz w:val="22"/>
          <w:szCs w:val="24"/>
        </w:rPr>
        <w:t>References</w:t>
      </w:r>
    </w:p>
    <w:p w14:paraId="0160192A" w14:textId="77777777" w:rsidR="00A804EA" w:rsidRPr="00A804EA" w:rsidRDefault="00000000" w:rsidP="00A804EA">
      <w:pPr>
        <w:pStyle w:val="EndNoteBibliography"/>
        <w:rPr>
          <w:rFonts w:hint="eastAsia"/>
          <w:noProof/>
        </w:rPr>
      </w:pPr>
      <w:r>
        <w:rPr>
          <w:rFonts w:hint="eastAsia"/>
        </w:rPr>
        <w:fldChar w:fldCharType="begin"/>
      </w:r>
      <w:r>
        <w:rPr>
          <w:rFonts w:hint="eastAsia"/>
        </w:rPr>
        <w:instrText xml:space="preserve"> ADDIN EN.REFLIST </w:instrText>
      </w:r>
      <w:r>
        <w:rPr>
          <w:rFonts w:hint="eastAsia"/>
        </w:rPr>
        <w:fldChar w:fldCharType="separate"/>
      </w:r>
      <w:r w:rsidR="00A804EA" w:rsidRPr="00A804EA">
        <w:rPr>
          <w:rFonts w:hint="eastAsia"/>
          <w:noProof/>
        </w:rPr>
        <w:t>1.</w:t>
      </w:r>
      <w:r w:rsidR="00A804EA" w:rsidRPr="00A804EA">
        <w:rPr>
          <w:rFonts w:hint="eastAsia"/>
          <w:noProof/>
        </w:rPr>
        <w:tab/>
        <w:t xml:space="preserve">Zhang R, Wei Y, Shi F, Ren J, Zhou Q, Li W, Chen B. The diagnostic and prognostic value of radiomics and deep learning technologies for patients with solid pulmonary nodules in chest CT images. </w:t>
      </w:r>
      <w:r w:rsidR="00A804EA" w:rsidRPr="00A804EA">
        <w:rPr>
          <w:rFonts w:hint="eastAsia"/>
          <w:i/>
          <w:noProof/>
        </w:rPr>
        <w:t xml:space="preserve">BMC Cancer </w:t>
      </w:r>
      <w:r w:rsidR="00A804EA" w:rsidRPr="00A804EA">
        <w:rPr>
          <w:rFonts w:hint="eastAsia"/>
          <w:noProof/>
        </w:rPr>
        <w:t>2022: 22(1): 1118.</w:t>
      </w:r>
    </w:p>
    <w:p w14:paraId="7510A2E8" w14:textId="77777777" w:rsidR="00A804EA" w:rsidRPr="00A804EA" w:rsidRDefault="00A804EA" w:rsidP="00A804EA">
      <w:pPr>
        <w:pStyle w:val="EndNoteBibliography"/>
        <w:rPr>
          <w:rFonts w:hint="eastAsia"/>
          <w:noProof/>
        </w:rPr>
      </w:pPr>
      <w:r w:rsidRPr="00A804EA">
        <w:rPr>
          <w:rFonts w:hint="eastAsia"/>
          <w:noProof/>
        </w:rPr>
        <w:t>2.</w:t>
      </w:r>
      <w:r w:rsidRPr="00A804EA">
        <w:rPr>
          <w:rFonts w:hint="eastAsia"/>
          <w:noProof/>
        </w:rPr>
        <w:tab/>
        <w:t xml:space="preserve">Hao Y, Hao S, Andersen-Nissen E, Mauck WM, 3rd, Zheng S, Butler A, Lee MJ, Wilk AJ, Darby C, Zager M, Hoffman P, Stoeckius M, Papalexi E, Mimitou EP, Jain J, Srivastava A, Stuart T, Fleming LM, Yeung B, Rogers AJ, McElrath JM, Blish CA, Gottardo R, Smibert P, Satija R. Integrated analysis of multimodal single-cell data. </w:t>
      </w:r>
      <w:r w:rsidRPr="00A804EA">
        <w:rPr>
          <w:rFonts w:hint="eastAsia"/>
          <w:i/>
          <w:noProof/>
        </w:rPr>
        <w:t xml:space="preserve">Cell </w:t>
      </w:r>
      <w:r w:rsidRPr="00A804EA">
        <w:rPr>
          <w:rFonts w:hint="eastAsia"/>
          <w:noProof/>
        </w:rPr>
        <w:t>2021: 184(13): 3573-3587 e3529.</w:t>
      </w:r>
    </w:p>
    <w:p w14:paraId="527A1C00" w14:textId="77777777" w:rsidR="00A804EA" w:rsidRPr="00A804EA" w:rsidRDefault="00A804EA" w:rsidP="00A804EA">
      <w:pPr>
        <w:pStyle w:val="EndNoteBibliography"/>
        <w:rPr>
          <w:rFonts w:hint="eastAsia"/>
          <w:noProof/>
        </w:rPr>
      </w:pPr>
      <w:r w:rsidRPr="00A804EA">
        <w:rPr>
          <w:rFonts w:hint="eastAsia"/>
          <w:noProof/>
        </w:rPr>
        <w:t>3.</w:t>
      </w:r>
      <w:r w:rsidRPr="00A804EA">
        <w:rPr>
          <w:rFonts w:hint="eastAsia"/>
          <w:noProof/>
        </w:rPr>
        <w:tab/>
        <w:t xml:space="preserve">McGinnis CS, Murrow LM, Gartner ZJ. DoubletFinder: Doublet Detection in Single-Cell RNA Sequencing Data Using Artificial Nearest Neighbors. </w:t>
      </w:r>
      <w:r w:rsidRPr="00A804EA">
        <w:rPr>
          <w:rFonts w:hint="eastAsia"/>
          <w:i/>
          <w:noProof/>
        </w:rPr>
        <w:t xml:space="preserve">Cell Syst </w:t>
      </w:r>
      <w:r w:rsidRPr="00A804EA">
        <w:rPr>
          <w:rFonts w:hint="eastAsia"/>
          <w:noProof/>
        </w:rPr>
        <w:t>2019: 8(4): 329-337 e324.</w:t>
      </w:r>
    </w:p>
    <w:p w14:paraId="250F89F8" w14:textId="77777777" w:rsidR="00A804EA" w:rsidRPr="00A804EA" w:rsidRDefault="00A804EA" w:rsidP="00A804EA">
      <w:pPr>
        <w:pStyle w:val="EndNoteBibliography"/>
        <w:rPr>
          <w:rFonts w:hint="eastAsia"/>
          <w:noProof/>
        </w:rPr>
      </w:pPr>
      <w:r w:rsidRPr="00A804EA">
        <w:rPr>
          <w:rFonts w:hint="eastAsia"/>
          <w:noProof/>
        </w:rPr>
        <w:t>4.</w:t>
      </w:r>
      <w:r w:rsidRPr="00A804EA">
        <w:rPr>
          <w:rFonts w:hint="eastAsia"/>
          <w:noProof/>
        </w:rPr>
        <w:tab/>
        <w:t xml:space="preserve">Yang S, Corbett SE, Koga Y, Wang Z, Johnson WE, Yajima M, Campbell JD. Decontamination of ambient RNA in single-cell RNA-seq with DecontX. </w:t>
      </w:r>
      <w:r w:rsidRPr="00A804EA">
        <w:rPr>
          <w:rFonts w:hint="eastAsia"/>
          <w:i/>
          <w:noProof/>
        </w:rPr>
        <w:t xml:space="preserve">Genome Biol </w:t>
      </w:r>
      <w:r w:rsidRPr="00A804EA">
        <w:rPr>
          <w:rFonts w:hint="eastAsia"/>
          <w:noProof/>
        </w:rPr>
        <w:t>2020: 21(1): 57.</w:t>
      </w:r>
    </w:p>
    <w:p w14:paraId="1D20F232" w14:textId="77777777" w:rsidR="00A804EA" w:rsidRPr="00A804EA" w:rsidRDefault="00A804EA" w:rsidP="00A804EA">
      <w:pPr>
        <w:pStyle w:val="EndNoteBibliography"/>
        <w:rPr>
          <w:rFonts w:hint="eastAsia"/>
          <w:noProof/>
        </w:rPr>
      </w:pPr>
      <w:r w:rsidRPr="00A804EA">
        <w:rPr>
          <w:rFonts w:hint="eastAsia"/>
          <w:noProof/>
        </w:rPr>
        <w:t>5.</w:t>
      </w:r>
      <w:r w:rsidRPr="00A804EA">
        <w:rPr>
          <w:rFonts w:hint="eastAsia"/>
          <w:noProof/>
        </w:rPr>
        <w:tab/>
        <w:t xml:space="preserve">Korsunsky I, Millard N, Fan J, Slowikowski K, Zhang F, Wei K, Baglaenko Y, Brenner M, Loh PR, Raychaudhuri S. Fast, sensitive and accurate integration of single-cell data with Harmony. </w:t>
      </w:r>
      <w:r w:rsidRPr="00A804EA">
        <w:rPr>
          <w:rFonts w:hint="eastAsia"/>
          <w:i/>
          <w:noProof/>
        </w:rPr>
        <w:t xml:space="preserve">Nat Methods </w:t>
      </w:r>
      <w:r w:rsidRPr="00A804EA">
        <w:rPr>
          <w:rFonts w:hint="eastAsia"/>
          <w:noProof/>
        </w:rPr>
        <w:t>2019: 16(12): 1289-1296.</w:t>
      </w:r>
    </w:p>
    <w:p w14:paraId="2418D10C" w14:textId="77777777" w:rsidR="00A804EA" w:rsidRPr="00A804EA" w:rsidRDefault="00A804EA" w:rsidP="00A804EA">
      <w:pPr>
        <w:pStyle w:val="EndNoteBibliography"/>
        <w:rPr>
          <w:rFonts w:hint="eastAsia"/>
          <w:noProof/>
        </w:rPr>
      </w:pPr>
      <w:r w:rsidRPr="00A804EA">
        <w:rPr>
          <w:rFonts w:hint="eastAsia"/>
          <w:noProof/>
        </w:rPr>
        <w:t>6.</w:t>
      </w:r>
      <w:r w:rsidRPr="00A804EA">
        <w:rPr>
          <w:rFonts w:hint="eastAsia"/>
          <w:noProof/>
        </w:rPr>
        <w:tab/>
        <w:t xml:space="preserve">Xiao K, Cao Y, Han Z, Zhang Y, Luu LDW, Chen L, Yan P, Chen W, Wang J, Liang Y, Shi X, Wang X, Wang F, Hu Y, Wen Z, Chen Y, Yang Y, Yu H, Xie L, Wang Y. A pan-immune panorama of bacterial pneumonia revealed by a large-scale single-cell transcriptome atlas. </w:t>
      </w:r>
      <w:r w:rsidRPr="00A804EA">
        <w:rPr>
          <w:rFonts w:hint="eastAsia"/>
          <w:i/>
          <w:noProof/>
        </w:rPr>
        <w:t xml:space="preserve">Signal Transduct Target Ther </w:t>
      </w:r>
      <w:r w:rsidRPr="00A804EA">
        <w:rPr>
          <w:rFonts w:hint="eastAsia"/>
          <w:noProof/>
        </w:rPr>
        <w:t>2025: 10(1): 5.</w:t>
      </w:r>
    </w:p>
    <w:p w14:paraId="6A64F7D1" w14:textId="77777777" w:rsidR="00A804EA" w:rsidRPr="00A804EA" w:rsidRDefault="00A804EA" w:rsidP="00A804EA">
      <w:pPr>
        <w:pStyle w:val="EndNoteBibliography"/>
        <w:rPr>
          <w:rFonts w:hint="eastAsia"/>
          <w:noProof/>
        </w:rPr>
      </w:pPr>
      <w:r w:rsidRPr="00A804EA">
        <w:rPr>
          <w:rFonts w:hint="eastAsia"/>
          <w:noProof/>
        </w:rPr>
        <w:t>7.</w:t>
      </w:r>
      <w:r w:rsidRPr="00A804EA">
        <w:rPr>
          <w:rFonts w:hint="eastAsia"/>
          <w:noProof/>
        </w:rPr>
        <w:tab/>
        <w:t xml:space="preserve">Robinson MD, McCarthy DJ, Smyth GK. edgeR: a Bioconductor package for differential expression analysis of digital gene expression data. </w:t>
      </w:r>
      <w:r w:rsidRPr="00A804EA">
        <w:rPr>
          <w:rFonts w:hint="eastAsia"/>
          <w:i/>
          <w:noProof/>
        </w:rPr>
        <w:t xml:space="preserve">Bioinformatics </w:t>
      </w:r>
      <w:r w:rsidRPr="00A804EA">
        <w:rPr>
          <w:rFonts w:hint="eastAsia"/>
          <w:noProof/>
        </w:rPr>
        <w:t>2010: 26(1): 139-140.</w:t>
      </w:r>
    </w:p>
    <w:p w14:paraId="7BBCD842" w14:textId="77777777" w:rsidR="00A804EA" w:rsidRPr="00A804EA" w:rsidRDefault="00A804EA" w:rsidP="00A804EA">
      <w:pPr>
        <w:pStyle w:val="EndNoteBibliography"/>
        <w:rPr>
          <w:rFonts w:hint="eastAsia"/>
          <w:noProof/>
        </w:rPr>
      </w:pPr>
      <w:r w:rsidRPr="00A804EA">
        <w:rPr>
          <w:rFonts w:hint="eastAsia"/>
          <w:noProof/>
        </w:rPr>
        <w:t>8.</w:t>
      </w:r>
      <w:r w:rsidRPr="00A804EA">
        <w:rPr>
          <w:rFonts w:hint="eastAsia"/>
          <w:noProof/>
        </w:rPr>
        <w:tab/>
        <w:t xml:space="preserve">Lun AT, Chen Y, Smyth GK. It's DE-licious: A Recipe for Differential Expression Analyses of RNA-seq Experiments Using Quasi-Likelihood Methods in edgeR. </w:t>
      </w:r>
      <w:r w:rsidRPr="00A804EA">
        <w:rPr>
          <w:rFonts w:hint="eastAsia"/>
          <w:i/>
          <w:noProof/>
        </w:rPr>
        <w:t xml:space="preserve">Methods Mol Biol </w:t>
      </w:r>
      <w:r w:rsidRPr="00A804EA">
        <w:rPr>
          <w:rFonts w:hint="eastAsia"/>
          <w:noProof/>
        </w:rPr>
        <w:t>2016: 1418: 391-416.</w:t>
      </w:r>
    </w:p>
    <w:p w14:paraId="1F9E533A" w14:textId="77777777" w:rsidR="00A804EA" w:rsidRPr="00A804EA" w:rsidRDefault="00A804EA" w:rsidP="00A804EA">
      <w:pPr>
        <w:pStyle w:val="EndNoteBibliography"/>
        <w:rPr>
          <w:rFonts w:hint="eastAsia"/>
          <w:noProof/>
        </w:rPr>
      </w:pPr>
      <w:r w:rsidRPr="00A804EA">
        <w:rPr>
          <w:rFonts w:hint="eastAsia"/>
          <w:noProof/>
        </w:rPr>
        <w:t>9.</w:t>
      </w:r>
      <w:r w:rsidRPr="00A804EA">
        <w:rPr>
          <w:rFonts w:hint="eastAsia"/>
          <w:noProof/>
        </w:rPr>
        <w:tab/>
        <w:t xml:space="preserve">Subramanian A, Tamayo P, Mootha VK, Mukherjee S, Ebert BL, Gillette MA, Paulovich A, Pomeroy SL, Golub TR, Lander ES, Mesirov JP. Gene set enrichment analysis: a knowledge-based approach for interpreting genome-wide expression profiles. </w:t>
      </w:r>
      <w:r w:rsidRPr="00A804EA">
        <w:rPr>
          <w:rFonts w:hint="eastAsia"/>
          <w:i/>
          <w:noProof/>
        </w:rPr>
        <w:t xml:space="preserve">Proc Natl Acad Sci U S A </w:t>
      </w:r>
      <w:r w:rsidRPr="00A804EA">
        <w:rPr>
          <w:rFonts w:hint="eastAsia"/>
          <w:noProof/>
        </w:rPr>
        <w:t>2005: 102(43): 15545-15550.</w:t>
      </w:r>
    </w:p>
    <w:p w14:paraId="465A5D3C" w14:textId="77777777" w:rsidR="00A804EA" w:rsidRPr="00A804EA" w:rsidRDefault="00A804EA" w:rsidP="00A804EA">
      <w:pPr>
        <w:pStyle w:val="EndNoteBibliography"/>
        <w:rPr>
          <w:rFonts w:hint="eastAsia"/>
          <w:noProof/>
        </w:rPr>
      </w:pPr>
      <w:r w:rsidRPr="00A804EA">
        <w:rPr>
          <w:rFonts w:hint="eastAsia"/>
          <w:noProof/>
        </w:rPr>
        <w:t>10.</w:t>
      </w:r>
      <w:r w:rsidRPr="00A804EA">
        <w:rPr>
          <w:rFonts w:hint="eastAsia"/>
          <w:noProof/>
        </w:rPr>
        <w:tab/>
        <w:t xml:space="preserve">Yu G, Wang LG, Han Y, He QY. clusterProfiler: an R package for comparing biological themes among gene clusters. </w:t>
      </w:r>
      <w:r w:rsidRPr="00A804EA">
        <w:rPr>
          <w:rFonts w:hint="eastAsia"/>
          <w:i/>
          <w:noProof/>
        </w:rPr>
        <w:t xml:space="preserve">OMICS </w:t>
      </w:r>
      <w:r w:rsidRPr="00A804EA">
        <w:rPr>
          <w:rFonts w:hint="eastAsia"/>
          <w:noProof/>
        </w:rPr>
        <w:t>2012: 16(5): 284-287.</w:t>
      </w:r>
    </w:p>
    <w:p w14:paraId="0933BE19" w14:textId="77777777" w:rsidR="00A804EA" w:rsidRPr="00A804EA" w:rsidRDefault="00A804EA" w:rsidP="00A804EA">
      <w:pPr>
        <w:pStyle w:val="EndNoteBibliography"/>
        <w:rPr>
          <w:rFonts w:hint="eastAsia"/>
          <w:noProof/>
        </w:rPr>
      </w:pPr>
      <w:r w:rsidRPr="00A804EA">
        <w:rPr>
          <w:rFonts w:hint="eastAsia"/>
          <w:noProof/>
        </w:rPr>
        <w:t>11.</w:t>
      </w:r>
      <w:r w:rsidRPr="00A804EA">
        <w:rPr>
          <w:rFonts w:hint="eastAsia"/>
          <w:noProof/>
        </w:rPr>
        <w:tab/>
        <w:t xml:space="preserve">Dey A, Chao SH, Lane DP. HEXIM1 and the control of transcription elongation: from cancer and inflammation to AIDS and cardiac hypertrophy. </w:t>
      </w:r>
      <w:r w:rsidRPr="00A804EA">
        <w:rPr>
          <w:rFonts w:hint="eastAsia"/>
          <w:i/>
          <w:noProof/>
        </w:rPr>
        <w:t xml:space="preserve">Cell Cycle </w:t>
      </w:r>
      <w:r w:rsidRPr="00A804EA">
        <w:rPr>
          <w:rFonts w:hint="eastAsia"/>
          <w:noProof/>
        </w:rPr>
        <w:t>2007: 6(15): 1856-1863.</w:t>
      </w:r>
    </w:p>
    <w:p w14:paraId="2A3EA65D" w14:textId="77777777" w:rsidR="00A804EA" w:rsidRPr="00A804EA" w:rsidRDefault="00A804EA" w:rsidP="00A804EA">
      <w:pPr>
        <w:pStyle w:val="EndNoteBibliography"/>
        <w:rPr>
          <w:rFonts w:hint="eastAsia"/>
          <w:noProof/>
        </w:rPr>
      </w:pPr>
      <w:r w:rsidRPr="00A804EA">
        <w:rPr>
          <w:rFonts w:hint="eastAsia"/>
          <w:noProof/>
        </w:rPr>
        <w:t>12.</w:t>
      </w:r>
      <w:r w:rsidRPr="00A804EA">
        <w:rPr>
          <w:rFonts w:hint="eastAsia"/>
          <w:noProof/>
        </w:rPr>
        <w:tab/>
        <w:t xml:space="preserve">Stern JB, Paugam C, Validire P, Adle-Biassette H, Jaffre S, Dehoux M, Crestani B. Cytokeratin 19 fragments in patients with acute lung injury: a preliminary observation. </w:t>
      </w:r>
      <w:r w:rsidRPr="00A804EA">
        <w:rPr>
          <w:rFonts w:hint="eastAsia"/>
          <w:i/>
          <w:noProof/>
        </w:rPr>
        <w:t xml:space="preserve">Intensive Care Med </w:t>
      </w:r>
      <w:r w:rsidRPr="00A804EA">
        <w:rPr>
          <w:rFonts w:hint="eastAsia"/>
          <w:noProof/>
        </w:rPr>
        <w:t>2006: 32(6): 910-914.</w:t>
      </w:r>
    </w:p>
    <w:p w14:paraId="02A3E376" w14:textId="77777777" w:rsidR="00A804EA" w:rsidRPr="00A804EA" w:rsidRDefault="00A804EA" w:rsidP="00A804EA">
      <w:pPr>
        <w:pStyle w:val="EndNoteBibliography"/>
        <w:rPr>
          <w:rFonts w:hint="eastAsia"/>
          <w:noProof/>
        </w:rPr>
      </w:pPr>
      <w:r w:rsidRPr="00A804EA">
        <w:rPr>
          <w:rFonts w:hint="eastAsia"/>
          <w:noProof/>
        </w:rPr>
        <w:t>13.</w:t>
      </w:r>
      <w:r w:rsidRPr="00A804EA">
        <w:rPr>
          <w:rFonts w:hint="eastAsia"/>
          <w:noProof/>
        </w:rPr>
        <w:tab/>
        <w:t xml:space="preserve">Pump WC, Kraemer T, Huyton T, Ho GT, Blasczyk R, Bade-Doeding C. Between Innate and Adaptive Immune Responses: NKG2A, NKG2C, and CD8(+) T Cell Recognition of HLA-E Restricted Self-Peptides Acquired in the Absence of HLA-Ia. </w:t>
      </w:r>
      <w:r w:rsidRPr="00A804EA">
        <w:rPr>
          <w:rFonts w:hint="eastAsia"/>
          <w:i/>
          <w:noProof/>
        </w:rPr>
        <w:t xml:space="preserve">Int J Mol Sci </w:t>
      </w:r>
      <w:r w:rsidRPr="00A804EA">
        <w:rPr>
          <w:rFonts w:hint="eastAsia"/>
          <w:noProof/>
        </w:rPr>
        <w:t>2019: 20(6).</w:t>
      </w:r>
    </w:p>
    <w:p w14:paraId="1384CEC5" w14:textId="77777777" w:rsidR="00A804EA" w:rsidRPr="00A804EA" w:rsidRDefault="00A804EA" w:rsidP="00A804EA">
      <w:pPr>
        <w:pStyle w:val="EndNoteBibliography"/>
        <w:rPr>
          <w:rFonts w:hint="eastAsia"/>
          <w:noProof/>
        </w:rPr>
      </w:pPr>
      <w:r w:rsidRPr="00A804EA">
        <w:rPr>
          <w:rFonts w:hint="eastAsia"/>
          <w:noProof/>
        </w:rPr>
        <w:t>14.</w:t>
      </w:r>
      <w:r w:rsidRPr="00A804EA">
        <w:rPr>
          <w:rFonts w:hint="eastAsia"/>
          <w:noProof/>
        </w:rPr>
        <w:tab/>
        <w:t xml:space="preserve">Goldberg IJ, Eckel RH, Abumrad NA. Regulation of fatty acid uptake into tissues: lipoprotein lipase- and CD36-mediated pathways. </w:t>
      </w:r>
      <w:r w:rsidRPr="00A804EA">
        <w:rPr>
          <w:rFonts w:hint="eastAsia"/>
          <w:i/>
          <w:noProof/>
        </w:rPr>
        <w:t xml:space="preserve">J Lipid Res </w:t>
      </w:r>
      <w:r w:rsidRPr="00A804EA">
        <w:rPr>
          <w:rFonts w:hint="eastAsia"/>
          <w:noProof/>
        </w:rPr>
        <w:t>2009: 50 Suppl(Suppl): S86-90.</w:t>
      </w:r>
    </w:p>
    <w:p w14:paraId="527B6509" w14:textId="77777777" w:rsidR="00A804EA" w:rsidRPr="00A804EA" w:rsidRDefault="00A804EA" w:rsidP="00A804EA">
      <w:pPr>
        <w:pStyle w:val="EndNoteBibliography"/>
        <w:rPr>
          <w:rFonts w:hint="eastAsia"/>
          <w:noProof/>
        </w:rPr>
      </w:pPr>
      <w:r w:rsidRPr="00A804EA">
        <w:rPr>
          <w:rFonts w:hint="eastAsia"/>
          <w:noProof/>
        </w:rPr>
        <w:t>15.</w:t>
      </w:r>
      <w:r w:rsidRPr="00A804EA">
        <w:rPr>
          <w:rFonts w:hint="eastAsia"/>
          <w:noProof/>
        </w:rPr>
        <w:tab/>
        <w:t xml:space="preserve">Candelaria PV, Leoh LS, Penichet ML, Daniels-Wells TR. Antibodies Targeting the Transferrin Receptor 1 (TfR1) as Direct Anti-cancer Agents. </w:t>
      </w:r>
      <w:r w:rsidRPr="00A804EA">
        <w:rPr>
          <w:rFonts w:hint="eastAsia"/>
          <w:i/>
          <w:noProof/>
        </w:rPr>
        <w:t xml:space="preserve">Front Immunol </w:t>
      </w:r>
      <w:r w:rsidRPr="00A804EA">
        <w:rPr>
          <w:rFonts w:hint="eastAsia"/>
          <w:noProof/>
        </w:rPr>
        <w:t>2021: 12: 607692.</w:t>
      </w:r>
    </w:p>
    <w:p w14:paraId="1FAFD40F" w14:textId="77777777" w:rsidR="00A804EA" w:rsidRPr="00A804EA" w:rsidRDefault="00A804EA" w:rsidP="00A804EA">
      <w:pPr>
        <w:pStyle w:val="EndNoteBibliography"/>
        <w:rPr>
          <w:rFonts w:hint="eastAsia"/>
          <w:noProof/>
        </w:rPr>
      </w:pPr>
      <w:r w:rsidRPr="00A804EA">
        <w:rPr>
          <w:rFonts w:hint="eastAsia"/>
          <w:noProof/>
        </w:rPr>
        <w:t>16.</w:t>
      </w:r>
      <w:r w:rsidRPr="00A804EA">
        <w:rPr>
          <w:rFonts w:hint="eastAsia"/>
          <w:noProof/>
        </w:rPr>
        <w:tab/>
        <w:t xml:space="preserve">Meitei HT, Jadhav N, Lal G. CCR6-CCL20 axis as a therapeutic target for autoimmune diseases. </w:t>
      </w:r>
      <w:r w:rsidRPr="00A804EA">
        <w:rPr>
          <w:rFonts w:hint="eastAsia"/>
          <w:i/>
          <w:noProof/>
        </w:rPr>
        <w:lastRenderedPageBreak/>
        <w:t xml:space="preserve">Autoimmun Rev </w:t>
      </w:r>
      <w:r w:rsidRPr="00A804EA">
        <w:rPr>
          <w:rFonts w:hint="eastAsia"/>
          <w:noProof/>
        </w:rPr>
        <w:t>2021: 20(7): 102846.</w:t>
      </w:r>
    </w:p>
    <w:p w14:paraId="29A85EEF" w14:textId="77777777" w:rsidR="00A804EA" w:rsidRPr="00A804EA" w:rsidRDefault="00A804EA" w:rsidP="00A804EA">
      <w:pPr>
        <w:pStyle w:val="EndNoteBibliography"/>
        <w:rPr>
          <w:rFonts w:hint="eastAsia"/>
          <w:noProof/>
        </w:rPr>
      </w:pPr>
      <w:r w:rsidRPr="00A804EA">
        <w:rPr>
          <w:rFonts w:hint="eastAsia"/>
          <w:noProof/>
        </w:rPr>
        <w:t>17.</w:t>
      </w:r>
      <w:r w:rsidRPr="00A804EA">
        <w:rPr>
          <w:rFonts w:hint="eastAsia"/>
          <w:noProof/>
        </w:rPr>
        <w:tab/>
        <w:t xml:space="preserve">Hou FQ, Lei XF, Yao JL, Wang YJ, Zhang W. Tetraspanin 1 is involved in survival, proliferation and carcinogenesis of pancreatic cancer. </w:t>
      </w:r>
      <w:r w:rsidRPr="00A804EA">
        <w:rPr>
          <w:rFonts w:hint="eastAsia"/>
          <w:i/>
          <w:noProof/>
        </w:rPr>
        <w:t xml:space="preserve">Oncol Rep </w:t>
      </w:r>
      <w:r w:rsidRPr="00A804EA">
        <w:rPr>
          <w:rFonts w:hint="eastAsia"/>
          <w:noProof/>
        </w:rPr>
        <w:t>2015: 34(6): 3068-3076.</w:t>
      </w:r>
    </w:p>
    <w:p w14:paraId="562FA364" w14:textId="77777777" w:rsidR="00A804EA" w:rsidRPr="00A804EA" w:rsidRDefault="00A804EA" w:rsidP="00A804EA">
      <w:pPr>
        <w:pStyle w:val="EndNoteBibliography"/>
        <w:rPr>
          <w:rFonts w:hint="eastAsia"/>
          <w:noProof/>
        </w:rPr>
      </w:pPr>
      <w:r w:rsidRPr="00A804EA">
        <w:rPr>
          <w:rFonts w:hint="eastAsia"/>
          <w:noProof/>
        </w:rPr>
        <w:t>18.</w:t>
      </w:r>
      <w:r w:rsidRPr="00A804EA">
        <w:rPr>
          <w:rFonts w:hint="eastAsia"/>
          <w:noProof/>
        </w:rPr>
        <w:tab/>
        <w:t xml:space="preserve">Estey T, Piatigorsky J, Lassen N, Vasiliou V. ALDH3A1: a corneal crystallin with diverse functions. </w:t>
      </w:r>
      <w:r w:rsidRPr="00A804EA">
        <w:rPr>
          <w:rFonts w:hint="eastAsia"/>
          <w:i/>
          <w:noProof/>
        </w:rPr>
        <w:t xml:space="preserve">Exp Eye Res </w:t>
      </w:r>
      <w:r w:rsidRPr="00A804EA">
        <w:rPr>
          <w:rFonts w:hint="eastAsia"/>
          <w:noProof/>
        </w:rPr>
        <w:t>2007: 84(1): 3-12.</w:t>
      </w:r>
    </w:p>
    <w:p w14:paraId="1BBD1A8B" w14:textId="77777777" w:rsidR="00A804EA" w:rsidRPr="00A804EA" w:rsidRDefault="00A804EA" w:rsidP="00A804EA">
      <w:pPr>
        <w:pStyle w:val="EndNoteBibliography"/>
        <w:rPr>
          <w:rFonts w:hint="eastAsia"/>
          <w:noProof/>
        </w:rPr>
      </w:pPr>
      <w:r w:rsidRPr="00A804EA">
        <w:rPr>
          <w:rFonts w:hint="eastAsia"/>
          <w:noProof/>
        </w:rPr>
        <w:t>19.</w:t>
      </w:r>
      <w:r w:rsidRPr="00A804EA">
        <w:rPr>
          <w:rFonts w:hint="eastAsia"/>
          <w:noProof/>
        </w:rPr>
        <w:tab/>
        <w:t xml:space="preserve">Garred P, Honore C, Ma YJ, Munthe-Fog L, Hummelshoj T. MBL2, FCN1, FCN2 and FCN3-The genes behind the initiation of the lectin pathway of complement. </w:t>
      </w:r>
      <w:r w:rsidRPr="00A804EA">
        <w:rPr>
          <w:rFonts w:hint="eastAsia"/>
          <w:i/>
          <w:noProof/>
        </w:rPr>
        <w:t xml:space="preserve">Mol Immunol </w:t>
      </w:r>
      <w:r w:rsidRPr="00A804EA">
        <w:rPr>
          <w:rFonts w:hint="eastAsia"/>
          <w:noProof/>
        </w:rPr>
        <w:t>2009: 46(14): 2737-2744.</w:t>
      </w:r>
    </w:p>
    <w:p w14:paraId="3E9C0303" w14:textId="77777777" w:rsidR="00A804EA" w:rsidRPr="00A804EA" w:rsidRDefault="00A804EA" w:rsidP="00A804EA">
      <w:pPr>
        <w:pStyle w:val="EndNoteBibliography"/>
        <w:rPr>
          <w:rFonts w:hint="eastAsia"/>
          <w:noProof/>
        </w:rPr>
      </w:pPr>
      <w:r w:rsidRPr="00A804EA">
        <w:rPr>
          <w:rFonts w:hint="eastAsia"/>
          <w:noProof/>
        </w:rPr>
        <w:t>20.</w:t>
      </w:r>
      <w:r w:rsidRPr="00A804EA">
        <w:rPr>
          <w:rFonts w:hint="eastAsia"/>
          <w:noProof/>
        </w:rPr>
        <w:tab/>
        <w:t xml:space="preserve">Cardoso Alves L, Corazza N, Micheau O, Krebs P. The multifaceted role of TRAIL signaling in cancer and immunity. </w:t>
      </w:r>
      <w:r w:rsidRPr="00A804EA">
        <w:rPr>
          <w:rFonts w:hint="eastAsia"/>
          <w:i/>
          <w:noProof/>
        </w:rPr>
        <w:t xml:space="preserve">FEBS J </w:t>
      </w:r>
      <w:r w:rsidRPr="00A804EA">
        <w:rPr>
          <w:rFonts w:hint="eastAsia"/>
          <w:noProof/>
        </w:rPr>
        <w:t>2021: 288(19): 5530-5554.</w:t>
      </w:r>
    </w:p>
    <w:p w14:paraId="40659BB1" w14:textId="77777777" w:rsidR="00A804EA" w:rsidRPr="00A804EA" w:rsidRDefault="00A804EA" w:rsidP="00A804EA">
      <w:pPr>
        <w:pStyle w:val="EndNoteBibliography"/>
        <w:rPr>
          <w:rFonts w:hint="eastAsia"/>
          <w:noProof/>
        </w:rPr>
      </w:pPr>
      <w:r w:rsidRPr="00A804EA">
        <w:rPr>
          <w:rFonts w:hint="eastAsia"/>
          <w:noProof/>
        </w:rPr>
        <w:t>21.</w:t>
      </w:r>
      <w:r w:rsidRPr="00A804EA">
        <w:rPr>
          <w:rFonts w:hint="eastAsia"/>
          <w:noProof/>
        </w:rPr>
        <w:tab/>
        <w:t xml:space="preserve">Johnson MA, Firth SM. IGFBP-3: a cell fate pivot in cancer and disease. </w:t>
      </w:r>
      <w:r w:rsidRPr="00A804EA">
        <w:rPr>
          <w:rFonts w:hint="eastAsia"/>
          <w:i/>
          <w:noProof/>
        </w:rPr>
        <w:t xml:space="preserve">Growth Horm IGF Res </w:t>
      </w:r>
      <w:r w:rsidRPr="00A804EA">
        <w:rPr>
          <w:rFonts w:hint="eastAsia"/>
          <w:noProof/>
        </w:rPr>
        <w:t>2014: 24(5): 164-173.</w:t>
      </w:r>
    </w:p>
    <w:p w14:paraId="079997FB" w14:textId="77777777" w:rsidR="00A804EA" w:rsidRPr="00A804EA" w:rsidRDefault="00A804EA" w:rsidP="00A804EA">
      <w:pPr>
        <w:pStyle w:val="EndNoteBibliography"/>
        <w:rPr>
          <w:rFonts w:hint="eastAsia"/>
          <w:noProof/>
        </w:rPr>
      </w:pPr>
      <w:r w:rsidRPr="00A804EA">
        <w:rPr>
          <w:rFonts w:hint="eastAsia"/>
          <w:noProof/>
        </w:rPr>
        <w:t>22.</w:t>
      </w:r>
      <w:r w:rsidRPr="00A804EA">
        <w:rPr>
          <w:rFonts w:hint="eastAsia"/>
          <w:noProof/>
        </w:rPr>
        <w:tab/>
        <w:t xml:space="preserve">Gomez Hernandez G, Morell M, Alarcon-Riquelme ME. The Role of BANK1 in B Cell Signaling and Disease. </w:t>
      </w:r>
      <w:r w:rsidRPr="00A804EA">
        <w:rPr>
          <w:rFonts w:hint="eastAsia"/>
          <w:i/>
          <w:noProof/>
        </w:rPr>
        <w:t xml:space="preserve">Cells </w:t>
      </w:r>
      <w:r w:rsidRPr="00A804EA">
        <w:rPr>
          <w:rFonts w:hint="eastAsia"/>
          <w:noProof/>
        </w:rPr>
        <w:t>2021: 10(5).</w:t>
      </w:r>
    </w:p>
    <w:p w14:paraId="56703C7F" w14:textId="77777777" w:rsidR="00A804EA" w:rsidRPr="00A804EA" w:rsidRDefault="00A804EA" w:rsidP="00A804EA">
      <w:pPr>
        <w:pStyle w:val="EndNoteBibliography"/>
        <w:rPr>
          <w:rFonts w:hint="eastAsia"/>
          <w:noProof/>
        </w:rPr>
      </w:pPr>
      <w:r w:rsidRPr="00A804EA">
        <w:rPr>
          <w:rFonts w:hint="eastAsia"/>
          <w:noProof/>
        </w:rPr>
        <w:t>23.</w:t>
      </w:r>
      <w:r w:rsidRPr="00A804EA">
        <w:rPr>
          <w:rFonts w:hint="eastAsia"/>
          <w:noProof/>
        </w:rPr>
        <w:tab/>
        <w:t xml:space="preserve">Vaine CA, Soberman RJ. The CD200-CD200R1 inhibitory signaling pathway: immune regulation and host-pathogen interactions. </w:t>
      </w:r>
      <w:r w:rsidRPr="00A804EA">
        <w:rPr>
          <w:rFonts w:hint="eastAsia"/>
          <w:i/>
          <w:noProof/>
        </w:rPr>
        <w:t xml:space="preserve">Adv Immunol </w:t>
      </w:r>
      <w:r w:rsidRPr="00A804EA">
        <w:rPr>
          <w:rFonts w:hint="eastAsia"/>
          <w:noProof/>
        </w:rPr>
        <w:t>2014: 121: 191-211.</w:t>
      </w:r>
    </w:p>
    <w:p w14:paraId="5C0EC3B5" w14:textId="77777777" w:rsidR="00A804EA" w:rsidRPr="00A804EA" w:rsidRDefault="00A804EA" w:rsidP="00A804EA">
      <w:pPr>
        <w:pStyle w:val="EndNoteBibliography"/>
        <w:rPr>
          <w:rFonts w:hint="eastAsia"/>
          <w:noProof/>
        </w:rPr>
      </w:pPr>
      <w:r w:rsidRPr="00A804EA">
        <w:rPr>
          <w:rFonts w:hint="eastAsia"/>
          <w:noProof/>
        </w:rPr>
        <w:t>24.</w:t>
      </w:r>
      <w:r w:rsidRPr="00A804EA">
        <w:rPr>
          <w:rFonts w:hint="eastAsia"/>
          <w:noProof/>
        </w:rPr>
        <w:tab/>
        <w:t xml:space="preserve">Rudolf R, Busch R, Patra AK, Muhammad K, Avots A, Andrau JC, Klein-Hessling S, Serfling E. Architecture and expression of the nfatc1 gene in lymphocytes. </w:t>
      </w:r>
      <w:r w:rsidRPr="00A804EA">
        <w:rPr>
          <w:rFonts w:hint="eastAsia"/>
          <w:i/>
          <w:noProof/>
        </w:rPr>
        <w:t xml:space="preserve">Front Immunol </w:t>
      </w:r>
      <w:r w:rsidRPr="00A804EA">
        <w:rPr>
          <w:rFonts w:hint="eastAsia"/>
          <w:noProof/>
        </w:rPr>
        <w:t>2014: 5: 21.</w:t>
      </w:r>
    </w:p>
    <w:p w14:paraId="13F63455" w14:textId="77777777" w:rsidR="00A804EA" w:rsidRPr="00A804EA" w:rsidRDefault="00A804EA" w:rsidP="00A804EA">
      <w:pPr>
        <w:pStyle w:val="EndNoteBibliography"/>
        <w:rPr>
          <w:rFonts w:hint="eastAsia"/>
          <w:noProof/>
        </w:rPr>
      </w:pPr>
      <w:r w:rsidRPr="00A804EA">
        <w:rPr>
          <w:rFonts w:hint="eastAsia"/>
          <w:noProof/>
        </w:rPr>
        <w:t>25.</w:t>
      </w:r>
      <w:r w:rsidRPr="00A804EA">
        <w:rPr>
          <w:rFonts w:hint="eastAsia"/>
          <w:noProof/>
        </w:rPr>
        <w:tab/>
        <w:t xml:space="preserve">Marshall AJ, Zhang T, Al-Alwan M. Regulation of B-lymphocyte activation by the PH domain adaptor protein Bam32/DAPP1. </w:t>
      </w:r>
      <w:r w:rsidRPr="00A804EA">
        <w:rPr>
          <w:rFonts w:hint="eastAsia"/>
          <w:i/>
          <w:noProof/>
        </w:rPr>
        <w:t xml:space="preserve">Biochem Soc Trans </w:t>
      </w:r>
      <w:r w:rsidRPr="00A804EA">
        <w:rPr>
          <w:rFonts w:hint="eastAsia"/>
          <w:noProof/>
        </w:rPr>
        <w:t>2007: 35(Pt 2): 181-182.</w:t>
      </w:r>
    </w:p>
    <w:p w14:paraId="59278676" w14:textId="77777777" w:rsidR="00A804EA" w:rsidRPr="00A804EA" w:rsidRDefault="00A804EA" w:rsidP="00A804EA">
      <w:pPr>
        <w:pStyle w:val="EndNoteBibliography"/>
        <w:rPr>
          <w:rFonts w:hint="eastAsia"/>
          <w:noProof/>
        </w:rPr>
      </w:pPr>
      <w:r w:rsidRPr="00A804EA">
        <w:rPr>
          <w:rFonts w:hint="eastAsia"/>
          <w:noProof/>
        </w:rPr>
        <w:t>26.</w:t>
      </w:r>
      <w:r w:rsidRPr="00A804EA">
        <w:rPr>
          <w:rFonts w:hint="eastAsia"/>
          <w:noProof/>
        </w:rPr>
        <w:tab/>
        <w:t xml:space="preserve">Cho SJ, Weiden MD, Lee CG. Chitotriosidase in the Pathogenesis of Inflammation, Interstitial Lung Diseases and COPD. </w:t>
      </w:r>
      <w:r w:rsidRPr="00A804EA">
        <w:rPr>
          <w:rFonts w:hint="eastAsia"/>
          <w:i/>
          <w:noProof/>
        </w:rPr>
        <w:t xml:space="preserve">Allergy Asthma Immunol Res </w:t>
      </w:r>
      <w:r w:rsidRPr="00A804EA">
        <w:rPr>
          <w:rFonts w:hint="eastAsia"/>
          <w:noProof/>
        </w:rPr>
        <w:t>2015: 7(1): 14-21.</w:t>
      </w:r>
    </w:p>
    <w:p w14:paraId="2A62F8B9" w14:textId="7623DECE" w:rsidR="00C723C7" w:rsidRDefault="00000000">
      <w:pPr>
        <w:rPr>
          <w:rFonts w:hint="eastAsia"/>
        </w:rPr>
      </w:pPr>
      <w:r>
        <w:rPr>
          <w:rFonts w:hint="eastAsia"/>
        </w:rPr>
        <w:fldChar w:fldCharType="end"/>
      </w:r>
    </w:p>
    <w:sectPr w:rsidR="00C723C7">
      <w:footerReference w:type="default" r:id="rId2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080C4" w14:textId="77777777" w:rsidR="00F44AA9" w:rsidRDefault="00F44AA9">
      <w:pPr>
        <w:rPr>
          <w:rFonts w:hint="eastAsia"/>
        </w:rPr>
      </w:pPr>
      <w:r>
        <w:separator/>
      </w:r>
    </w:p>
  </w:endnote>
  <w:endnote w:type="continuationSeparator" w:id="0">
    <w:p w14:paraId="456820C5" w14:textId="77777777" w:rsidR="00F44AA9" w:rsidRDefault="00F44AA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calaLancetPro">
    <w:altName w:val="宋体"/>
    <w:charset w:val="86"/>
    <w:family w:val="roman"/>
    <w:pitch w:val="default"/>
    <w:sig w:usb0="00000000" w:usb1="00000000" w:usb2="00000010" w:usb3="00000000" w:csb0="00060000" w:csb1="00000000"/>
  </w:font>
  <w:font w:name="WarnockPro-Regular">
    <w:altName w:val="宋体"/>
    <w:charset w:val="86"/>
    <w:family w:val="roman"/>
    <w:pitch w:val="default"/>
    <w:sig w:usb0="00000000" w:usb1="00000000" w:usb2="00000010" w:usb3="00000000" w:csb0="00040008" w:csb1="00000000"/>
  </w:font>
  <w:font w:name="TimesNewRomanPSMT">
    <w:altName w:val="Times New Roman"/>
    <w:charset w:val="00"/>
    <w:family w:val="roman"/>
    <w:pitch w:val="default"/>
  </w:font>
  <w:font w:name="Cambria Math">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8578821"/>
      <w:docPartObj>
        <w:docPartGallery w:val="AutoText"/>
      </w:docPartObj>
    </w:sdtPr>
    <w:sdtContent>
      <w:p w14:paraId="2A92D74C" w14:textId="77777777" w:rsidR="00C723C7" w:rsidRDefault="00000000">
        <w:pPr>
          <w:pStyle w:val="a4"/>
          <w:jc w:val="center"/>
          <w:rPr>
            <w:rFonts w:hint="eastAsia"/>
          </w:rPr>
        </w:pPr>
        <w:r>
          <w:fldChar w:fldCharType="begin"/>
        </w:r>
        <w:r>
          <w:instrText>PAGE   \* MERGEFORMAT</w:instrText>
        </w:r>
        <w:r>
          <w:fldChar w:fldCharType="separate"/>
        </w:r>
        <w:r>
          <w:rPr>
            <w:lang w:val="zh-CN"/>
          </w:rPr>
          <w:t>2</w:t>
        </w:r>
        <w:r>
          <w:fldChar w:fldCharType="end"/>
        </w:r>
      </w:p>
    </w:sdtContent>
  </w:sdt>
  <w:p w14:paraId="374BF27A" w14:textId="77777777" w:rsidR="00C723C7" w:rsidRDefault="00C723C7">
    <w:pPr>
      <w:pStyle w:val="a4"/>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EC348" w14:textId="77777777" w:rsidR="00F44AA9" w:rsidRDefault="00F44AA9">
      <w:pPr>
        <w:rPr>
          <w:rFonts w:hint="eastAsia"/>
        </w:rPr>
      </w:pPr>
      <w:r>
        <w:separator/>
      </w:r>
    </w:p>
  </w:footnote>
  <w:footnote w:type="continuationSeparator" w:id="0">
    <w:p w14:paraId="3271F3D8" w14:textId="77777777" w:rsidR="00F44AA9" w:rsidRDefault="00F44AA9">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Euro Respiratory J&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a0vwdrrpewve7etaerxrpf5vw2d0xf5d2sf&quot;&gt;ARDS预后模型&lt;record-ids&gt;&lt;item&gt;601&lt;/item&gt;&lt;item&gt;610&lt;/item&gt;&lt;item&gt;611&lt;/item&gt;&lt;item&gt;612&lt;/item&gt;&lt;item&gt;613&lt;/item&gt;&lt;item&gt;614&lt;/item&gt;&lt;item&gt;615&lt;/item&gt;&lt;item&gt;616&lt;/item&gt;&lt;item&gt;617&lt;/item&gt;&lt;item&gt;620&lt;/item&gt;&lt;item&gt;622&lt;/item&gt;&lt;item&gt;623&lt;/item&gt;&lt;item&gt;624&lt;/item&gt;&lt;item&gt;625&lt;/item&gt;&lt;item&gt;626&lt;/item&gt;&lt;item&gt;627&lt;/item&gt;&lt;item&gt;628&lt;/item&gt;&lt;item&gt;629&lt;/item&gt;&lt;item&gt;630&lt;/item&gt;&lt;item&gt;631&lt;/item&gt;&lt;item&gt;632&lt;/item&gt;&lt;item&gt;633&lt;/item&gt;&lt;item&gt;634&lt;/item&gt;&lt;item&gt;635&lt;/item&gt;&lt;item&gt;636&lt;/item&gt;&lt;item&gt;637&lt;/item&gt;&lt;/record-ids&gt;&lt;/item&gt;&lt;/Libraries&gt;"/>
  </w:docVars>
  <w:rsids>
    <w:rsidRoot w:val="00056F8C"/>
    <w:rsid w:val="000011AC"/>
    <w:rsid w:val="00001331"/>
    <w:rsid w:val="00002B1E"/>
    <w:rsid w:val="000034B8"/>
    <w:rsid w:val="000066FF"/>
    <w:rsid w:val="00006B7F"/>
    <w:rsid w:val="00006CEC"/>
    <w:rsid w:val="00006D92"/>
    <w:rsid w:val="000079E2"/>
    <w:rsid w:val="0001252A"/>
    <w:rsid w:val="000127EF"/>
    <w:rsid w:val="00014ED5"/>
    <w:rsid w:val="00015271"/>
    <w:rsid w:val="00017140"/>
    <w:rsid w:val="00017171"/>
    <w:rsid w:val="0001785F"/>
    <w:rsid w:val="000201CD"/>
    <w:rsid w:val="0002366D"/>
    <w:rsid w:val="000240B4"/>
    <w:rsid w:val="00024427"/>
    <w:rsid w:val="000307DF"/>
    <w:rsid w:val="00030C66"/>
    <w:rsid w:val="00031248"/>
    <w:rsid w:val="00031C7B"/>
    <w:rsid w:val="0003309C"/>
    <w:rsid w:val="00036773"/>
    <w:rsid w:val="000405DF"/>
    <w:rsid w:val="00042AA6"/>
    <w:rsid w:val="00042BED"/>
    <w:rsid w:val="00056D07"/>
    <w:rsid w:val="00056F8C"/>
    <w:rsid w:val="000606CD"/>
    <w:rsid w:val="0006369F"/>
    <w:rsid w:val="00065B73"/>
    <w:rsid w:val="0006601C"/>
    <w:rsid w:val="000679E5"/>
    <w:rsid w:val="000710BB"/>
    <w:rsid w:val="0007154C"/>
    <w:rsid w:val="000720C2"/>
    <w:rsid w:val="000728B5"/>
    <w:rsid w:val="000743B0"/>
    <w:rsid w:val="000755DB"/>
    <w:rsid w:val="000806C4"/>
    <w:rsid w:val="00080F0D"/>
    <w:rsid w:val="00082238"/>
    <w:rsid w:val="0008278F"/>
    <w:rsid w:val="00083A17"/>
    <w:rsid w:val="00084A8B"/>
    <w:rsid w:val="00090774"/>
    <w:rsid w:val="00094894"/>
    <w:rsid w:val="000957A9"/>
    <w:rsid w:val="00096134"/>
    <w:rsid w:val="000A1454"/>
    <w:rsid w:val="000A5A23"/>
    <w:rsid w:val="000A66BF"/>
    <w:rsid w:val="000A67CA"/>
    <w:rsid w:val="000A70B5"/>
    <w:rsid w:val="000B0DCA"/>
    <w:rsid w:val="000B3F1C"/>
    <w:rsid w:val="000B5E9D"/>
    <w:rsid w:val="000B635C"/>
    <w:rsid w:val="000B6A07"/>
    <w:rsid w:val="000B7CCE"/>
    <w:rsid w:val="000C2610"/>
    <w:rsid w:val="000C3B38"/>
    <w:rsid w:val="000C405C"/>
    <w:rsid w:val="000C74F7"/>
    <w:rsid w:val="000D2232"/>
    <w:rsid w:val="000D7105"/>
    <w:rsid w:val="000E14DA"/>
    <w:rsid w:val="000E15EB"/>
    <w:rsid w:val="000E615E"/>
    <w:rsid w:val="000F2DB1"/>
    <w:rsid w:val="000F341F"/>
    <w:rsid w:val="000F3B3E"/>
    <w:rsid w:val="000F4B49"/>
    <w:rsid w:val="000F606A"/>
    <w:rsid w:val="000F6159"/>
    <w:rsid w:val="00100876"/>
    <w:rsid w:val="0010286A"/>
    <w:rsid w:val="001060C2"/>
    <w:rsid w:val="00107B79"/>
    <w:rsid w:val="00110F23"/>
    <w:rsid w:val="00113FC6"/>
    <w:rsid w:val="001147F6"/>
    <w:rsid w:val="00116133"/>
    <w:rsid w:val="001166DA"/>
    <w:rsid w:val="001217E7"/>
    <w:rsid w:val="0012276D"/>
    <w:rsid w:val="00126467"/>
    <w:rsid w:val="0012689D"/>
    <w:rsid w:val="001374A9"/>
    <w:rsid w:val="001379ED"/>
    <w:rsid w:val="00140977"/>
    <w:rsid w:val="00141167"/>
    <w:rsid w:val="00142F42"/>
    <w:rsid w:val="00143FB4"/>
    <w:rsid w:val="001535E5"/>
    <w:rsid w:val="00153DA0"/>
    <w:rsid w:val="00155E97"/>
    <w:rsid w:val="00156715"/>
    <w:rsid w:val="00156958"/>
    <w:rsid w:val="001626C8"/>
    <w:rsid w:val="00163E4B"/>
    <w:rsid w:val="00164643"/>
    <w:rsid w:val="0017065B"/>
    <w:rsid w:val="0017260C"/>
    <w:rsid w:val="001726AF"/>
    <w:rsid w:val="00173FC6"/>
    <w:rsid w:val="001758E1"/>
    <w:rsid w:val="00180F71"/>
    <w:rsid w:val="00186695"/>
    <w:rsid w:val="001872B2"/>
    <w:rsid w:val="00190471"/>
    <w:rsid w:val="00191F91"/>
    <w:rsid w:val="00194FC5"/>
    <w:rsid w:val="001A4B06"/>
    <w:rsid w:val="001A5282"/>
    <w:rsid w:val="001A52B5"/>
    <w:rsid w:val="001A6F94"/>
    <w:rsid w:val="001B2DA3"/>
    <w:rsid w:val="001B3290"/>
    <w:rsid w:val="001B5D3D"/>
    <w:rsid w:val="001C07C0"/>
    <w:rsid w:val="001C1165"/>
    <w:rsid w:val="001C3CBD"/>
    <w:rsid w:val="001C3F93"/>
    <w:rsid w:val="001C4EF4"/>
    <w:rsid w:val="001C59A0"/>
    <w:rsid w:val="001D0241"/>
    <w:rsid w:val="001D2E9C"/>
    <w:rsid w:val="001D403C"/>
    <w:rsid w:val="001D40C0"/>
    <w:rsid w:val="001D6E0D"/>
    <w:rsid w:val="001E1F5E"/>
    <w:rsid w:val="001E21EF"/>
    <w:rsid w:val="001E3D64"/>
    <w:rsid w:val="001E7331"/>
    <w:rsid w:val="001F2347"/>
    <w:rsid w:val="001F2CFE"/>
    <w:rsid w:val="001F36B3"/>
    <w:rsid w:val="001F40ED"/>
    <w:rsid w:val="001F49B8"/>
    <w:rsid w:val="001F49F9"/>
    <w:rsid w:val="001F5688"/>
    <w:rsid w:val="001F665A"/>
    <w:rsid w:val="001F6705"/>
    <w:rsid w:val="00202F6D"/>
    <w:rsid w:val="0020395F"/>
    <w:rsid w:val="00204987"/>
    <w:rsid w:val="00206CC8"/>
    <w:rsid w:val="0021062D"/>
    <w:rsid w:val="00210FFA"/>
    <w:rsid w:val="00212ECD"/>
    <w:rsid w:val="002136D2"/>
    <w:rsid w:val="0021387B"/>
    <w:rsid w:val="002142EF"/>
    <w:rsid w:val="002147CB"/>
    <w:rsid w:val="00215BF0"/>
    <w:rsid w:val="002171D0"/>
    <w:rsid w:val="00220754"/>
    <w:rsid w:val="0022310B"/>
    <w:rsid w:val="0022378D"/>
    <w:rsid w:val="002240E5"/>
    <w:rsid w:val="002247A1"/>
    <w:rsid w:val="00225ABD"/>
    <w:rsid w:val="00230863"/>
    <w:rsid w:val="0023096A"/>
    <w:rsid w:val="00232345"/>
    <w:rsid w:val="00232F54"/>
    <w:rsid w:val="00232FC3"/>
    <w:rsid w:val="00235166"/>
    <w:rsid w:val="00235184"/>
    <w:rsid w:val="00237AAE"/>
    <w:rsid w:val="002402EA"/>
    <w:rsid w:val="00240367"/>
    <w:rsid w:val="00240C3A"/>
    <w:rsid w:val="002419DE"/>
    <w:rsid w:val="00242F35"/>
    <w:rsid w:val="00246677"/>
    <w:rsid w:val="0025125F"/>
    <w:rsid w:val="00251425"/>
    <w:rsid w:val="00251CC6"/>
    <w:rsid w:val="00253137"/>
    <w:rsid w:val="00253B02"/>
    <w:rsid w:val="0025529B"/>
    <w:rsid w:val="00260B52"/>
    <w:rsid w:val="00260CD8"/>
    <w:rsid w:val="00261057"/>
    <w:rsid w:val="0026105D"/>
    <w:rsid w:val="0026376E"/>
    <w:rsid w:val="002648BD"/>
    <w:rsid w:val="0026707B"/>
    <w:rsid w:val="00267232"/>
    <w:rsid w:val="00273538"/>
    <w:rsid w:val="00273D51"/>
    <w:rsid w:val="00273FC7"/>
    <w:rsid w:val="00275146"/>
    <w:rsid w:val="002806CE"/>
    <w:rsid w:val="00283571"/>
    <w:rsid w:val="00283CFB"/>
    <w:rsid w:val="0028506C"/>
    <w:rsid w:val="00286D2C"/>
    <w:rsid w:val="00287830"/>
    <w:rsid w:val="00290530"/>
    <w:rsid w:val="00290CE4"/>
    <w:rsid w:val="002917D9"/>
    <w:rsid w:val="00297C23"/>
    <w:rsid w:val="002A5779"/>
    <w:rsid w:val="002A7EB3"/>
    <w:rsid w:val="002B19AF"/>
    <w:rsid w:val="002B1ADA"/>
    <w:rsid w:val="002B5679"/>
    <w:rsid w:val="002C349C"/>
    <w:rsid w:val="002C3E5E"/>
    <w:rsid w:val="002D00E9"/>
    <w:rsid w:val="002D539C"/>
    <w:rsid w:val="002D58C0"/>
    <w:rsid w:val="002D5D9E"/>
    <w:rsid w:val="002D5FE6"/>
    <w:rsid w:val="002D6FFF"/>
    <w:rsid w:val="002D7D38"/>
    <w:rsid w:val="002E40B1"/>
    <w:rsid w:val="002E4FE3"/>
    <w:rsid w:val="002E55B9"/>
    <w:rsid w:val="002E7AE4"/>
    <w:rsid w:val="002F2256"/>
    <w:rsid w:val="002F3A85"/>
    <w:rsid w:val="002F3F7D"/>
    <w:rsid w:val="002F5CE6"/>
    <w:rsid w:val="002F6BA5"/>
    <w:rsid w:val="002F7279"/>
    <w:rsid w:val="00301793"/>
    <w:rsid w:val="00301914"/>
    <w:rsid w:val="00302922"/>
    <w:rsid w:val="0030499A"/>
    <w:rsid w:val="00304EFE"/>
    <w:rsid w:val="00305C24"/>
    <w:rsid w:val="0030786F"/>
    <w:rsid w:val="003102D9"/>
    <w:rsid w:val="00312478"/>
    <w:rsid w:val="003146BC"/>
    <w:rsid w:val="003209A0"/>
    <w:rsid w:val="00320D02"/>
    <w:rsid w:val="00323F78"/>
    <w:rsid w:val="0032552C"/>
    <w:rsid w:val="00334010"/>
    <w:rsid w:val="0033523D"/>
    <w:rsid w:val="00335B52"/>
    <w:rsid w:val="00336381"/>
    <w:rsid w:val="00340D98"/>
    <w:rsid w:val="00341623"/>
    <w:rsid w:val="00342FB9"/>
    <w:rsid w:val="0034775B"/>
    <w:rsid w:val="00350058"/>
    <w:rsid w:val="00351D38"/>
    <w:rsid w:val="00354154"/>
    <w:rsid w:val="0035429F"/>
    <w:rsid w:val="0035624F"/>
    <w:rsid w:val="00361EED"/>
    <w:rsid w:val="003657FA"/>
    <w:rsid w:val="00365B7D"/>
    <w:rsid w:val="00366F10"/>
    <w:rsid w:val="00370DAB"/>
    <w:rsid w:val="00371F37"/>
    <w:rsid w:val="00373E2F"/>
    <w:rsid w:val="00375A5B"/>
    <w:rsid w:val="0037687E"/>
    <w:rsid w:val="00377509"/>
    <w:rsid w:val="0037791B"/>
    <w:rsid w:val="00377A10"/>
    <w:rsid w:val="00382617"/>
    <w:rsid w:val="00383475"/>
    <w:rsid w:val="00386487"/>
    <w:rsid w:val="00386624"/>
    <w:rsid w:val="003872B8"/>
    <w:rsid w:val="003918B8"/>
    <w:rsid w:val="00391E40"/>
    <w:rsid w:val="00392ABC"/>
    <w:rsid w:val="003933A7"/>
    <w:rsid w:val="00394E51"/>
    <w:rsid w:val="003A1552"/>
    <w:rsid w:val="003A2B6F"/>
    <w:rsid w:val="003A320B"/>
    <w:rsid w:val="003A35F6"/>
    <w:rsid w:val="003A3F13"/>
    <w:rsid w:val="003B1A10"/>
    <w:rsid w:val="003B5F62"/>
    <w:rsid w:val="003D0D68"/>
    <w:rsid w:val="003D22A1"/>
    <w:rsid w:val="003D2DFA"/>
    <w:rsid w:val="003D4785"/>
    <w:rsid w:val="003D7987"/>
    <w:rsid w:val="003E3314"/>
    <w:rsid w:val="003E33B4"/>
    <w:rsid w:val="003E46F9"/>
    <w:rsid w:val="003E59A5"/>
    <w:rsid w:val="003E6E77"/>
    <w:rsid w:val="003E7043"/>
    <w:rsid w:val="003F14E5"/>
    <w:rsid w:val="003F1A0F"/>
    <w:rsid w:val="003F2C4F"/>
    <w:rsid w:val="003F3E10"/>
    <w:rsid w:val="0040099A"/>
    <w:rsid w:val="00403A51"/>
    <w:rsid w:val="0040636F"/>
    <w:rsid w:val="0040741C"/>
    <w:rsid w:val="00411CEF"/>
    <w:rsid w:val="0041398D"/>
    <w:rsid w:val="004161A7"/>
    <w:rsid w:val="004171B5"/>
    <w:rsid w:val="00417ABE"/>
    <w:rsid w:val="00417C57"/>
    <w:rsid w:val="00417CB0"/>
    <w:rsid w:val="00417F6C"/>
    <w:rsid w:val="004236F5"/>
    <w:rsid w:val="00423B84"/>
    <w:rsid w:val="004255F0"/>
    <w:rsid w:val="00426670"/>
    <w:rsid w:val="00427BBB"/>
    <w:rsid w:val="0043422F"/>
    <w:rsid w:val="0044263B"/>
    <w:rsid w:val="004428F2"/>
    <w:rsid w:val="00443C76"/>
    <w:rsid w:val="00444B39"/>
    <w:rsid w:val="00445337"/>
    <w:rsid w:val="004543BC"/>
    <w:rsid w:val="00457A7B"/>
    <w:rsid w:val="00461406"/>
    <w:rsid w:val="00462C71"/>
    <w:rsid w:val="00463A9B"/>
    <w:rsid w:val="00464A2D"/>
    <w:rsid w:val="00464C39"/>
    <w:rsid w:val="004651B6"/>
    <w:rsid w:val="00466358"/>
    <w:rsid w:val="0046709F"/>
    <w:rsid w:val="0046797B"/>
    <w:rsid w:val="00471A9A"/>
    <w:rsid w:val="00473337"/>
    <w:rsid w:val="00475757"/>
    <w:rsid w:val="00476A0D"/>
    <w:rsid w:val="00476D62"/>
    <w:rsid w:val="00477328"/>
    <w:rsid w:val="0048523B"/>
    <w:rsid w:val="00487574"/>
    <w:rsid w:val="00487C1D"/>
    <w:rsid w:val="00487F65"/>
    <w:rsid w:val="00490AB4"/>
    <w:rsid w:val="0049165B"/>
    <w:rsid w:val="004945E9"/>
    <w:rsid w:val="00494714"/>
    <w:rsid w:val="004A0366"/>
    <w:rsid w:val="004A218E"/>
    <w:rsid w:val="004A493C"/>
    <w:rsid w:val="004A4E2F"/>
    <w:rsid w:val="004A537C"/>
    <w:rsid w:val="004A6166"/>
    <w:rsid w:val="004B1329"/>
    <w:rsid w:val="004B45D5"/>
    <w:rsid w:val="004B644E"/>
    <w:rsid w:val="004B6BB7"/>
    <w:rsid w:val="004C102D"/>
    <w:rsid w:val="004C2BCC"/>
    <w:rsid w:val="004C544D"/>
    <w:rsid w:val="004C5DD0"/>
    <w:rsid w:val="004C62B9"/>
    <w:rsid w:val="004C668A"/>
    <w:rsid w:val="004C7F0C"/>
    <w:rsid w:val="004D03DF"/>
    <w:rsid w:val="004D0E8D"/>
    <w:rsid w:val="004D4AE0"/>
    <w:rsid w:val="004D679F"/>
    <w:rsid w:val="004D7A71"/>
    <w:rsid w:val="004E23A7"/>
    <w:rsid w:val="004E2B2F"/>
    <w:rsid w:val="004E53D0"/>
    <w:rsid w:val="004E603F"/>
    <w:rsid w:val="004E65B6"/>
    <w:rsid w:val="004F11E6"/>
    <w:rsid w:val="004F2A53"/>
    <w:rsid w:val="00500764"/>
    <w:rsid w:val="00501222"/>
    <w:rsid w:val="00502CD5"/>
    <w:rsid w:val="005053EB"/>
    <w:rsid w:val="00505540"/>
    <w:rsid w:val="00505B70"/>
    <w:rsid w:val="00510320"/>
    <w:rsid w:val="005111EB"/>
    <w:rsid w:val="00511860"/>
    <w:rsid w:val="00512828"/>
    <w:rsid w:val="0051361E"/>
    <w:rsid w:val="005159DB"/>
    <w:rsid w:val="00520156"/>
    <w:rsid w:val="00521D0C"/>
    <w:rsid w:val="0052248C"/>
    <w:rsid w:val="00523022"/>
    <w:rsid w:val="00523970"/>
    <w:rsid w:val="00533C91"/>
    <w:rsid w:val="0053478E"/>
    <w:rsid w:val="0053640F"/>
    <w:rsid w:val="00541DB7"/>
    <w:rsid w:val="00544604"/>
    <w:rsid w:val="00545778"/>
    <w:rsid w:val="005500C5"/>
    <w:rsid w:val="005503D8"/>
    <w:rsid w:val="005516A4"/>
    <w:rsid w:val="00557902"/>
    <w:rsid w:val="0056087A"/>
    <w:rsid w:val="00560E97"/>
    <w:rsid w:val="0056210D"/>
    <w:rsid w:val="00562743"/>
    <w:rsid w:val="00562771"/>
    <w:rsid w:val="00562844"/>
    <w:rsid w:val="0056346E"/>
    <w:rsid w:val="00563CAE"/>
    <w:rsid w:val="0057016B"/>
    <w:rsid w:val="005724DB"/>
    <w:rsid w:val="00573ED7"/>
    <w:rsid w:val="005759C1"/>
    <w:rsid w:val="005771E6"/>
    <w:rsid w:val="005800FD"/>
    <w:rsid w:val="005841FC"/>
    <w:rsid w:val="00585D03"/>
    <w:rsid w:val="00585E7B"/>
    <w:rsid w:val="00587EA8"/>
    <w:rsid w:val="005904C7"/>
    <w:rsid w:val="0059069F"/>
    <w:rsid w:val="0059200C"/>
    <w:rsid w:val="0059212B"/>
    <w:rsid w:val="005937B2"/>
    <w:rsid w:val="00593E34"/>
    <w:rsid w:val="00593F75"/>
    <w:rsid w:val="0059641C"/>
    <w:rsid w:val="00596FE8"/>
    <w:rsid w:val="005A4022"/>
    <w:rsid w:val="005A78A0"/>
    <w:rsid w:val="005A7CD8"/>
    <w:rsid w:val="005B00B7"/>
    <w:rsid w:val="005B342A"/>
    <w:rsid w:val="005B5073"/>
    <w:rsid w:val="005B576C"/>
    <w:rsid w:val="005B6F4B"/>
    <w:rsid w:val="005B7E10"/>
    <w:rsid w:val="005C0521"/>
    <w:rsid w:val="005C1085"/>
    <w:rsid w:val="005C2C75"/>
    <w:rsid w:val="005C467D"/>
    <w:rsid w:val="005C7E74"/>
    <w:rsid w:val="005D04A8"/>
    <w:rsid w:val="005E15DA"/>
    <w:rsid w:val="005E244C"/>
    <w:rsid w:val="005E3DC6"/>
    <w:rsid w:val="005E4E3A"/>
    <w:rsid w:val="005E5CD4"/>
    <w:rsid w:val="005E5EDE"/>
    <w:rsid w:val="005F423E"/>
    <w:rsid w:val="005F59BC"/>
    <w:rsid w:val="005F7CB7"/>
    <w:rsid w:val="00600BEB"/>
    <w:rsid w:val="006018B7"/>
    <w:rsid w:val="0060313C"/>
    <w:rsid w:val="00603239"/>
    <w:rsid w:val="00607937"/>
    <w:rsid w:val="006149CA"/>
    <w:rsid w:val="00621B30"/>
    <w:rsid w:val="00625BAC"/>
    <w:rsid w:val="00627244"/>
    <w:rsid w:val="00627509"/>
    <w:rsid w:val="006276F9"/>
    <w:rsid w:val="00627BEA"/>
    <w:rsid w:val="0063136B"/>
    <w:rsid w:val="00631500"/>
    <w:rsid w:val="00632932"/>
    <w:rsid w:val="006366F3"/>
    <w:rsid w:val="00637395"/>
    <w:rsid w:val="00640CA6"/>
    <w:rsid w:val="00644B7D"/>
    <w:rsid w:val="00651543"/>
    <w:rsid w:val="0065452D"/>
    <w:rsid w:val="00661807"/>
    <w:rsid w:val="00661A3C"/>
    <w:rsid w:val="00662207"/>
    <w:rsid w:val="00666D25"/>
    <w:rsid w:val="00667084"/>
    <w:rsid w:val="00670A36"/>
    <w:rsid w:val="0067157E"/>
    <w:rsid w:val="00673851"/>
    <w:rsid w:val="0067568C"/>
    <w:rsid w:val="0068154F"/>
    <w:rsid w:val="006843B9"/>
    <w:rsid w:val="00684B98"/>
    <w:rsid w:val="006856D6"/>
    <w:rsid w:val="0068776D"/>
    <w:rsid w:val="00693DE8"/>
    <w:rsid w:val="00695402"/>
    <w:rsid w:val="00696BD9"/>
    <w:rsid w:val="006972CA"/>
    <w:rsid w:val="006A3A4E"/>
    <w:rsid w:val="006A7DB5"/>
    <w:rsid w:val="006B4726"/>
    <w:rsid w:val="006B48ED"/>
    <w:rsid w:val="006B5072"/>
    <w:rsid w:val="006B563D"/>
    <w:rsid w:val="006C4A52"/>
    <w:rsid w:val="006C630F"/>
    <w:rsid w:val="006C6373"/>
    <w:rsid w:val="006D0AD2"/>
    <w:rsid w:val="006D1B2A"/>
    <w:rsid w:val="006D2A1F"/>
    <w:rsid w:val="006D2CB6"/>
    <w:rsid w:val="006D55F2"/>
    <w:rsid w:val="006D611B"/>
    <w:rsid w:val="006E52D6"/>
    <w:rsid w:val="006E583F"/>
    <w:rsid w:val="006E7395"/>
    <w:rsid w:val="006F7D14"/>
    <w:rsid w:val="00700A3B"/>
    <w:rsid w:val="00702A67"/>
    <w:rsid w:val="00703FA0"/>
    <w:rsid w:val="00705461"/>
    <w:rsid w:val="00706F24"/>
    <w:rsid w:val="007128DF"/>
    <w:rsid w:val="00715D5C"/>
    <w:rsid w:val="00723F9C"/>
    <w:rsid w:val="00724665"/>
    <w:rsid w:val="00725E32"/>
    <w:rsid w:val="00727AE7"/>
    <w:rsid w:val="007317F7"/>
    <w:rsid w:val="0074377F"/>
    <w:rsid w:val="00745055"/>
    <w:rsid w:val="0074676F"/>
    <w:rsid w:val="00746F8F"/>
    <w:rsid w:val="00753F91"/>
    <w:rsid w:val="007568E4"/>
    <w:rsid w:val="00757AEB"/>
    <w:rsid w:val="00760B7E"/>
    <w:rsid w:val="00764652"/>
    <w:rsid w:val="0076623E"/>
    <w:rsid w:val="0076673B"/>
    <w:rsid w:val="00773425"/>
    <w:rsid w:val="0077599A"/>
    <w:rsid w:val="00776E29"/>
    <w:rsid w:val="00776E2C"/>
    <w:rsid w:val="00782377"/>
    <w:rsid w:val="007839B9"/>
    <w:rsid w:val="00787E62"/>
    <w:rsid w:val="007902D9"/>
    <w:rsid w:val="007907FE"/>
    <w:rsid w:val="00794BB5"/>
    <w:rsid w:val="0079518F"/>
    <w:rsid w:val="00797246"/>
    <w:rsid w:val="007973F5"/>
    <w:rsid w:val="007A1F2F"/>
    <w:rsid w:val="007A43B0"/>
    <w:rsid w:val="007A577C"/>
    <w:rsid w:val="007A7166"/>
    <w:rsid w:val="007B0409"/>
    <w:rsid w:val="007B0BB6"/>
    <w:rsid w:val="007B281C"/>
    <w:rsid w:val="007B5E90"/>
    <w:rsid w:val="007C2B55"/>
    <w:rsid w:val="007C4B8D"/>
    <w:rsid w:val="007C4C7E"/>
    <w:rsid w:val="007C4EFF"/>
    <w:rsid w:val="007C7FF1"/>
    <w:rsid w:val="007D1098"/>
    <w:rsid w:val="007D66E9"/>
    <w:rsid w:val="007D77E6"/>
    <w:rsid w:val="007E029D"/>
    <w:rsid w:val="007E51B1"/>
    <w:rsid w:val="007E7291"/>
    <w:rsid w:val="007E77B0"/>
    <w:rsid w:val="007F05EF"/>
    <w:rsid w:val="007F144A"/>
    <w:rsid w:val="007F31C7"/>
    <w:rsid w:val="007F35AC"/>
    <w:rsid w:val="007F4923"/>
    <w:rsid w:val="007F579B"/>
    <w:rsid w:val="00800CF3"/>
    <w:rsid w:val="00802596"/>
    <w:rsid w:val="008040CB"/>
    <w:rsid w:val="008055E1"/>
    <w:rsid w:val="00810114"/>
    <w:rsid w:val="0081113D"/>
    <w:rsid w:val="00811892"/>
    <w:rsid w:val="00814D6F"/>
    <w:rsid w:val="00815059"/>
    <w:rsid w:val="00817CD6"/>
    <w:rsid w:val="00823444"/>
    <w:rsid w:val="0082637A"/>
    <w:rsid w:val="00830B46"/>
    <w:rsid w:val="00831C09"/>
    <w:rsid w:val="00834892"/>
    <w:rsid w:val="00837906"/>
    <w:rsid w:val="00837B98"/>
    <w:rsid w:val="00837E53"/>
    <w:rsid w:val="008402BA"/>
    <w:rsid w:val="008445FB"/>
    <w:rsid w:val="00846FF2"/>
    <w:rsid w:val="00850462"/>
    <w:rsid w:val="008510C7"/>
    <w:rsid w:val="00852DD6"/>
    <w:rsid w:val="00853042"/>
    <w:rsid w:val="00860BA7"/>
    <w:rsid w:val="008626CA"/>
    <w:rsid w:val="00865515"/>
    <w:rsid w:val="008666B1"/>
    <w:rsid w:val="00866CF8"/>
    <w:rsid w:val="00866E6A"/>
    <w:rsid w:val="008677E6"/>
    <w:rsid w:val="00876528"/>
    <w:rsid w:val="00880A59"/>
    <w:rsid w:val="00880ACC"/>
    <w:rsid w:val="008826D4"/>
    <w:rsid w:val="0088335C"/>
    <w:rsid w:val="00885274"/>
    <w:rsid w:val="00885977"/>
    <w:rsid w:val="00890FE6"/>
    <w:rsid w:val="00891A4C"/>
    <w:rsid w:val="00892A48"/>
    <w:rsid w:val="00892B8D"/>
    <w:rsid w:val="00893EF1"/>
    <w:rsid w:val="008975BE"/>
    <w:rsid w:val="00897E6C"/>
    <w:rsid w:val="008A1A36"/>
    <w:rsid w:val="008A20C2"/>
    <w:rsid w:val="008A35DE"/>
    <w:rsid w:val="008A57F5"/>
    <w:rsid w:val="008A7086"/>
    <w:rsid w:val="008B29BE"/>
    <w:rsid w:val="008B32EF"/>
    <w:rsid w:val="008B4FC3"/>
    <w:rsid w:val="008B7FCB"/>
    <w:rsid w:val="008C3217"/>
    <w:rsid w:val="008C63E8"/>
    <w:rsid w:val="008D2CF9"/>
    <w:rsid w:val="008D3431"/>
    <w:rsid w:val="008D44F8"/>
    <w:rsid w:val="008E06FD"/>
    <w:rsid w:val="008E35C4"/>
    <w:rsid w:val="008E3643"/>
    <w:rsid w:val="008E4420"/>
    <w:rsid w:val="008E4845"/>
    <w:rsid w:val="008E73E6"/>
    <w:rsid w:val="008F2591"/>
    <w:rsid w:val="008F477A"/>
    <w:rsid w:val="009040DB"/>
    <w:rsid w:val="00904990"/>
    <w:rsid w:val="00904C24"/>
    <w:rsid w:val="00910A15"/>
    <w:rsid w:val="00912978"/>
    <w:rsid w:val="009133FB"/>
    <w:rsid w:val="0091370D"/>
    <w:rsid w:val="00913BBB"/>
    <w:rsid w:val="009153FF"/>
    <w:rsid w:val="00916B42"/>
    <w:rsid w:val="00925A9E"/>
    <w:rsid w:val="00927890"/>
    <w:rsid w:val="009308CD"/>
    <w:rsid w:val="009329A6"/>
    <w:rsid w:val="00936763"/>
    <w:rsid w:val="009370F5"/>
    <w:rsid w:val="00945AD8"/>
    <w:rsid w:val="00945C05"/>
    <w:rsid w:val="009479EF"/>
    <w:rsid w:val="00947C3D"/>
    <w:rsid w:val="009507AE"/>
    <w:rsid w:val="00954C4B"/>
    <w:rsid w:val="00955F9A"/>
    <w:rsid w:val="0095618B"/>
    <w:rsid w:val="00956735"/>
    <w:rsid w:val="00962150"/>
    <w:rsid w:val="009636EE"/>
    <w:rsid w:val="00977878"/>
    <w:rsid w:val="0097794E"/>
    <w:rsid w:val="0098047F"/>
    <w:rsid w:val="00980828"/>
    <w:rsid w:val="00982328"/>
    <w:rsid w:val="0098399B"/>
    <w:rsid w:val="00983D8C"/>
    <w:rsid w:val="009844C9"/>
    <w:rsid w:val="009875EF"/>
    <w:rsid w:val="0098783D"/>
    <w:rsid w:val="00990F05"/>
    <w:rsid w:val="00991CC0"/>
    <w:rsid w:val="009A0DBA"/>
    <w:rsid w:val="009A16F0"/>
    <w:rsid w:val="009A1E8A"/>
    <w:rsid w:val="009A5E56"/>
    <w:rsid w:val="009A60D1"/>
    <w:rsid w:val="009A7232"/>
    <w:rsid w:val="009B1C77"/>
    <w:rsid w:val="009B2788"/>
    <w:rsid w:val="009B28CA"/>
    <w:rsid w:val="009B37CE"/>
    <w:rsid w:val="009B54BB"/>
    <w:rsid w:val="009B6070"/>
    <w:rsid w:val="009B75E1"/>
    <w:rsid w:val="009B7DAD"/>
    <w:rsid w:val="009C4FF4"/>
    <w:rsid w:val="009C60A1"/>
    <w:rsid w:val="009C685D"/>
    <w:rsid w:val="009C767D"/>
    <w:rsid w:val="009D2A74"/>
    <w:rsid w:val="009D358A"/>
    <w:rsid w:val="009E0B1C"/>
    <w:rsid w:val="009E1D8C"/>
    <w:rsid w:val="009E237F"/>
    <w:rsid w:val="009E3144"/>
    <w:rsid w:val="009E403B"/>
    <w:rsid w:val="009E4B33"/>
    <w:rsid w:val="009E53AB"/>
    <w:rsid w:val="009E5473"/>
    <w:rsid w:val="009E5C5B"/>
    <w:rsid w:val="009E67A8"/>
    <w:rsid w:val="009E7389"/>
    <w:rsid w:val="009F2215"/>
    <w:rsid w:val="009F444E"/>
    <w:rsid w:val="009F6601"/>
    <w:rsid w:val="00A017C3"/>
    <w:rsid w:val="00A04E2C"/>
    <w:rsid w:val="00A07C1D"/>
    <w:rsid w:val="00A11D65"/>
    <w:rsid w:val="00A135B8"/>
    <w:rsid w:val="00A1487E"/>
    <w:rsid w:val="00A157A9"/>
    <w:rsid w:val="00A162A5"/>
    <w:rsid w:val="00A16745"/>
    <w:rsid w:val="00A1708E"/>
    <w:rsid w:val="00A203E0"/>
    <w:rsid w:val="00A2268D"/>
    <w:rsid w:val="00A233B7"/>
    <w:rsid w:val="00A24F86"/>
    <w:rsid w:val="00A268D1"/>
    <w:rsid w:val="00A26BA5"/>
    <w:rsid w:val="00A2734B"/>
    <w:rsid w:val="00A311EB"/>
    <w:rsid w:val="00A32279"/>
    <w:rsid w:val="00A33F99"/>
    <w:rsid w:val="00A353D0"/>
    <w:rsid w:val="00A35B13"/>
    <w:rsid w:val="00A36FEC"/>
    <w:rsid w:val="00A42B74"/>
    <w:rsid w:val="00A43129"/>
    <w:rsid w:val="00A45520"/>
    <w:rsid w:val="00A537A2"/>
    <w:rsid w:val="00A551C1"/>
    <w:rsid w:val="00A57E57"/>
    <w:rsid w:val="00A6653F"/>
    <w:rsid w:val="00A669BD"/>
    <w:rsid w:val="00A7130D"/>
    <w:rsid w:val="00A71EEC"/>
    <w:rsid w:val="00A72BEB"/>
    <w:rsid w:val="00A753ED"/>
    <w:rsid w:val="00A762A6"/>
    <w:rsid w:val="00A771B1"/>
    <w:rsid w:val="00A80465"/>
    <w:rsid w:val="00A804EA"/>
    <w:rsid w:val="00A804F6"/>
    <w:rsid w:val="00A84A89"/>
    <w:rsid w:val="00A862BD"/>
    <w:rsid w:val="00A8708A"/>
    <w:rsid w:val="00A90417"/>
    <w:rsid w:val="00A90689"/>
    <w:rsid w:val="00A9346B"/>
    <w:rsid w:val="00A94004"/>
    <w:rsid w:val="00A94D56"/>
    <w:rsid w:val="00A95C7D"/>
    <w:rsid w:val="00A97727"/>
    <w:rsid w:val="00A97CCA"/>
    <w:rsid w:val="00AA130A"/>
    <w:rsid w:val="00AA1325"/>
    <w:rsid w:val="00AA1375"/>
    <w:rsid w:val="00AA15A4"/>
    <w:rsid w:val="00AA5C34"/>
    <w:rsid w:val="00AB44D6"/>
    <w:rsid w:val="00AB57F5"/>
    <w:rsid w:val="00AB5D33"/>
    <w:rsid w:val="00AB65E7"/>
    <w:rsid w:val="00AB7E34"/>
    <w:rsid w:val="00AC1C25"/>
    <w:rsid w:val="00AC3A97"/>
    <w:rsid w:val="00AC664A"/>
    <w:rsid w:val="00AC7524"/>
    <w:rsid w:val="00AC7B01"/>
    <w:rsid w:val="00AD156F"/>
    <w:rsid w:val="00AD1986"/>
    <w:rsid w:val="00AD3372"/>
    <w:rsid w:val="00AD6BB2"/>
    <w:rsid w:val="00AE02B3"/>
    <w:rsid w:val="00AE0438"/>
    <w:rsid w:val="00AE0A3D"/>
    <w:rsid w:val="00AE3EB1"/>
    <w:rsid w:val="00AF0EB8"/>
    <w:rsid w:val="00AF177A"/>
    <w:rsid w:val="00AF26E8"/>
    <w:rsid w:val="00AF4701"/>
    <w:rsid w:val="00B04604"/>
    <w:rsid w:val="00B06262"/>
    <w:rsid w:val="00B06E8D"/>
    <w:rsid w:val="00B10833"/>
    <w:rsid w:val="00B127B8"/>
    <w:rsid w:val="00B16CCB"/>
    <w:rsid w:val="00B179A7"/>
    <w:rsid w:val="00B2728F"/>
    <w:rsid w:val="00B33F0E"/>
    <w:rsid w:val="00B3675A"/>
    <w:rsid w:val="00B405EA"/>
    <w:rsid w:val="00B415E9"/>
    <w:rsid w:val="00B42130"/>
    <w:rsid w:val="00B431BC"/>
    <w:rsid w:val="00B446F4"/>
    <w:rsid w:val="00B470A9"/>
    <w:rsid w:val="00B475D5"/>
    <w:rsid w:val="00B47C6B"/>
    <w:rsid w:val="00B50DFE"/>
    <w:rsid w:val="00B52B5D"/>
    <w:rsid w:val="00B52D82"/>
    <w:rsid w:val="00B541CD"/>
    <w:rsid w:val="00B60331"/>
    <w:rsid w:val="00B65AA1"/>
    <w:rsid w:val="00B66305"/>
    <w:rsid w:val="00B734C4"/>
    <w:rsid w:val="00B775F0"/>
    <w:rsid w:val="00B8002B"/>
    <w:rsid w:val="00B803D5"/>
    <w:rsid w:val="00B80480"/>
    <w:rsid w:val="00B81AFE"/>
    <w:rsid w:val="00B840AA"/>
    <w:rsid w:val="00B86F67"/>
    <w:rsid w:val="00B87DC1"/>
    <w:rsid w:val="00B91973"/>
    <w:rsid w:val="00B94B5E"/>
    <w:rsid w:val="00B963F1"/>
    <w:rsid w:val="00B96CD8"/>
    <w:rsid w:val="00B96EE0"/>
    <w:rsid w:val="00B97AEC"/>
    <w:rsid w:val="00BA3E10"/>
    <w:rsid w:val="00BA5905"/>
    <w:rsid w:val="00BA69D1"/>
    <w:rsid w:val="00BB0A4C"/>
    <w:rsid w:val="00BB4363"/>
    <w:rsid w:val="00BB50E8"/>
    <w:rsid w:val="00BC1A5A"/>
    <w:rsid w:val="00BC3022"/>
    <w:rsid w:val="00BC510D"/>
    <w:rsid w:val="00BC72AA"/>
    <w:rsid w:val="00BC72E9"/>
    <w:rsid w:val="00BD073F"/>
    <w:rsid w:val="00BD08C3"/>
    <w:rsid w:val="00BD1DF5"/>
    <w:rsid w:val="00BD2AEA"/>
    <w:rsid w:val="00BD60AF"/>
    <w:rsid w:val="00BE03DB"/>
    <w:rsid w:val="00BE1B34"/>
    <w:rsid w:val="00BE7362"/>
    <w:rsid w:val="00BF200B"/>
    <w:rsid w:val="00BF37B9"/>
    <w:rsid w:val="00BF3AA9"/>
    <w:rsid w:val="00BF58FC"/>
    <w:rsid w:val="00BF5C71"/>
    <w:rsid w:val="00BF6813"/>
    <w:rsid w:val="00BF6826"/>
    <w:rsid w:val="00C003FD"/>
    <w:rsid w:val="00C00798"/>
    <w:rsid w:val="00C02262"/>
    <w:rsid w:val="00C04284"/>
    <w:rsid w:val="00C04C8B"/>
    <w:rsid w:val="00C12F90"/>
    <w:rsid w:val="00C15399"/>
    <w:rsid w:val="00C17D06"/>
    <w:rsid w:val="00C23DF0"/>
    <w:rsid w:val="00C25EBB"/>
    <w:rsid w:val="00C27468"/>
    <w:rsid w:val="00C30C31"/>
    <w:rsid w:val="00C313C0"/>
    <w:rsid w:val="00C33699"/>
    <w:rsid w:val="00C36F14"/>
    <w:rsid w:val="00C42E4A"/>
    <w:rsid w:val="00C43AFF"/>
    <w:rsid w:val="00C43CFC"/>
    <w:rsid w:val="00C46A29"/>
    <w:rsid w:val="00C54FF4"/>
    <w:rsid w:val="00C62853"/>
    <w:rsid w:val="00C63842"/>
    <w:rsid w:val="00C64BE1"/>
    <w:rsid w:val="00C723C7"/>
    <w:rsid w:val="00C7453C"/>
    <w:rsid w:val="00C74C3A"/>
    <w:rsid w:val="00C76210"/>
    <w:rsid w:val="00C76D79"/>
    <w:rsid w:val="00C81613"/>
    <w:rsid w:val="00C83583"/>
    <w:rsid w:val="00C84AD7"/>
    <w:rsid w:val="00C873F5"/>
    <w:rsid w:val="00C944AD"/>
    <w:rsid w:val="00C967DB"/>
    <w:rsid w:val="00C96900"/>
    <w:rsid w:val="00CA4567"/>
    <w:rsid w:val="00CA4AC7"/>
    <w:rsid w:val="00CA5460"/>
    <w:rsid w:val="00CA6FA9"/>
    <w:rsid w:val="00CA73FA"/>
    <w:rsid w:val="00CB0BDF"/>
    <w:rsid w:val="00CB3200"/>
    <w:rsid w:val="00CB4698"/>
    <w:rsid w:val="00CB5251"/>
    <w:rsid w:val="00CB6D38"/>
    <w:rsid w:val="00CC2684"/>
    <w:rsid w:val="00CC4057"/>
    <w:rsid w:val="00CD39CA"/>
    <w:rsid w:val="00CD4498"/>
    <w:rsid w:val="00CD6497"/>
    <w:rsid w:val="00CD6D7B"/>
    <w:rsid w:val="00CE0214"/>
    <w:rsid w:val="00CE1BBE"/>
    <w:rsid w:val="00CE1D19"/>
    <w:rsid w:val="00CE2456"/>
    <w:rsid w:val="00CF24E0"/>
    <w:rsid w:val="00CF4F60"/>
    <w:rsid w:val="00D0083B"/>
    <w:rsid w:val="00D060FA"/>
    <w:rsid w:val="00D073A1"/>
    <w:rsid w:val="00D111E3"/>
    <w:rsid w:val="00D12352"/>
    <w:rsid w:val="00D16544"/>
    <w:rsid w:val="00D20117"/>
    <w:rsid w:val="00D206EE"/>
    <w:rsid w:val="00D20F89"/>
    <w:rsid w:val="00D21638"/>
    <w:rsid w:val="00D21EBB"/>
    <w:rsid w:val="00D22B81"/>
    <w:rsid w:val="00D22DCF"/>
    <w:rsid w:val="00D2314E"/>
    <w:rsid w:val="00D240F0"/>
    <w:rsid w:val="00D25222"/>
    <w:rsid w:val="00D279A9"/>
    <w:rsid w:val="00D31A8C"/>
    <w:rsid w:val="00D3396E"/>
    <w:rsid w:val="00D347CC"/>
    <w:rsid w:val="00D37F59"/>
    <w:rsid w:val="00D416B9"/>
    <w:rsid w:val="00D42782"/>
    <w:rsid w:val="00D42B51"/>
    <w:rsid w:val="00D45E27"/>
    <w:rsid w:val="00D45F60"/>
    <w:rsid w:val="00D46895"/>
    <w:rsid w:val="00D511B8"/>
    <w:rsid w:val="00D5379F"/>
    <w:rsid w:val="00D55B83"/>
    <w:rsid w:val="00D560AB"/>
    <w:rsid w:val="00D56CDE"/>
    <w:rsid w:val="00D60C63"/>
    <w:rsid w:val="00D60ED9"/>
    <w:rsid w:val="00D6514E"/>
    <w:rsid w:val="00D657AB"/>
    <w:rsid w:val="00D711F1"/>
    <w:rsid w:val="00D7197C"/>
    <w:rsid w:val="00D734F4"/>
    <w:rsid w:val="00D75A6E"/>
    <w:rsid w:val="00D809A2"/>
    <w:rsid w:val="00D80BE4"/>
    <w:rsid w:val="00D82AB8"/>
    <w:rsid w:val="00D8604E"/>
    <w:rsid w:val="00D8771E"/>
    <w:rsid w:val="00D87D04"/>
    <w:rsid w:val="00D93F13"/>
    <w:rsid w:val="00D96E1A"/>
    <w:rsid w:val="00D96E37"/>
    <w:rsid w:val="00D97D84"/>
    <w:rsid w:val="00DA0680"/>
    <w:rsid w:val="00DA0BE5"/>
    <w:rsid w:val="00DA16F3"/>
    <w:rsid w:val="00DA1767"/>
    <w:rsid w:val="00DA2A78"/>
    <w:rsid w:val="00DA3D37"/>
    <w:rsid w:val="00DA5B39"/>
    <w:rsid w:val="00DA7847"/>
    <w:rsid w:val="00DB0541"/>
    <w:rsid w:val="00DB3A8E"/>
    <w:rsid w:val="00DB5698"/>
    <w:rsid w:val="00DB573D"/>
    <w:rsid w:val="00DB78CE"/>
    <w:rsid w:val="00DC15B3"/>
    <w:rsid w:val="00DC4F8E"/>
    <w:rsid w:val="00DC7586"/>
    <w:rsid w:val="00DD12C0"/>
    <w:rsid w:val="00DD1F5A"/>
    <w:rsid w:val="00DD25E4"/>
    <w:rsid w:val="00DD304B"/>
    <w:rsid w:val="00DD3AC6"/>
    <w:rsid w:val="00DD5A6E"/>
    <w:rsid w:val="00DD67B1"/>
    <w:rsid w:val="00DD6A5D"/>
    <w:rsid w:val="00DD7C1F"/>
    <w:rsid w:val="00DE2F9F"/>
    <w:rsid w:val="00DE3B0A"/>
    <w:rsid w:val="00DE431F"/>
    <w:rsid w:val="00DE44A9"/>
    <w:rsid w:val="00DE5160"/>
    <w:rsid w:val="00DE7987"/>
    <w:rsid w:val="00DF4271"/>
    <w:rsid w:val="00DF4D06"/>
    <w:rsid w:val="00DF5145"/>
    <w:rsid w:val="00DF7465"/>
    <w:rsid w:val="00E01148"/>
    <w:rsid w:val="00E02D91"/>
    <w:rsid w:val="00E03293"/>
    <w:rsid w:val="00E034EC"/>
    <w:rsid w:val="00E039B5"/>
    <w:rsid w:val="00E1355B"/>
    <w:rsid w:val="00E152CC"/>
    <w:rsid w:val="00E17B34"/>
    <w:rsid w:val="00E21C2E"/>
    <w:rsid w:val="00E22900"/>
    <w:rsid w:val="00E230D1"/>
    <w:rsid w:val="00E32AFC"/>
    <w:rsid w:val="00E32E19"/>
    <w:rsid w:val="00E340E9"/>
    <w:rsid w:val="00E35EF2"/>
    <w:rsid w:val="00E37334"/>
    <w:rsid w:val="00E422FF"/>
    <w:rsid w:val="00E42E84"/>
    <w:rsid w:val="00E4325C"/>
    <w:rsid w:val="00E469FA"/>
    <w:rsid w:val="00E47462"/>
    <w:rsid w:val="00E50161"/>
    <w:rsid w:val="00E52097"/>
    <w:rsid w:val="00E54036"/>
    <w:rsid w:val="00E569FB"/>
    <w:rsid w:val="00E57711"/>
    <w:rsid w:val="00E577EA"/>
    <w:rsid w:val="00E61307"/>
    <w:rsid w:val="00E61ABC"/>
    <w:rsid w:val="00E64DB7"/>
    <w:rsid w:val="00E654C2"/>
    <w:rsid w:val="00E65F8A"/>
    <w:rsid w:val="00E66C5F"/>
    <w:rsid w:val="00E67C94"/>
    <w:rsid w:val="00E71065"/>
    <w:rsid w:val="00E7405C"/>
    <w:rsid w:val="00E759EC"/>
    <w:rsid w:val="00E7613A"/>
    <w:rsid w:val="00E81B8C"/>
    <w:rsid w:val="00E861BF"/>
    <w:rsid w:val="00E91404"/>
    <w:rsid w:val="00E9378C"/>
    <w:rsid w:val="00EA1C5C"/>
    <w:rsid w:val="00EA2D83"/>
    <w:rsid w:val="00EA5381"/>
    <w:rsid w:val="00EA6D54"/>
    <w:rsid w:val="00EB1A67"/>
    <w:rsid w:val="00EB1C1B"/>
    <w:rsid w:val="00EB4E21"/>
    <w:rsid w:val="00EC1016"/>
    <w:rsid w:val="00EC17BE"/>
    <w:rsid w:val="00EC5143"/>
    <w:rsid w:val="00EC598A"/>
    <w:rsid w:val="00EC5B58"/>
    <w:rsid w:val="00ED2231"/>
    <w:rsid w:val="00ED3BE8"/>
    <w:rsid w:val="00ED3E3E"/>
    <w:rsid w:val="00ED4B2E"/>
    <w:rsid w:val="00ED5FF9"/>
    <w:rsid w:val="00ED640F"/>
    <w:rsid w:val="00ED6CB4"/>
    <w:rsid w:val="00ED7741"/>
    <w:rsid w:val="00EE492A"/>
    <w:rsid w:val="00EE4C99"/>
    <w:rsid w:val="00EE5515"/>
    <w:rsid w:val="00EE615E"/>
    <w:rsid w:val="00EE7016"/>
    <w:rsid w:val="00EE77E3"/>
    <w:rsid w:val="00EE7D28"/>
    <w:rsid w:val="00EE7F1F"/>
    <w:rsid w:val="00EF111D"/>
    <w:rsid w:val="00EF3716"/>
    <w:rsid w:val="00EF64C8"/>
    <w:rsid w:val="00EF6B00"/>
    <w:rsid w:val="00F01184"/>
    <w:rsid w:val="00F0181C"/>
    <w:rsid w:val="00F0273F"/>
    <w:rsid w:val="00F03097"/>
    <w:rsid w:val="00F104E9"/>
    <w:rsid w:val="00F10708"/>
    <w:rsid w:val="00F10B70"/>
    <w:rsid w:val="00F14AEA"/>
    <w:rsid w:val="00F17BCC"/>
    <w:rsid w:val="00F20833"/>
    <w:rsid w:val="00F21327"/>
    <w:rsid w:val="00F22B70"/>
    <w:rsid w:val="00F24034"/>
    <w:rsid w:val="00F31826"/>
    <w:rsid w:val="00F3668C"/>
    <w:rsid w:val="00F37D6F"/>
    <w:rsid w:val="00F42153"/>
    <w:rsid w:val="00F43931"/>
    <w:rsid w:val="00F44AA9"/>
    <w:rsid w:val="00F458BF"/>
    <w:rsid w:val="00F47185"/>
    <w:rsid w:val="00F50D30"/>
    <w:rsid w:val="00F52450"/>
    <w:rsid w:val="00F53AA8"/>
    <w:rsid w:val="00F5479D"/>
    <w:rsid w:val="00F54D75"/>
    <w:rsid w:val="00F57AED"/>
    <w:rsid w:val="00F606F3"/>
    <w:rsid w:val="00F61E71"/>
    <w:rsid w:val="00F628B8"/>
    <w:rsid w:val="00F6344F"/>
    <w:rsid w:val="00F63FAC"/>
    <w:rsid w:val="00F71676"/>
    <w:rsid w:val="00F72B18"/>
    <w:rsid w:val="00F748E6"/>
    <w:rsid w:val="00F75282"/>
    <w:rsid w:val="00F772C1"/>
    <w:rsid w:val="00F77B41"/>
    <w:rsid w:val="00F82455"/>
    <w:rsid w:val="00F842DC"/>
    <w:rsid w:val="00F844B8"/>
    <w:rsid w:val="00F87E60"/>
    <w:rsid w:val="00F931BC"/>
    <w:rsid w:val="00F9479C"/>
    <w:rsid w:val="00F94953"/>
    <w:rsid w:val="00F9551F"/>
    <w:rsid w:val="00F95722"/>
    <w:rsid w:val="00F958C9"/>
    <w:rsid w:val="00FA0B34"/>
    <w:rsid w:val="00FA1647"/>
    <w:rsid w:val="00FA2ACA"/>
    <w:rsid w:val="00FA7228"/>
    <w:rsid w:val="00FB163C"/>
    <w:rsid w:val="00FB4E30"/>
    <w:rsid w:val="00FB5F21"/>
    <w:rsid w:val="00FB6886"/>
    <w:rsid w:val="00FC1554"/>
    <w:rsid w:val="00FC2703"/>
    <w:rsid w:val="00FC397E"/>
    <w:rsid w:val="00FC79CA"/>
    <w:rsid w:val="00FC7A2F"/>
    <w:rsid w:val="00FD2CEA"/>
    <w:rsid w:val="00FD5D0C"/>
    <w:rsid w:val="00FE0C76"/>
    <w:rsid w:val="00FE0EAA"/>
    <w:rsid w:val="00FE2447"/>
    <w:rsid w:val="00FE3EA9"/>
    <w:rsid w:val="00FE6B35"/>
    <w:rsid w:val="00FE6DC2"/>
    <w:rsid w:val="00FE73AC"/>
    <w:rsid w:val="00FE7C79"/>
    <w:rsid w:val="00FF0A4E"/>
    <w:rsid w:val="00FF5361"/>
    <w:rsid w:val="1B124510"/>
    <w:rsid w:val="52CF4350"/>
    <w:rsid w:val="742E38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B7962B"/>
  <w15:docId w15:val="{49FD1259-4469-49F8-83B2-8B3E3DA4D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3">
    <w:name w:val="heading 3"/>
    <w:basedOn w:val="a"/>
    <w:next w:val="a"/>
    <w:link w:val="30"/>
    <w:uiPriority w:val="9"/>
    <w:semiHidden/>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pPr>
      <w:jc w:val="left"/>
    </w:pPr>
  </w:style>
  <w:style w:type="paragraph" w:styleId="a4">
    <w:name w:val="footer"/>
    <w:basedOn w:val="a"/>
    <w:link w:val="a5"/>
    <w:uiPriority w:val="99"/>
    <w:unhideWhenUsed/>
    <w:qFormat/>
    <w:pPr>
      <w:tabs>
        <w:tab w:val="center" w:pos="4153"/>
        <w:tab w:val="right" w:pos="8306"/>
      </w:tabs>
      <w:snapToGrid w:val="0"/>
      <w:jc w:val="left"/>
    </w:pPr>
    <w:rPr>
      <w:sz w:val="18"/>
      <w:szCs w:val="18"/>
    </w:rPr>
  </w:style>
  <w:style w:type="paragraph" w:styleId="a6">
    <w:name w:val="header"/>
    <w:basedOn w:val="a"/>
    <w:link w:val="a7"/>
    <w:uiPriority w:val="99"/>
    <w:unhideWhenUsed/>
    <w:qFormat/>
    <w:pPr>
      <w:tabs>
        <w:tab w:val="center" w:pos="4153"/>
        <w:tab w:val="right" w:pos="8306"/>
      </w:tabs>
      <w:snapToGrid w:val="0"/>
      <w:jc w:val="center"/>
    </w:pPr>
    <w:rPr>
      <w:sz w:val="18"/>
      <w:szCs w:val="18"/>
    </w:rPr>
  </w:style>
  <w:style w:type="character" w:styleId="a8">
    <w:name w:val="Hyperlink"/>
    <w:basedOn w:val="a0"/>
    <w:uiPriority w:val="99"/>
    <w:unhideWhenUsed/>
    <w:qFormat/>
    <w:rPr>
      <w:color w:val="467886" w:themeColor="hyperlink"/>
      <w:u w:val="single"/>
    </w:rPr>
  </w:style>
  <w:style w:type="character" w:customStyle="1" w:styleId="a7">
    <w:name w:val="页眉 字符"/>
    <w:basedOn w:val="a0"/>
    <w:link w:val="a6"/>
    <w:uiPriority w:val="99"/>
    <w:qFormat/>
    <w:rPr>
      <w:sz w:val="18"/>
      <w:szCs w:val="18"/>
    </w:rPr>
  </w:style>
  <w:style w:type="character" w:customStyle="1" w:styleId="a5">
    <w:name w:val="页脚 字符"/>
    <w:basedOn w:val="a0"/>
    <w:link w:val="a4"/>
    <w:uiPriority w:val="99"/>
    <w:qFormat/>
    <w:rPr>
      <w:sz w:val="18"/>
      <w:szCs w:val="18"/>
    </w:rPr>
  </w:style>
  <w:style w:type="paragraph" w:customStyle="1" w:styleId="Default">
    <w:name w:val="Default"/>
    <w:link w:val="Default0"/>
    <w:qFormat/>
    <w:pPr>
      <w:widowControl w:val="0"/>
      <w:autoSpaceDE w:val="0"/>
      <w:autoSpaceDN w:val="0"/>
      <w:adjustRightInd w:val="0"/>
    </w:pPr>
    <w:rPr>
      <w:rFonts w:ascii="ScalaLancetPro" w:eastAsia="ScalaLancetPro" w:cs="ScalaLancetPro"/>
      <w:color w:val="000000"/>
      <w:sz w:val="24"/>
      <w:szCs w:val="24"/>
    </w:rPr>
  </w:style>
  <w:style w:type="character" w:customStyle="1" w:styleId="Default0">
    <w:name w:val="Default 字符"/>
    <w:basedOn w:val="a0"/>
    <w:link w:val="Default"/>
    <w:qFormat/>
    <w:rPr>
      <w:rFonts w:ascii="ScalaLancetPro" w:eastAsia="ScalaLancetPro" w:cs="ScalaLancetPro"/>
      <w:color w:val="000000"/>
      <w:kern w:val="0"/>
      <w:sz w:val="24"/>
      <w:szCs w:val="24"/>
    </w:rPr>
  </w:style>
  <w:style w:type="paragraph" w:customStyle="1" w:styleId="EndNoteBibliographyTitle">
    <w:name w:val="EndNote Bibliography Title"/>
    <w:basedOn w:val="a"/>
    <w:link w:val="EndNoteBibliographyTitle0"/>
    <w:qFormat/>
    <w:pPr>
      <w:jc w:val="center"/>
    </w:pPr>
    <w:rPr>
      <w:rFonts w:ascii="等线" w:eastAsia="等线" w:hAnsi="等线"/>
      <w:sz w:val="20"/>
    </w:rPr>
  </w:style>
  <w:style w:type="character" w:customStyle="1" w:styleId="EndNoteBibliographyTitle0">
    <w:name w:val="EndNote Bibliography Title 字符"/>
    <w:basedOn w:val="a0"/>
    <w:link w:val="EndNoteBibliographyTitle"/>
    <w:qFormat/>
    <w:rPr>
      <w:rFonts w:ascii="等线" w:eastAsia="等线" w:hAnsi="等线"/>
      <w:kern w:val="2"/>
      <w:szCs w:val="22"/>
    </w:rPr>
  </w:style>
  <w:style w:type="paragraph" w:customStyle="1" w:styleId="EndNoteBibliography">
    <w:name w:val="EndNote Bibliography"/>
    <w:basedOn w:val="a"/>
    <w:link w:val="EndNoteBibliography0"/>
    <w:qFormat/>
    <w:rPr>
      <w:rFonts w:ascii="等线" w:eastAsia="等线" w:hAnsi="等线"/>
      <w:sz w:val="20"/>
    </w:rPr>
  </w:style>
  <w:style w:type="character" w:customStyle="1" w:styleId="EndNoteBibliography0">
    <w:name w:val="EndNote Bibliography 字符"/>
    <w:basedOn w:val="a0"/>
    <w:link w:val="EndNoteBibliography"/>
    <w:qFormat/>
    <w:rPr>
      <w:rFonts w:ascii="等线" w:eastAsia="等线" w:hAnsi="等线"/>
      <w:kern w:val="2"/>
      <w:szCs w:val="22"/>
    </w:rPr>
  </w:style>
  <w:style w:type="character" w:customStyle="1" w:styleId="30">
    <w:name w:val="标题 3 字符"/>
    <w:basedOn w:val="a0"/>
    <w:link w:val="3"/>
    <w:uiPriority w:val="9"/>
    <w:semiHidden/>
    <w:qFormat/>
    <w:rPr>
      <w:b/>
      <w:bCs/>
      <w:sz w:val="32"/>
      <w:szCs w:val="32"/>
    </w:rPr>
  </w:style>
  <w:style w:type="character" w:styleId="a9">
    <w:name w:val="annotation reference"/>
    <w:basedOn w:val="a0"/>
    <w:uiPriority w:val="99"/>
    <w:semiHidden/>
    <w:unhideWhenUsed/>
    <w:rPr>
      <w:sz w:val="21"/>
      <w:szCs w:val="21"/>
    </w:rPr>
  </w:style>
  <w:style w:type="paragraph" w:styleId="aa">
    <w:name w:val="Revision"/>
    <w:hidden/>
    <w:uiPriority w:val="99"/>
    <w:unhideWhenUsed/>
    <w:rsid w:val="003A320B"/>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hyperlink" Target="mailto:song.zhenju@zs-hospital.sh.cn" TargetMode="Externa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E5FEC1-6F10-4409-97AC-FD27CAA91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291</TotalTime>
  <Pages>39</Pages>
  <Words>11820</Words>
  <Characters>67377</Characters>
  <Application>Microsoft Office Word</Application>
  <DocSecurity>0</DocSecurity>
  <Lines>561</Lines>
  <Paragraphs>158</Paragraphs>
  <ScaleCrop>false</ScaleCrop>
  <Company/>
  <LinksUpToDate>false</LinksUpToDate>
  <CharactersWithSpaces>79039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mengna lin</dc:creator>
  <cp:lastModifiedBy>mengna lin</cp:lastModifiedBy>
  <cp:revision>337</cp:revision>
  <dcterms:created xsi:type="dcterms:W3CDTF">2026-09-27T13:00:00Z</dcterms:created>
  <dcterms:modified xsi:type="dcterms:W3CDTF">2026-10-06T06:57:00Z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eyJoZGlkIjoiZDM0MTZjYWMwMmI3OTQxMGE4MzdhZDkxYzRmNGRhZjciLCJ1c2VySWQiOiI0NTcyNDYxMjYifQ==</vt:lpwstr>
  </property>
  <property fmtid="{D5CDD505-2E9C-101B-9397-08002B2CF9AE}" pid="3" name="KSOProductBuildVer">
    <vt:lpwstr>2052-12.1.0.28505</vt:lpwstr>
  </property>
  <property fmtid="{D5CDD505-2E9C-101B-9397-08002B2CF9AE}" pid="4" name="ICV">
    <vt:lpwstr>9E4BDB2D40F240419D8E98E31F0C9C0B_12</vt:lpwstr>
  </property>
</Properties>
</file>