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480"/>
        <w:rPr/>
      </w:pPr>
      <w:r>
        <w:rPr>
          <w:b/>
          <w:sz w:val="32"/>
        </w:rPr>
        <w:t>Supplementary Material</w:t>
      </w:r>
    </w:p>
    <w:p>
      <w:pPr>
        <w:pStyle w:val="Normal"/>
        <w:spacing w:lineRule="auto" w:line="480"/>
        <w:rPr/>
      </w:pPr>
      <w:r>
        <w:rPr>
          <w:sz w:val="24"/>
        </w:rPr>
        <w:t>Stress hyperglycemia identifies a high-mortality phenotype within lower triglyceride-glucose levels in critically ill adults: a MIMIC-IV landmark cohort study</w:t>
      </w:r>
    </w:p>
    <w:p>
      <w:pPr>
        <w:pStyle w:val="Normal"/>
        <w:spacing w:lineRule="auto" w:line="480"/>
        <w:rPr/>
      </w:pPr>
      <w:r>
        <w:rPr/>
      </w:r>
    </w:p>
    <w:p>
      <w:pPr>
        <w:pStyle w:val="Normal"/>
        <w:spacing w:lineRule="auto" w:line="480"/>
        <w:rPr/>
      </w:pPr>
      <w:r>
        <w:rPr>
          <w:sz w:val="24"/>
        </w:rPr>
        <w:t>Contents: Supplementary Tables S1–S2; Supplementary Figures S1–S4; STROBE checklist (provided separately).</w:t>
      </w:r>
    </w:p>
    <w:p>
      <w:pPr>
        <w:pStyle w:val="Heading2"/>
        <w:rPr/>
      </w:pPr>
      <w:r>
        <w:rPr>
          <w:rFonts w:ascii="Times New Roman" w:hAnsi="Times New Roman"/>
          <w:color w:val="000000"/>
          <w:sz w:val="24"/>
        </w:rPr>
        <w:t>Supplementary Table S1. Full baseline including body-mass index and lactate, by TyG–SHR group (N=3,877)</w:t>
      </w:r>
    </w:p>
    <w:tbl>
      <w:tblPr>
        <w:tblStyle w:val="TableGrid"/>
        <w:tblW w:w="936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560"/>
        <w:gridCol w:w="1559"/>
        <w:gridCol w:w="1561"/>
        <w:gridCol w:w="1560"/>
        <w:gridCol w:w="1559"/>
        <w:gridCol w:w="1561"/>
      </w:tblGrid>
      <w:tr>
        <w:trPr/>
        <w:tc>
          <w:tcPr>
            <w:tcW w:w="1560" w:type="dxa"/>
            <w:tcBorders>
              <w:top w:val="single" w:sz="12" w:space="0" w:color="000000"/>
              <w:left w:val="nil"/>
              <w:bottom w:val="single" w:sz="8" w:space="0" w:color="000000"/>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b/>
                <w:kern w:val="0"/>
                <w:sz w:val="18"/>
                <w:szCs w:val="22"/>
                <w:lang w:val="en-US" w:eastAsia="en-US" w:bidi="ar-SA"/>
              </w:rPr>
              <w:t>Characteristic</w:t>
            </w:r>
          </w:p>
        </w:tc>
        <w:tc>
          <w:tcPr>
            <w:tcW w:w="1559" w:type="dxa"/>
            <w:tcBorders>
              <w:top w:val="single" w:sz="12" w:space="0" w:color="000000"/>
              <w:left w:val="nil"/>
              <w:bottom w:val="single" w:sz="8" w:space="0" w:color="000000"/>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b/>
                <w:kern w:val="0"/>
                <w:sz w:val="18"/>
                <w:szCs w:val="22"/>
                <w:lang w:val="en-US" w:eastAsia="en-US" w:bidi="ar-SA"/>
              </w:rPr>
              <w:t>Overall</w:t>
            </w:r>
          </w:p>
        </w:tc>
        <w:tc>
          <w:tcPr>
            <w:tcW w:w="1561" w:type="dxa"/>
            <w:tcBorders>
              <w:top w:val="single" w:sz="12" w:space="0" w:color="000000"/>
              <w:left w:val="nil"/>
              <w:bottom w:val="single" w:sz="8" w:space="0" w:color="000000"/>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b/>
                <w:kern w:val="0"/>
                <w:sz w:val="18"/>
                <w:szCs w:val="22"/>
                <w:lang w:val="en-US" w:eastAsia="en-US" w:bidi="ar-SA"/>
              </w:rPr>
              <w:t>low TyG/low SHR</w:t>
            </w:r>
          </w:p>
        </w:tc>
        <w:tc>
          <w:tcPr>
            <w:tcW w:w="1560" w:type="dxa"/>
            <w:tcBorders>
              <w:top w:val="single" w:sz="12" w:space="0" w:color="000000"/>
              <w:left w:val="nil"/>
              <w:bottom w:val="single" w:sz="8" w:space="0" w:color="000000"/>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b/>
                <w:kern w:val="0"/>
                <w:sz w:val="18"/>
                <w:szCs w:val="22"/>
                <w:lang w:val="en-US" w:eastAsia="en-US" w:bidi="ar-SA"/>
              </w:rPr>
              <w:t>low TyG/high SHR</w:t>
            </w:r>
          </w:p>
        </w:tc>
        <w:tc>
          <w:tcPr>
            <w:tcW w:w="1559" w:type="dxa"/>
            <w:tcBorders>
              <w:top w:val="single" w:sz="12" w:space="0" w:color="000000"/>
              <w:left w:val="nil"/>
              <w:bottom w:val="single" w:sz="8" w:space="0" w:color="000000"/>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b/>
                <w:kern w:val="0"/>
                <w:sz w:val="18"/>
                <w:szCs w:val="22"/>
                <w:lang w:val="en-US" w:eastAsia="en-US" w:bidi="ar-SA"/>
              </w:rPr>
              <w:t>high TyG/low SHR</w:t>
            </w:r>
          </w:p>
        </w:tc>
        <w:tc>
          <w:tcPr>
            <w:tcW w:w="1561" w:type="dxa"/>
            <w:tcBorders>
              <w:top w:val="single" w:sz="12" w:space="0" w:color="000000"/>
              <w:left w:val="nil"/>
              <w:bottom w:val="single" w:sz="8" w:space="0" w:color="000000"/>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b/>
                <w:kern w:val="0"/>
                <w:sz w:val="18"/>
                <w:szCs w:val="22"/>
                <w:lang w:val="en-US" w:eastAsia="en-US" w:bidi="ar-SA"/>
              </w:rPr>
              <w:t>high TyG/high SHR</w:t>
            </w:r>
          </w:p>
        </w:tc>
      </w:tr>
      <w:tr>
        <w:trPr/>
        <w:tc>
          <w:tcPr>
            <w:tcW w:w="156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n</w:t>
            </w:r>
          </w:p>
        </w:tc>
        <w:tc>
          <w:tcPr>
            <w:tcW w:w="1559"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3,877</w:t>
            </w:r>
          </w:p>
        </w:tc>
        <w:tc>
          <w:tcPr>
            <w:tcW w:w="1561"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1,210</w:t>
            </w:r>
          </w:p>
        </w:tc>
        <w:tc>
          <w:tcPr>
            <w:tcW w:w="156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728</w:t>
            </w:r>
          </w:p>
        </w:tc>
        <w:tc>
          <w:tcPr>
            <w:tcW w:w="1559"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728</w:t>
            </w:r>
          </w:p>
        </w:tc>
        <w:tc>
          <w:tcPr>
            <w:tcW w:w="1561"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1,211</w:t>
            </w:r>
          </w:p>
        </w:tc>
      </w:tr>
      <w:tr>
        <w:trPr/>
        <w:tc>
          <w:tcPr>
            <w:tcW w:w="156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Body-mass index, kg/m² †</w:t>
            </w:r>
          </w:p>
        </w:tc>
        <w:tc>
          <w:tcPr>
            <w:tcW w:w="1559"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28.0 [24.6–32.3]</w:t>
            </w:r>
          </w:p>
        </w:tc>
        <w:tc>
          <w:tcPr>
            <w:tcW w:w="1561"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27.2 [23.9–30.7]</w:t>
            </w:r>
          </w:p>
        </w:tc>
        <w:tc>
          <w:tcPr>
            <w:tcW w:w="156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26.3 [23.3–29.8]</w:t>
            </w:r>
          </w:p>
        </w:tc>
        <w:tc>
          <w:tcPr>
            <w:tcW w:w="1559"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28.8 [25.8–33.5]</w:t>
            </w:r>
          </w:p>
        </w:tc>
        <w:tc>
          <w:tcPr>
            <w:tcW w:w="1561"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29.4 [25.5–34.0]</w:t>
            </w:r>
          </w:p>
        </w:tc>
      </w:tr>
      <w:tr>
        <w:trPr/>
        <w:tc>
          <w:tcPr>
            <w:tcW w:w="156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Lactate, peak, mmol/L ‡</w:t>
            </w:r>
          </w:p>
        </w:tc>
        <w:tc>
          <w:tcPr>
            <w:tcW w:w="1559"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1.8 [1.3–2.8]</w:t>
            </w:r>
          </w:p>
        </w:tc>
        <w:tc>
          <w:tcPr>
            <w:tcW w:w="1561"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1.6 [1.1–2.2]</w:t>
            </w:r>
          </w:p>
        </w:tc>
        <w:tc>
          <w:tcPr>
            <w:tcW w:w="156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1.9 [1.3–2.6]</w:t>
            </w:r>
          </w:p>
        </w:tc>
        <w:tc>
          <w:tcPr>
            <w:tcW w:w="1559"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1.5 [1.2–2.3]</w:t>
            </w:r>
          </w:p>
        </w:tc>
        <w:tc>
          <w:tcPr>
            <w:tcW w:w="1561"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2.2 [1.5–3.4]</w:t>
            </w:r>
          </w:p>
        </w:tc>
      </w:tr>
      <w:tr>
        <w:trPr/>
        <w:tc>
          <w:tcPr>
            <w:tcW w:w="156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Age, y</w:t>
            </w:r>
          </w:p>
        </w:tc>
        <w:tc>
          <w:tcPr>
            <w:tcW w:w="1559"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68.5±15.3</w:t>
            </w:r>
          </w:p>
        </w:tc>
        <w:tc>
          <w:tcPr>
            <w:tcW w:w="1561"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71.3±15.6</w:t>
            </w:r>
          </w:p>
        </w:tc>
        <w:tc>
          <w:tcPr>
            <w:tcW w:w="156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69.8±15.7</w:t>
            </w:r>
          </w:p>
        </w:tc>
        <w:tc>
          <w:tcPr>
            <w:tcW w:w="1559"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65.3±15.2</w:t>
            </w:r>
          </w:p>
        </w:tc>
        <w:tc>
          <w:tcPr>
            <w:tcW w:w="1561"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66.9±14.4</w:t>
            </w:r>
          </w:p>
        </w:tc>
      </w:tr>
      <w:tr>
        <w:trPr/>
        <w:tc>
          <w:tcPr>
            <w:tcW w:w="156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Male, n (%)</w:t>
            </w:r>
          </w:p>
        </w:tc>
        <w:tc>
          <w:tcPr>
            <w:tcW w:w="1559"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2145 (55.3)</w:t>
            </w:r>
          </w:p>
        </w:tc>
        <w:tc>
          <w:tcPr>
            <w:tcW w:w="1561"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644 (53.2)</w:t>
            </w:r>
          </w:p>
        </w:tc>
        <w:tc>
          <w:tcPr>
            <w:tcW w:w="156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398 (54.7)</w:t>
            </w:r>
          </w:p>
        </w:tc>
        <w:tc>
          <w:tcPr>
            <w:tcW w:w="1559"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421 (57.8)</w:t>
            </w:r>
          </w:p>
        </w:tc>
        <w:tc>
          <w:tcPr>
            <w:tcW w:w="1561"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682 (56.3)</w:t>
            </w:r>
          </w:p>
        </w:tc>
      </w:tr>
      <w:tr>
        <w:trPr/>
        <w:tc>
          <w:tcPr>
            <w:tcW w:w="156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SAPS-II</w:t>
            </w:r>
          </w:p>
        </w:tc>
        <w:tc>
          <w:tcPr>
            <w:tcW w:w="1559"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31.6±11.9</w:t>
            </w:r>
          </w:p>
        </w:tc>
        <w:tc>
          <w:tcPr>
            <w:tcW w:w="1561"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30.9±11.0</w:t>
            </w:r>
          </w:p>
        </w:tc>
        <w:tc>
          <w:tcPr>
            <w:tcW w:w="156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32.1±11.0</w:t>
            </w:r>
          </w:p>
        </w:tc>
        <w:tc>
          <w:tcPr>
            <w:tcW w:w="1559"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28.6±11.1</w:t>
            </w:r>
          </w:p>
        </w:tc>
        <w:tc>
          <w:tcPr>
            <w:tcW w:w="1561"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33.9±13.3</w:t>
            </w:r>
          </w:p>
        </w:tc>
      </w:tr>
      <w:tr>
        <w:trPr/>
        <w:tc>
          <w:tcPr>
            <w:tcW w:w="156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SOFA</w:t>
            </w:r>
          </w:p>
        </w:tc>
        <w:tc>
          <w:tcPr>
            <w:tcW w:w="1559"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3.1±2.7</w:t>
            </w:r>
          </w:p>
        </w:tc>
        <w:tc>
          <w:tcPr>
            <w:tcW w:w="1561"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2.7±2.3</w:t>
            </w:r>
          </w:p>
        </w:tc>
        <w:tc>
          <w:tcPr>
            <w:tcW w:w="156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3.2±2.5</w:t>
            </w:r>
          </w:p>
        </w:tc>
        <w:tc>
          <w:tcPr>
            <w:tcW w:w="1559"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2.6±2.3</w:t>
            </w:r>
          </w:p>
        </w:tc>
        <w:tc>
          <w:tcPr>
            <w:tcW w:w="1561"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3.8±3.2</w:t>
            </w:r>
          </w:p>
        </w:tc>
      </w:tr>
      <w:tr>
        <w:trPr/>
        <w:tc>
          <w:tcPr>
            <w:tcW w:w="156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Index glucose, mg/dL</w:t>
            </w:r>
          </w:p>
        </w:tc>
        <w:tc>
          <w:tcPr>
            <w:tcW w:w="1559"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151.4±87.5</w:t>
            </w:r>
          </w:p>
        </w:tc>
        <w:tc>
          <w:tcPr>
            <w:tcW w:w="1561"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103.1±20.5</w:t>
            </w:r>
          </w:p>
        </w:tc>
        <w:tc>
          <w:tcPr>
            <w:tcW w:w="156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139.4±31.0</w:t>
            </w:r>
          </w:p>
        </w:tc>
        <w:tc>
          <w:tcPr>
            <w:tcW w:w="1559"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133.1±47.6</w:t>
            </w:r>
          </w:p>
        </w:tc>
        <w:tc>
          <w:tcPr>
            <w:tcW w:w="1561"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217.7±123.0</w:t>
            </w:r>
          </w:p>
        </w:tc>
      </w:tr>
      <w:tr>
        <w:trPr/>
        <w:tc>
          <w:tcPr>
            <w:tcW w:w="156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HbA1c, %</w:t>
            </w:r>
          </w:p>
        </w:tc>
        <w:tc>
          <w:tcPr>
            <w:tcW w:w="1559"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6.3±1.7</w:t>
            </w:r>
          </w:p>
        </w:tc>
        <w:tc>
          <w:tcPr>
            <w:tcW w:w="1561"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5.9±0.9</w:t>
            </w:r>
          </w:p>
        </w:tc>
        <w:tc>
          <w:tcPr>
            <w:tcW w:w="156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5.5±0.6</w:t>
            </w:r>
          </w:p>
        </w:tc>
        <w:tc>
          <w:tcPr>
            <w:tcW w:w="1559"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7.1±2.2</w:t>
            </w:r>
          </w:p>
        </w:tc>
        <w:tc>
          <w:tcPr>
            <w:tcW w:w="1561"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6.7±2.0</w:t>
            </w:r>
          </w:p>
        </w:tc>
      </w:tr>
      <w:tr>
        <w:trPr/>
        <w:tc>
          <w:tcPr>
            <w:tcW w:w="156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Diabetes, n (%)</w:t>
            </w:r>
          </w:p>
        </w:tc>
        <w:tc>
          <w:tcPr>
            <w:tcW w:w="1559"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1214 (31.3)</w:t>
            </w:r>
          </w:p>
        </w:tc>
        <w:tc>
          <w:tcPr>
            <w:tcW w:w="1561"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225 (18.6)</w:t>
            </w:r>
          </w:p>
        </w:tc>
        <w:tc>
          <w:tcPr>
            <w:tcW w:w="156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79 (10.9)</w:t>
            </w:r>
          </w:p>
        </w:tc>
        <w:tc>
          <w:tcPr>
            <w:tcW w:w="1559"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338 (46.4)</w:t>
            </w:r>
          </w:p>
        </w:tc>
        <w:tc>
          <w:tcPr>
            <w:tcW w:w="1561"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572 (47.2)</w:t>
            </w:r>
          </w:p>
        </w:tc>
      </w:tr>
      <w:tr>
        <w:trPr/>
        <w:tc>
          <w:tcPr>
            <w:tcW w:w="1560" w:type="dxa"/>
            <w:tcBorders>
              <w:top w:val="nil"/>
              <w:left w:val="nil"/>
              <w:bottom w:val="single" w:sz="12" w:space="0" w:color="000000"/>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28-day death, n (%)</w:t>
            </w:r>
          </w:p>
        </w:tc>
        <w:tc>
          <w:tcPr>
            <w:tcW w:w="1559" w:type="dxa"/>
            <w:tcBorders>
              <w:top w:val="nil"/>
              <w:left w:val="nil"/>
              <w:bottom w:val="single" w:sz="12" w:space="0" w:color="000000"/>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557 (14.4)</w:t>
            </w:r>
          </w:p>
        </w:tc>
        <w:tc>
          <w:tcPr>
            <w:tcW w:w="1561" w:type="dxa"/>
            <w:tcBorders>
              <w:top w:val="nil"/>
              <w:left w:val="nil"/>
              <w:bottom w:val="single" w:sz="12" w:space="0" w:color="000000"/>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136 (11.2)</w:t>
            </w:r>
          </w:p>
        </w:tc>
        <w:tc>
          <w:tcPr>
            <w:tcW w:w="1560" w:type="dxa"/>
            <w:tcBorders>
              <w:top w:val="nil"/>
              <w:left w:val="nil"/>
              <w:bottom w:val="single" w:sz="12" w:space="0" w:color="000000"/>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131 (18.0)</w:t>
            </w:r>
          </w:p>
        </w:tc>
        <w:tc>
          <w:tcPr>
            <w:tcW w:w="1559" w:type="dxa"/>
            <w:tcBorders>
              <w:top w:val="nil"/>
              <w:left w:val="nil"/>
              <w:bottom w:val="single" w:sz="12" w:space="0" w:color="000000"/>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61 (8.4)</w:t>
            </w:r>
          </w:p>
        </w:tc>
        <w:tc>
          <w:tcPr>
            <w:tcW w:w="1561" w:type="dxa"/>
            <w:tcBorders>
              <w:top w:val="nil"/>
              <w:left w:val="nil"/>
              <w:bottom w:val="single" w:sz="12" w:space="0" w:color="000000"/>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229 (18.9)</w:t>
            </w:r>
          </w:p>
        </w:tc>
      </w:tr>
    </w:tbl>
    <w:p>
      <w:pPr>
        <w:pStyle w:val="Normal"/>
        <w:spacing w:lineRule="auto" w:line="240"/>
        <w:rPr/>
      </w:pPr>
      <w:r>
        <w:rPr>
          <w:i/>
          <w:sz w:val="20"/>
        </w:rPr>
        <w:t>Median [IQR] or mean±SD. † Body-mass index was missing in 58% and was not used in primary adjustment; it was imputed only in the multiple-imputation sensitivity analysis. ‡ Lactate (peak within 24 h) was missing in 69% and was likewise reserved for the multiple-imputation analysis. High and low denote position relative to the cohort median (TyG 8.814; SHR 1.050).</w:t>
      </w:r>
    </w:p>
    <w:p>
      <w:pPr>
        <w:pStyle w:val="Heading2"/>
        <w:rPr/>
      </w:pPr>
      <w:r>
        <w:rPr>
          <w:rFonts w:ascii="Times New Roman" w:hAnsi="Times New Roman"/>
          <w:color w:val="000000"/>
          <w:sz w:val="24"/>
        </w:rPr>
        <w:t>Supplementary Table S2. Prespecification status of each analysis</w:t>
      </w:r>
    </w:p>
    <w:tbl>
      <w:tblPr>
        <w:tblStyle w:val="TableGrid"/>
        <w:tblW w:w="936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40"/>
        <w:gridCol w:w="2340"/>
        <w:gridCol w:w="2340"/>
        <w:gridCol w:w="2340"/>
      </w:tblGrid>
      <w:tr>
        <w:trPr/>
        <w:tc>
          <w:tcPr>
            <w:tcW w:w="2340" w:type="dxa"/>
            <w:tcBorders>
              <w:top w:val="single" w:sz="12" w:space="0" w:color="000000"/>
              <w:left w:val="nil"/>
              <w:bottom w:val="single" w:sz="8" w:space="0" w:color="000000"/>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b/>
                <w:kern w:val="0"/>
                <w:sz w:val="18"/>
                <w:szCs w:val="22"/>
                <w:lang w:val="en-US" w:eastAsia="en-US" w:bidi="ar-SA"/>
              </w:rPr>
              <w:t>Analysis</w:t>
            </w:r>
          </w:p>
        </w:tc>
        <w:tc>
          <w:tcPr>
            <w:tcW w:w="2340" w:type="dxa"/>
            <w:tcBorders>
              <w:top w:val="single" w:sz="12" w:space="0" w:color="000000"/>
              <w:left w:val="nil"/>
              <w:bottom w:val="single" w:sz="8" w:space="0" w:color="000000"/>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b/>
                <w:kern w:val="0"/>
                <w:sz w:val="18"/>
                <w:szCs w:val="22"/>
                <w:lang w:val="en-US" w:eastAsia="en-US" w:bidi="ar-SA"/>
              </w:rPr>
              <w:t>Prespecified?</w:t>
            </w:r>
          </w:p>
        </w:tc>
        <w:tc>
          <w:tcPr>
            <w:tcW w:w="2340" w:type="dxa"/>
            <w:tcBorders>
              <w:top w:val="single" w:sz="12" w:space="0" w:color="000000"/>
              <w:left w:val="nil"/>
              <w:bottom w:val="single" w:sz="8" w:space="0" w:color="000000"/>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b/>
                <w:kern w:val="0"/>
                <w:sz w:val="18"/>
                <w:szCs w:val="22"/>
                <w:lang w:val="en-US" w:eastAsia="en-US" w:bidi="ar-SA"/>
              </w:rPr>
              <w:t>Added</w:t>
            </w:r>
          </w:p>
        </w:tc>
        <w:tc>
          <w:tcPr>
            <w:tcW w:w="2340" w:type="dxa"/>
            <w:tcBorders>
              <w:top w:val="single" w:sz="12" w:space="0" w:color="000000"/>
              <w:left w:val="nil"/>
              <w:bottom w:val="single" w:sz="8" w:space="0" w:color="000000"/>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b/>
                <w:kern w:val="0"/>
                <w:sz w:val="18"/>
                <w:szCs w:val="22"/>
                <w:lang w:val="en-US" w:eastAsia="en-US" w:bidi="ar-SA"/>
              </w:rPr>
              <w:t>Changed cohort/exposure/outcome/landmark/M3?</w:t>
            </w:r>
          </w:p>
        </w:tc>
      </w:tr>
      <w:tr>
        <w:trPr/>
        <w:tc>
          <w:tcPr>
            <w:tcW w:w="234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Primary four-group Cox (28-day mortality)</w:t>
            </w:r>
          </w:p>
        </w:tc>
        <w:tc>
          <w:tcPr>
            <w:tcW w:w="234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Yes</w:t>
            </w:r>
          </w:p>
        </w:tc>
        <w:tc>
          <w:tcPr>
            <w:tcW w:w="234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Original protocol</w:t>
            </w:r>
          </w:p>
        </w:tc>
        <w:tc>
          <w:tcPr>
            <w:tcW w:w="234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No</w:t>
            </w:r>
          </w:p>
        </w:tc>
      </w:tr>
      <w:tr>
        <w:trPr/>
        <w:tc>
          <w:tcPr>
            <w:tcW w:w="234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Stepwise adjustment M0–M3</w:t>
            </w:r>
          </w:p>
        </w:tc>
        <w:tc>
          <w:tcPr>
            <w:tcW w:w="234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Yes</w:t>
            </w:r>
          </w:p>
        </w:tc>
        <w:tc>
          <w:tcPr>
            <w:tcW w:w="234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Original protocol</w:t>
            </w:r>
          </w:p>
        </w:tc>
        <w:tc>
          <w:tcPr>
            <w:tcW w:w="234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No</w:t>
            </w:r>
          </w:p>
        </w:tc>
      </w:tr>
      <w:tr>
        <w:trPr/>
        <w:tc>
          <w:tcPr>
            <w:tcW w:w="234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Additive and multiplicative interaction</w:t>
            </w:r>
          </w:p>
        </w:tc>
        <w:tc>
          <w:tcPr>
            <w:tcW w:w="234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Yes</w:t>
            </w:r>
          </w:p>
        </w:tc>
        <w:tc>
          <w:tcPr>
            <w:tcW w:w="234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Original protocol</w:t>
            </w:r>
          </w:p>
        </w:tc>
        <w:tc>
          <w:tcPr>
            <w:tcW w:w="234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No</w:t>
            </w:r>
          </w:p>
        </w:tc>
      </w:tr>
      <w:tr>
        <w:trPr/>
        <w:tc>
          <w:tcPr>
            <w:tcW w:w="234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Inverse-probability-of-being-measured weighting</w:t>
            </w:r>
          </w:p>
        </w:tc>
        <w:tc>
          <w:tcPr>
            <w:tcW w:w="234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Yes</w:t>
            </w:r>
          </w:p>
        </w:tc>
        <w:tc>
          <w:tcPr>
            <w:tcW w:w="234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Original protocol</w:t>
            </w:r>
          </w:p>
        </w:tc>
        <w:tc>
          <w:tcPr>
            <w:tcW w:w="234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No</w:t>
            </w:r>
          </w:p>
        </w:tc>
      </w:tr>
      <w:tr>
        <w:trPr/>
        <w:tc>
          <w:tcPr>
            <w:tcW w:w="234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Competing-risk analysis of incident AKI</w:t>
            </w:r>
          </w:p>
        </w:tc>
        <w:tc>
          <w:tcPr>
            <w:tcW w:w="234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Yes</w:t>
            </w:r>
          </w:p>
        </w:tc>
        <w:tc>
          <w:tcPr>
            <w:tcW w:w="234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Original protocol</w:t>
            </w:r>
          </w:p>
        </w:tc>
        <w:tc>
          <w:tcPr>
            <w:tcW w:w="234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No</w:t>
            </w:r>
          </w:p>
        </w:tc>
      </w:tr>
      <w:tr>
        <w:trPr/>
        <w:tc>
          <w:tcPr>
            <w:tcW w:w="234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90- and 365-day mortality</w:t>
            </w:r>
          </w:p>
        </w:tc>
        <w:tc>
          <w:tcPr>
            <w:tcW w:w="234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Yes</w:t>
            </w:r>
          </w:p>
        </w:tc>
        <w:tc>
          <w:tcPr>
            <w:tcW w:w="234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Original protocol</w:t>
            </w:r>
          </w:p>
        </w:tc>
        <w:tc>
          <w:tcPr>
            <w:tcW w:w="234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No</w:t>
            </w:r>
          </w:p>
        </w:tc>
      </w:tr>
      <w:tr>
        <w:trPr/>
        <w:tc>
          <w:tcPr>
            <w:tcW w:w="234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HbA1c-validity exclusions (anemia, CKD, ESRD, creatinine)</w:t>
            </w:r>
          </w:p>
        </w:tc>
        <w:tc>
          <w:tcPr>
            <w:tcW w:w="234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Basis prespecified</w:t>
            </w:r>
          </w:p>
        </w:tc>
        <w:tc>
          <w:tcPr>
            <w:tcW w:w="234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Executed this round</w:t>
            </w:r>
          </w:p>
        </w:tc>
        <w:tc>
          <w:tcPr>
            <w:tcW w:w="234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No</w:t>
            </w:r>
          </w:p>
        </w:tc>
      </w:tr>
      <w:tr>
        <w:trPr/>
        <w:tc>
          <w:tcPr>
            <w:tcW w:w="234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SHR vs absolute glucose comparison</w:t>
            </w:r>
          </w:p>
        </w:tc>
        <w:tc>
          <w:tcPr>
            <w:tcW w:w="234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Component idea prespecified</w:t>
            </w:r>
          </w:p>
        </w:tc>
        <w:tc>
          <w:tcPr>
            <w:tcW w:w="234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Present parameterization new</w:t>
            </w:r>
          </w:p>
        </w:tc>
        <w:tc>
          <w:tcPr>
            <w:tcW w:w="234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No</w:t>
            </w:r>
          </w:p>
        </w:tc>
      </w:tr>
      <w:tr>
        <w:trPr/>
        <w:tc>
          <w:tcPr>
            <w:tcW w:w="234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Decoupled log glucose + log eAG; residual of log glucose on eAG</w:t>
            </w:r>
          </w:p>
        </w:tc>
        <w:tc>
          <w:tcPr>
            <w:tcW w:w="234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No (post hoc)</w:t>
            </w:r>
          </w:p>
        </w:tc>
        <w:tc>
          <w:tcPr>
            <w:tcW w:w="234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After initial submission</w:t>
            </w:r>
          </w:p>
        </w:tc>
        <w:tc>
          <w:tcPr>
            <w:tcW w:w="234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No</w:t>
            </w:r>
          </w:p>
        </w:tc>
      </w:tr>
      <w:tr>
        <w:trPr/>
        <w:tc>
          <w:tcPr>
            <w:tcW w:w="234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Percentile-rank difference; residual discordance (linear, spline)</w:t>
            </w:r>
          </w:p>
        </w:tc>
        <w:tc>
          <w:tcPr>
            <w:tcW w:w="234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No (post hoc)</w:t>
            </w:r>
          </w:p>
        </w:tc>
        <w:tc>
          <w:tcPr>
            <w:tcW w:w="234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After initial submission</w:t>
            </w:r>
          </w:p>
        </w:tc>
        <w:tc>
          <w:tcPr>
            <w:tcW w:w="234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No</w:t>
            </w:r>
          </w:p>
        </w:tc>
      </w:tr>
      <w:tr>
        <w:trPr/>
        <w:tc>
          <w:tcPr>
            <w:tcW w:w="234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E-value</w:t>
            </w:r>
          </w:p>
        </w:tc>
        <w:tc>
          <w:tcPr>
            <w:tcW w:w="234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No (post hoc)</w:t>
            </w:r>
          </w:p>
        </w:tc>
        <w:tc>
          <w:tcPr>
            <w:tcW w:w="234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After initial submission</w:t>
            </w:r>
          </w:p>
        </w:tc>
        <w:tc>
          <w:tcPr>
            <w:tcW w:w="2340" w:type="dxa"/>
            <w:tcBorders>
              <w:top w:val="nil"/>
              <w:left w:val="nil"/>
              <w:bottom w:val="nil"/>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No</w:t>
            </w:r>
          </w:p>
        </w:tc>
      </w:tr>
      <w:tr>
        <w:trPr/>
        <w:tc>
          <w:tcPr>
            <w:tcW w:w="2340" w:type="dxa"/>
            <w:tcBorders>
              <w:top w:val="nil"/>
              <w:left w:val="nil"/>
              <w:bottom w:val="single" w:sz="12" w:space="0" w:color="000000"/>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Glucometabolic characterization of low-TyG/high-SHR group (Figure 4)</w:t>
            </w:r>
          </w:p>
        </w:tc>
        <w:tc>
          <w:tcPr>
            <w:tcW w:w="2340" w:type="dxa"/>
            <w:tcBorders>
              <w:top w:val="nil"/>
              <w:left w:val="nil"/>
              <w:bottom w:val="single" w:sz="12" w:space="0" w:color="000000"/>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No (post hoc descriptive)</w:t>
            </w:r>
          </w:p>
        </w:tc>
        <w:tc>
          <w:tcPr>
            <w:tcW w:w="2340" w:type="dxa"/>
            <w:tcBorders>
              <w:top w:val="nil"/>
              <w:left w:val="nil"/>
              <w:bottom w:val="single" w:sz="12" w:space="0" w:color="000000"/>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After initial submission</w:t>
            </w:r>
          </w:p>
        </w:tc>
        <w:tc>
          <w:tcPr>
            <w:tcW w:w="2340" w:type="dxa"/>
            <w:tcBorders>
              <w:top w:val="nil"/>
              <w:left w:val="nil"/>
              <w:bottom w:val="single" w:sz="12" w:space="0" w:color="000000"/>
              <w:right w:val="nil"/>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 w:val="18"/>
                <w:szCs w:val="22"/>
                <w:lang w:val="en-US" w:eastAsia="en-US" w:bidi="ar-SA"/>
              </w:rPr>
              <w:t>No</w:t>
            </w:r>
          </w:p>
        </w:tc>
      </w:tr>
    </w:tbl>
    <w:p>
      <w:pPr>
        <w:pStyle w:val="Normal"/>
        <w:spacing w:lineRule="auto" w:line="240"/>
        <w:rPr/>
      </w:pPr>
      <w:r>
        <w:rPr>
          <w:i/>
          <w:sz w:val="20"/>
        </w:rPr>
        <w:t>The frozen cohort, 24-hour landmark, TyG and SHR definitions, median cut-points, M3 covariate set and 28-day mortality outcome were fixed before outcome modeling and were not altered by any analysis added after the initial submission, which was declined by the editor without external review. eAG, HbA1c-estimated average glucose.</w:t>
      </w:r>
    </w:p>
    <w:p>
      <w:pPr>
        <w:pStyle w:val="Heading1"/>
        <w:rPr/>
      </w:pPr>
      <w:r>
        <w:rPr>
          <w:rFonts w:ascii="Times New Roman" w:hAnsi="Times New Roman"/>
          <w:color w:val="000000"/>
          <w:sz w:val="28"/>
        </w:rPr>
        <w:t>Supplementary Figures</w:t>
      </w:r>
    </w:p>
    <w:p>
      <w:pPr>
        <w:pStyle w:val="Heading2"/>
        <w:rPr/>
      </w:pPr>
      <w:r>
        <w:rPr>
          <w:rFonts w:ascii="Times New Roman" w:hAnsi="Times New Roman"/>
          <w:color w:val="000000"/>
          <w:sz w:val="24"/>
        </w:rPr>
        <w:t>Supplementary Figure S1. TyG–SHR joint distribution and group-specific mortality</w:t>
      </w:r>
    </w:p>
    <w:p>
      <w:pPr>
        <w:pStyle w:val="Normal"/>
        <w:spacing w:lineRule="auto" w:line="240"/>
        <w:jc w:val="center"/>
        <w:rPr/>
      </w:pPr>
      <w:r>
        <w:rPr/>
        <w:drawing>
          <wp:inline distT="0" distB="0" distL="0" distR="0">
            <wp:extent cx="5486400" cy="42811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
                    <a:stretch>
                      <a:fillRect/>
                    </a:stretch>
                  </pic:blipFill>
                  <pic:spPr bwMode="auto">
                    <a:xfrm>
                      <a:off x="0" y="0"/>
                      <a:ext cx="5486400" cy="4281170"/>
                    </a:xfrm>
                    <a:prstGeom prst="rect">
                      <a:avLst/>
                    </a:prstGeom>
                    <a:noFill/>
                  </pic:spPr>
                </pic:pic>
              </a:graphicData>
            </a:graphic>
          </wp:inline>
        </w:drawing>
      </w:r>
    </w:p>
    <w:p>
      <w:pPr>
        <w:pStyle w:val="Normal"/>
        <w:spacing w:lineRule="auto" w:line="240"/>
        <w:rPr/>
      </w:pPr>
      <w:r>
        <w:rPr>
          <w:i/>
          <w:sz w:val="20"/>
        </w:rPr>
        <w:t>Supplementary Figure S1. Cross-classification of the cohort by median TyG and median SHR, with 28-day mortality in each cell. High and low denote position relative to the cohort median, not validated clinical thresholds.</w:t>
      </w:r>
    </w:p>
    <w:p>
      <w:pPr>
        <w:pStyle w:val="Heading2"/>
        <w:rPr/>
      </w:pPr>
      <w:r>
        <w:rPr>
          <w:rFonts w:ascii="Times New Roman" w:hAnsi="Times New Roman"/>
          <w:color w:val="000000"/>
          <w:sz w:val="24"/>
        </w:rPr>
        <w:t>Supplementary Figure S2. Index-glucose density by group</w:t>
      </w:r>
    </w:p>
    <w:p>
      <w:pPr>
        <w:pStyle w:val="Normal"/>
        <w:spacing w:lineRule="auto" w:line="240"/>
        <w:jc w:val="center"/>
        <w:rPr/>
      </w:pPr>
      <w:r>
        <w:rPr/>
        <w:drawing>
          <wp:inline distT="0" distB="0" distL="0" distR="0">
            <wp:extent cx="5486400" cy="48240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3"/>
                    <a:stretch>
                      <a:fillRect/>
                    </a:stretch>
                  </pic:blipFill>
                  <pic:spPr bwMode="auto">
                    <a:xfrm>
                      <a:off x="0" y="0"/>
                      <a:ext cx="5486400" cy="4824095"/>
                    </a:xfrm>
                    <a:prstGeom prst="rect">
                      <a:avLst/>
                    </a:prstGeom>
                    <a:noFill/>
                  </pic:spPr>
                </pic:pic>
              </a:graphicData>
            </a:graphic>
          </wp:inline>
        </w:drawing>
      </w:r>
    </w:p>
    <w:p>
      <w:pPr>
        <w:pStyle w:val="Normal"/>
        <w:spacing w:lineRule="auto" w:line="240"/>
        <w:rPr/>
      </w:pPr>
      <w:r>
        <w:rPr>
          <w:i/>
          <w:sz w:val="20"/>
        </w:rPr>
        <w:t>Supplementary Figure S2. Kernel density of admission glucose for each TyG–SHR group, showing that the low-TyG/high-SHR group has admission glucose that largely falls below conventional hyperglycemia thresholds.</w:t>
      </w:r>
    </w:p>
    <w:p>
      <w:pPr>
        <w:pStyle w:val="Heading2"/>
        <w:rPr/>
      </w:pPr>
      <w:r>
        <w:rPr>
          <w:rFonts w:ascii="Times New Roman" w:hAnsi="Times New Roman"/>
          <w:color w:val="000000"/>
          <w:sz w:val="24"/>
        </w:rPr>
        <w:t>Supplementary Figure S3. Cumulative incidence of acute kidney injury</w:t>
      </w:r>
    </w:p>
    <w:p>
      <w:pPr>
        <w:pStyle w:val="Normal"/>
        <w:spacing w:lineRule="auto" w:line="240"/>
        <w:jc w:val="center"/>
        <w:rPr/>
      </w:pPr>
      <w:r>
        <w:rPr/>
        <w:drawing>
          <wp:inline distT="0" distB="0" distL="0" distR="0">
            <wp:extent cx="5486400" cy="49326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4"/>
                    <a:stretch>
                      <a:fillRect/>
                    </a:stretch>
                  </pic:blipFill>
                  <pic:spPr bwMode="auto">
                    <a:xfrm>
                      <a:off x="0" y="0"/>
                      <a:ext cx="5486400" cy="4932680"/>
                    </a:xfrm>
                    <a:prstGeom prst="rect">
                      <a:avLst/>
                    </a:prstGeom>
                    <a:noFill/>
                  </pic:spPr>
                </pic:pic>
              </a:graphicData>
            </a:graphic>
          </wp:inline>
        </w:drawing>
      </w:r>
    </w:p>
    <w:p>
      <w:pPr>
        <w:pStyle w:val="Normal"/>
        <w:spacing w:lineRule="auto" w:line="240"/>
        <w:rPr/>
      </w:pPr>
      <w:r>
        <w:rPr>
          <w:i/>
          <w:sz w:val="20"/>
        </w:rPr>
        <w:t>Supplementary Figure S3. Aalen–Johansen cumulative incidence of incident KDIGO acute kidney injury through day 7, with death as a competing event, by group. Incident AKI did not differ across groups.</w:t>
      </w:r>
    </w:p>
    <w:p>
      <w:pPr>
        <w:pStyle w:val="Heading2"/>
        <w:rPr/>
      </w:pPr>
      <w:r>
        <w:rPr>
          <w:rFonts w:ascii="Times New Roman" w:hAnsi="Times New Roman"/>
          <w:color w:val="000000"/>
          <w:sz w:val="24"/>
        </w:rPr>
        <w:t>Supplementary Figure S4. Restricted cubic spline of SHR versus 28-day mortality</w:t>
      </w:r>
    </w:p>
    <w:p>
      <w:pPr>
        <w:pStyle w:val="Normal"/>
        <w:spacing w:lineRule="auto" w:line="240"/>
        <w:jc w:val="center"/>
        <w:rPr/>
      </w:pPr>
      <w:r>
        <w:rPr/>
        <w:drawing>
          <wp:inline distT="0" distB="0" distL="0" distR="0">
            <wp:extent cx="5486400" cy="468503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5"/>
                    <a:stretch>
                      <a:fillRect/>
                    </a:stretch>
                  </pic:blipFill>
                  <pic:spPr bwMode="auto">
                    <a:xfrm>
                      <a:off x="0" y="0"/>
                      <a:ext cx="5486400" cy="4685030"/>
                    </a:xfrm>
                    <a:prstGeom prst="rect">
                      <a:avLst/>
                    </a:prstGeom>
                    <a:noFill/>
                  </pic:spPr>
                </pic:pic>
              </a:graphicData>
            </a:graphic>
          </wp:inline>
        </w:drawing>
      </w:r>
    </w:p>
    <w:p>
      <w:pPr>
        <w:pStyle w:val="Normal"/>
        <w:spacing w:lineRule="auto" w:line="240"/>
        <w:rPr/>
      </w:pPr>
      <w:r>
        <w:rPr>
          <w:i/>
          <w:sz w:val="20"/>
        </w:rPr>
        <w:t>Supplementary Figure S4. Adjusted hazard ratio for 28-day mortality across the range of SHR (four-knot restricted cubic spline, M3-adjusted), with the cohort median as reference.</w:t>
      </w:r>
    </w:p>
    <w:p>
      <w:pPr>
        <w:pStyle w:val="Heading1"/>
        <w:rPr/>
      </w:pPr>
      <w:r>
        <w:rPr>
          <w:rFonts w:ascii="Times New Roman" w:hAnsi="Times New Roman"/>
          <w:color w:val="000000"/>
          <w:sz w:val="28"/>
        </w:rPr>
        <w:t>STROBE checklist</w:t>
      </w:r>
    </w:p>
    <w:p>
      <w:pPr>
        <w:pStyle w:val="Normal"/>
        <w:spacing w:lineRule="auto" w:line="480"/>
        <w:rPr/>
      </w:pPr>
      <w:r>
        <w:rPr>
          <w:sz w:val="24"/>
        </w:rPr>
        <w:t>This observational cohort study is reported in accordance with the STROBE statement (von Elm et al. 2007). A completed item-by-item STROBE checklist is provided as a separate file with this submission.</w:t>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6"/>
    <w:family w:val="roman"/>
    <w:pitch w:val="variable"/>
  </w:font>
  <w:font w:name="Cambria">
    <w:charset w:val="86"/>
    <w:family w:val="roman"/>
    <w:pitch w:val="variable"/>
  </w:font>
  <w:font w:name="Times New Roman">
    <w:charset w:val="86"/>
    <w:family w:val="roman"/>
    <w:pitch w:val="variable"/>
  </w:font>
  <w:font w:name="Calibri">
    <w:charset w:val="86"/>
    <w:family w:val="roman"/>
    <w:pitch w:val="variable"/>
  </w:font>
  <w:font w:name="Courier">
    <w:altName w:val="Courier New"/>
    <w:charset w:val="86"/>
    <w:family w:val="roman"/>
    <w:pitch w:val="variable"/>
  </w:font>
  <w:font w:name="Liberation Sans">
    <w:altName w:val="Arial"/>
    <w:charset w:val="86"/>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480" w:before="0" w:after="0"/>
      <w:jc w:val="left"/>
    </w:pPr>
    <w:rPr>
      <w:rFonts w:ascii="Times New Roman" w:hAnsi="Times New Roman" w:eastAsia="ＭＳ 明朝" w:cs="" w:cstheme="minorBidi" w:eastAsiaTheme="minorEastAsia"/>
      <w:color w:val="auto"/>
      <w:kern w:val="0"/>
      <w:sz w:val="24"/>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ＭＳ ゴシック"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ＭＳ ゴシック"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uiPriority w:val="99"/>
    <w:qFormat/>
    <w:rsid w:val="00e618bf"/>
    <w:rPr/>
  </w:style>
  <w:style w:type="character" w:styleId="FooterChar" w:customStyle="1">
    <w:name w:val="Footer Char"/>
    <w:basedOn w:val="DefaultParagraphFont"/>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Text"/>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paragraph" w:styleId="Style5">
    <w:name w:val="标题样式"/>
    <w:basedOn w:val="Normal"/>
    <w:next w:val="BodyText"/>
    <w:qFormat/>
    <w:pPr>
      <w:keepNext w:val="true"/>
      <w:spacing w:before="240" w:after="120"/>
    </w:pPr>
    <w:rPr>
      <w:rFonts w:ascii="Liberation Sans" w:hAnsi="Liberation Sans" w:eastAsia="思源黑体" w:cs="Lucida Sans"/>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Style6">
    <w:name w:val="索引"/>
    <w:basedOn w:val="Normal"/>
    <w:qFormat/>
    <w:pPr>
      <w:suppressLineNumbers/>
    </w:pPr>
    <w:rPr>
      <w:rFonts w:cs="Lucida Sans"/>
    </w:rPr>
  </w:style>
  <w:style w:type="paragraph" w:styleId="Style7">
    <w:name w:val="页眉与页脚"/>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0"/>
      <w:ind w:hanging="360" w:left="720"/>
      <w:contextualSpacing/>
    </w:pPr>
    <w:rPr/>
  </w:style>
  <w:style w:type="paragraph" w:styleId="List3">
    <w:name w:val="List 3"/>
    <w:basedOn w:val="Normal"/>
    <w:uiPriority w:val="99"/>
    <w:unhideWhenUsed/>
    <w:qFormat/>
    <w:rsid w:val="00326f90"/>
    <w:pPr>
      <w:spacing w:before="0" w:after="0"/>
      <w:ind w:hanging="360" w:left="1080"/>
      <w:contextualSpacing/>
    </w:pPr>
    <w:rPr/>
  </w:style>
  <w:style w:type="paragraph" w:styleId="ListBullet">
    <w:name w:val="List Bullet"/>
    <w:basedOn w:val="Normal"/>
    <w:uiPriority w:val="99"/>
    <w:unhideWhenUsed/>
    <w:rsid w:val="00326f90"/>
    <w:pPr>
      <w:numPr>
        <w:ilvl w:val="0"/>
        <w:numId w:val="1"/>
      </w:numPr>
      <w:spacing w:before="0" w:after="0"/>
      <w:contextualSpacing/>
    </w:pPr>
    <w:rPr/>
  </w:style>
  <w:style w:type="paragraph" w:styleId="ListBullet2">
    <w:name w:val="List Bullet 2"/>
    <w:basedOn w:val="Normal"/>
    <w:uiPriority w:val="99"/>
    <w:unhideWhenUsed/>
    <w:rsid w:val="00326f90"/>
    <w:pPr>
      <w:numPr>
        <w:ilvl w:val="0"/>
        <w:numId w:val="2"/>
      </w:numPr>
      <w:spacing w:before="0" w:after="0"/>
      <w:contextualSpacing/>
    </w:pPr>
    <w:rPr/>
  </w:style>
  <w:style w:type="paragraph" w:styleId="ListBullet3">
    <w:name w:val="List Bullet 3"/>
    <w:basedOn w:val="Normal"/>
    <w:uiPriority w:val="99"/>
    <w:unhideWhenUsed/>
    <w:rsid w:val="00326f90"/>
    <w:pPr>
      <w:numPr>
        <w:ilvl w:val="0"/>
        <w:numId w:val="3"/>
      </w:numPr>
      <w:spacing w:before="0" w:after="0"/>
      <w:contextualSpacing/>
    </w:pPr>
    <w:rPr/>
  </w:style>
  <w:style w:type="paragraph" w:styleId="ListNumber">
    <w:name w:val="List Number"/>
    <w:basedOn w:val="Normal"/>
    <w:uiPriority w:val="99"/>
    <w:unhideWhenUsed/>
    <w:rsid w:val="00326f90"/>
    <w:pPr>
      <w:numPr>
        <w:ilvl w:val="0"/>
        <w:numId w:val="4"/>
      </w:numPr>
      <w:spacing w:before="0" w:after="0"/>
      <w:contextualSpacing/>
    </w:pPr>
    <w:rPr/>
  </w:style>
  <w:style w:type="paragraph" w:styleId="ListNumber2">
    <w:name w:val="List Number 2"/>
    <w:basedOn w:val="Normal"/>
    <w:uiPriority w:val="99"/>
    <w:unhideWhenUsed/>
    <w:rsid w:val="0029639d"/>
    <w:pPr>
      <w:numPr>
        <w:ilvl w:val="0"/>
        <w:numId w:val="5"/>
      </w:numPr>
      <w:spacing w:before="0" w:after="0"/>
      <w:contextualSpacing/>
    </w:pPr>
    <w:rPr/>
  </w:style>
  <w:style w:type="paragraph" w:styleId="ListNumber3">
    <w:name w:val="List Number 3"/>
    <w:basedOn w:val="Normal"/>
    <w:uiPriority w:val="99"/>
    <w:unhideWhenUsed/>
    <w:rsid w:val="0029639d"/>
    <w:pPr>
      <w:numPr>
        <w:ilvl w:val="0"/>
        <w:numId w:val="6"/>
      </w:numPr>
      <w:spacing w:before="0" w:after="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Text">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Style5"/>
    <w:pPr/>
    <w:rPr/>
  </w:style>
  <w:style w:type="paragraph" w:styleId="TOCHeading">
    <w:name w:val="TOC Heading"/>
    <w:basedOn w:val="Heading1"/>
    <w:next w:val="Normal"/>
    <w:uiPriority w:val="39"/>
    <w:semiHidden/>
    <w:unhideWhenUsed/>
    <w:qFormat/>
    <w:rsid w:val="00fc693f"/>
    <w:pPr>
      <w:outlineLvl w:val="9"/>
    </w:pPr>
    <w:rPr/>
  </w:style>
  <w:style w:type="numbering" w:styleId="Style8" w:default="1">
    <w:name w:val="无列表"/>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LibreOffice/26.2.2.2$Windows_X86_64 LibreOffice_project/1f77d10d6938fd34972958f64b2bcfa54f8b1ba5</Application>
  <AppVersion>15.0000</AppVersion>
  <Pages>1</Pages>
  <Words>0</Words>
  <Characters>0</Characters>
  <CharactersWithSpaces>0</CharactersWithSpaces>
  <Paragraphs>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zh-CN</dc:language>
  <cp:lastModifiedBy/>
  <dcterms:modified xsi:type="dcterms:W3CDTF">2013-12-23T23:15:00Z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