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4"/>
        </w:rPr>
        <w:t>STROBE Statement — checklist of items for cohort studies</w:t>
      </w:r>
    </w:p>
    <w:p>
      <w:r>
        <w:rPr>
          <w:i/>
          <w:sz w:val="18"/>
        </w:rPr>
        <w:t>Manuscript: "Stress hyperglycemia identifies a high-mortality phenotype within lower triglyceride-glucose levels in critically ill adults: a MIMIC-IV landmark cohort study." Item locations refer to manuscript sections; page/line numbers follow the typeset version.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sz w:val="18"/>
              </w:rPr>
              <w:t>Section / Topic</w:t>
            </w:r>
          </w:p>
        </w:tc>
        <w:tc>
          <w:tcPr>
            <w:tcW w:type="dxa" w:w="2160"/>
          </w:tcPr>
          <w:p>
            <w:r>
              <w:rPr>
                <w:b/>
                <w:sz w:val="18"/>
              </w:rPr>
              <w:t>Item No.</w:t>
            </w:r>
          </w:p>
        </w:tc>
        <w:tc>
          <w:tcPr>
            <w:tcW w:type="dxa" w:w="2160"/>
          </w:tcPr>
          <w:p>
            <w:r>
              <w:rPr>
                <w:b/>
                <w:sz w:val="18"/>
              </w:rPr>
              <w:t>Recommendation</w:t>
            </w:r>
          </w:p>
        </w:tc>
        <w:tc>
          <w:tcPr>
            <w:tcW w:type="dxa" w:w="2160"/>
          </w:tcPr>
          <w:p>
            <w:r>
              <w:rPr>
                <w:b/>
                <w:sz w:val="18"/>
              </w:rPr>
              <w:t>Location in manuscript</w:t>
            </w:r>
          </w:p>
        </w:tc>
      </w:tr>
      <w:tr>
        <w:tc>
          <w:tcPr>
            <w:tcW w:type="dxa" w:w="2160"/>
          </w:tcPr>
          <w:p>
            <w:r>
              <w:rPr>
                <w:sz w:val="16"/>
              </w:rPr>
              <w:t>Title and abstract</w:t>
            </w:r>
          </w:p>
        </w:tc>
        <w:tc>
          <w:tcPr>
            <w:tcW w:type="dxa" w:w="2160"/>
          </w:tcPr>
          <w:p>
            <w:r>
              <w:rPr>
                <w:sz w:val="16"/>
              </w:rPr>
              <w:t>1</w:t>
            </w:r>
          </w:p>
        </w:tc>
        <w:tc>
          <w:tcPr>
            <w:tcW w:type="dxa" w:w="2160"/>
          </w:tcPr>
          <w:p>
            <w:r>
              <w:rPr>
                <w:sz w:val="16"/>
              </w:rPr>
              <w:t>(a) Indicate the study's design with a commonly used term in the title or abstract; (b) Provide in the abstract an informative and balanced summary of what was done and what was found</w:t>
            </w:r>
          </w:p>
        </w:tc>
        <w:tc>
          <w:tcPr>
            <w:tcW w:type="dxa" w:w="2160"/>
          </w:tcPr>
          <w:p>
            <w:r>
              <w:rPr>
                <w:sz w:val="16"/>
              </w:rPr>
              <w:t>Title (“landmark cohort study”); structured Abstract (Background/Methods/Results/Conclusions)</w:t>
            </w:r>
          </w:p>
        </w:tc>
      </w:tr>
      <w:tr>
        <w:tc>
          <w:tcPr>
            <w:tcW w:type="dxa" w:w="8640"/>
            <w:gridSpan w:val="4"/>
          </w:tcPr>
          <w:p>
            <w:r>
              <w:rPr>
                <w:b/>
                <w:sz w:val="18"/>
              </w:rPr>
              <w:t>Introduction</w:t>
            </w:r>
          </w:p>
        </w:tc>
      </w:tr>
      <w:tr>
        <w:tc>
          <w:tcPr>
            <w:tcW w:type="dxa" w:w="2160"/>
          </w:tcPr>
          <w:p>
            <w:r>
              <w:rPr>
                <w:sz w:val="16"/>
              </w:rPr>
              <w:t>Background/rationale</w:t>
            </w:r>
          </w:p>
        </w:tc>
        <w:tc>
          <w:tcPr>
            <w:tcW w:type="dxa" w:w="2160"/>
          </w:tcPr>
          <w:p>
            <w:r>
              <w:rPr>
                <w:sz w:val="16"/>
              </w:rPr>
              <w:t>2</w:t>
            </w:r>
          </w:p>
        </w:tc>
        <w:tc>
          <w:tcPr>
            <w:tcW w:type="dxa" w:w="2160"/>
          </w:tcPr>
          <w:p>
            <w:r>
              <w:rPr>
                <w:sz w:val="16"/>
              </w:rPr>
              <w:t>Explain the scientific background and rationale for the investigation being reported</w:t>
            </w:r>
          </w:p>
        </w:tc>
        <w:tc>
          <w:tcPr>
            <w:tcW w:type="dxa" w:w="2160"/>
          </w:tcPr>
          <w:p>
            <w:r>
              <w:rPr>
                <w:sz w:val="16"/>
              </w:rPr>
              <w:t>Background, paragraphs 1–3 (TyG use in critical care; construct non-equivalence of TyG and SHR; Relation to prior work)</w:t>
            </w:r>
          </w:p>
        </w:tc>
      </w:tr>
      <w:tr>
        <w:tc>
          <w:tcPr>
            <w:tcW w:type="dxa" w:w="2160"/>
          </w:tcPr>
          <w:p>
            <w:r>
              <w:rPr>
                <w:sz w:val="16"/>
              </w:rPr>
              <w:t>Objectives</w:t>
            </w:r>
          </w:p>
        </w:tc>
        <w:tc>
          <w:tcPr>
            <w:tcW w:type="dxa" w:w="2160"/>
          </w:tcPr>
          <w:p>
            <w:r>
              <w:rPr>
                <w:sz w:val="16"/>
              </w:rPr>
              <w:t>3</w:t>
            </w:r>
          </w:p>
        </w:tc>
        <w:tc>
          <w:tcPr>
            <w:tcW w:type="dxa" w:w="2160"/>
          </w:tcPr>
          <w:p>
            <w:r>
              <w:rPr>
                <w:sz w:val="16"/>
              </w:rPr>
              <w:t>State specific objectives, including any prespecified hypotheses</w:t>
            </w:r>
          </w:p>
        </w:tc>
        <w:tc>
          <w:tcPr>
            <w:tcW w:type="dxa" w:w="2160"/>
          </w:tcPr>
          <w:p>
            <w:r>
              <w:rPr>
                <w:sz w:val="16"/>
              </w:rPr>
              <w:t>Background, final paragraph (aims i–iv)</w:t>
            </w:r>
          </w:p>
        </w:tc>
      </w:tr>
      <w:tr>
        <w:tc>
          <w:tcPr>
            <w:tcW w:type="dxa" w:w="8640"/>
            <w:gridSpan w:val="4"/>
          </w:tcPr>
          <w:p>
            <w:r>
              <w:rPr>
                <w:b/>
                <w:sz w:val="18"/>
              </w:rPr>
              <w:t>Methods</w:t>
            </w:r>
          </w:p>
        </w:tc>
      </w:tr>
      <w:tr>
        <w:tc>
          <w:tcPr>
            <w:tcW w:type="dxa" w:w="2160"/>
          </w:tcPr>
          <w:p>
            <w:r>
              <w:rPr>
                <w:sz w:val="16"/>
              </w:rPr>
              <w:t>Study design</w:t>
            </w:r>
          </w:p>
        </w:tc>
        <w:tc>
          <w:tcPr>
            <w:tcW w:type="dxa" w:w="2160"/>
          </w:tcPr>
          <w:p>
            <w:r>
              <w:rPr>
                <w:sz w:val="16"/>
              </w:rPr>
              <w:t>4</w:t>
            </w:r>
          </w:p>
        </w:tc>
        <w:tc>
          <w:tcPr>
            <w:tcW w:type="dxa" w:w="2160"/>
          </w:tcPr>
          <w:p>
            <w:r>
              <w:rPr>
                <w:sz w:val="16"/>
              </w:rPr>
              <w:t>Present key elements of study design early in the paper</w:t>
            </w:r>
          </w:p>
        </w:tc>
        <w:tc>
          <w:tcPr>
            <w:tcW w:type="dxa" w:w="2160"/>
          </w:tcPr>
          <w:p>
            <w:r>
              <w:rPr>
                <w:sz w:val="16"/>
              </w:rPr>
              <w:t>Methods — Design and data source; 24-hour landmark design stated</w:t>
            </w:r>
          </w:p>
        </w:tc>
      </w:tr>
      <w:tr>
        <w:tc>
          <w:tcPr>
            <w:tcW w:type="dxa" w:w="2160"/>
          </w:tcPr>
          <w:p>
            <w:r>
              <w:rPr>
                <w:sz w:val="16"/>
              </w:rPr>
              <w:t>Setting</w:t>
            </w:r>
          </w:p>
        </w:tc>
        <w:tc>
          <w:tcPr>
            <w:tcW w:type="dxa" w:w="2160"/>
          </w:tcPr>
          <w:p>
            <w:r>
              <w:rPr>
                <w:sz w:val="16"/>
              </w:rPr>
              <w:t>5</w:t>
            </w:r>
          </w:p>
        </w:tc>
        <w:tc>
          <w:tcPr>
            <w:tcW w:type="dxa" w:w="2160"/>
          </w:tcPr>
          <w:p>
            <w:r>
              <w:rPr>
                <w:sz w:val="16"/>
              </w:rPr>
              <w:t>Describe the setting, locations, and relevant dates, including periods of recruitment, exposure, follow-up, and data collection</w:t>
            </w:r>
          </w:p>
        </w:tc>
        <w:tc>
          <w:tcPr>
            <w:tcW w:type="dxa" w:w="2160"/>
          </w:tcPr>
          <w:p>
            <w:r>
              <w:rPr>
                <w:sz w:val="16"/>
              </w:rPr>
              <w:t>Methods — Design and data source (MIMIC-IV, first ICU stay); follow-up to 28 days</w:t>
            </w:r>
          </w:p>
        </w:tc>
      </w:tr>
      <w:tr>
        <w:tc>
          <w:tcPr>
            <w:tcW w:type="dxa" w:w="2160"/>
          </w:tcPr>
          <w:p>
            <w:r>
              <w:rPr>
                <w:sz w:val="16"/>
              </w:rPr>
              <w:t>Participants</w:t>
            </w:r>
          </w:p>
        </w:tc>
        <w:tc>
          <w:tcPr>
            <w:tcW w:type="dxa" w:w="2160"/>
          </w:tcPr>
          <w:p>
            <w:r>
              <w:rPr>
                <w:sz w:val="16"/>
              </w:rPr>
              <w:t>6</w:t>
            </w:r>
          </w:p>
        </w:tc>
        <w:tc>
          <w:tcPr>
            <w:tcW w:type="dxa" w:w="2160"/>
          </w:tcPr>
          <w:p>
            <w:r>
              <w:rPr>
                <w:sz w:val="16"/>
              </w:rPr>
              <w:t>(a) Give the eligibility criteria, and the sources and methods of selection of participants; describe methods of follow-up. (b) For matched studies give matching criteria</w:t>
            </w:r>
          </w:p>
        </w:tc>
        <w:tc>
          <w:tcPr>
            <w:tcW w:type="dxa" w:w="2160"/>
          </w:tcPr>
          <w:p>
            <w:r>
              <w:rPr>
                <w:sz w:val="16"/>
              </w:rPr>
              <w:t>Methods — Cohort and eligibility; Figure 1 flow diagram (65,366 → 3,877). Not a matched study</w:t>
            </w:r>
          </w:p>
        </w:tc>
      </w:tr>
      <w:tr>
        <w:tc>
          <w:tcPr>
            <w:tcW w:type="dxa" w:w="2160"/>
          </w:tcPr>
          <w:p>
            <w:r>
              <w:rPr>
                <w:sz w:val="16"/>
              </w:rPr>
              <w:t>Variables</w:t>
            </w:r>
          </w:p>
        </w:tc>
        <w:tc>
          <w:tcPr>
            <w:tcW w:type="dxa" w:w="2160"/>
          </w:tcPr>
          <w:p>
            <w:r>
              <w:rPr>
                <w:sz w:val="16"/>
              </w:rPr>
              <w:t>7</w:t>
            </w:r>
          </w:p>
        </w:tc>
        <w:tc>
          <w:tcPr>
            <w:tcW w:type="dxa" w:w="2160"/>
          </w:tcPr>
          <w:p>
            <w:r>
              <w:rPr>
                <w:sz w:val="16"/>
              </w:rPr>
              <w:t>Clearly define all outcomes, exposures, predictors, potential confounders, and effect modifiers. Give diagnostic criteria, if applicable</w:t>
            </w:r>
          </w:p>
        </w:tc>
        <w:tc>
          <w:tcPr>
            <w:tcW w:type="dxa" w:w="2160"/>
          </w:tcPr>
          <w:p>
            <w:r>
              <w:rPr>
                <w:sz w:val="16"/>
              </w:rPr>
              <w:t>Methods — Exposures (TyG, SHR; median cross-classification), Outcome (28-day mortality; incident KDIGO AKI), Covariates</w:t>
            </w:r>
          </w:p>
        </w:tc>
      </w:tr>
      <w:tr>
        <w:tc>
          <w:tcPr>
            <w:tcW w:type="dxa" w:w="2160"/>
          </w:tcPr>
          <w:p>
            <w:r>
              <w:rPr>
                <w:sz w:val="16"/>
              </w:rPr>
              <w:t>Data sources/measurement</w:t>
            </w:r>
          </w:p>
        </w:tc>
        <w:tc>
          <w:tcPr>
            <w:tcW w:type="dxa" w:w="2160"/>
          </w:tcPr>
          <w:p>
            <w:r>
              <w:rPr>
                <w:sz w:val="16"/>
              </w:rPr>
              <w:t>8</w:t>
            </w:r>
          </w:p>
        </w:tc>
        <w:tc>
          <w:tcPr>
            <w:tcW w:type="dxa" w:w="2160"/>
          </w:tcPr>
          <w:p>
            <w:r>
              <w:rPr>
                <w:sz w:val="16"/>
              </w:rPr>
              <w:t>For each variable of interest, give sources of data and details of methods of assessment (measurement). Describe comparability of assessment methods if there is more than one group</w:t>
            </w:r>
          </w:p>
        </w:tc>
        <w:tc>
          <w:tcPr>
            <w:tcW w:type="dxa" w:w="2160"/>
          </w:tcPr>
          <w:p>
            <w:r>
              <w:rPr>
                <w:sz w:val="16"/>
              </w:rPr>
              <w:t>Methods — Exposures and Covariates (laboratory item IDs, SAPS-II, comorbidities); all from MIMIC-IV structured records</w:t>
            </w:r>
          </w:p>
        </w:tc>
      </w:tr>
      <w:tr>
        <w:tc>
          <w:tcPr>
            <w:tcW w:type="dxa" w:w="2160"/>
          </w:tcPr>
          <w:p>
            <w:r>
              <w:rPr>
                <w:sz w:val="16"/>
              </w:rPr>
              <w:t>Bias</w:t>
            </w:r>
          </w:p>
        </w:tc>
        <w:tc>
          <w:tcPr>
            <w:tcW w:type="dxa" w:w="2160"/>
          </w:tcPr>
          <w:p>
            <w:r>
              <w:rPr>
                <w:sz w:val="16"/>
              </w:rPr>
              <w:t>9</w:t>
            </w:r>
          </w:p>
        </w:tc>
        <w:tc>
          <w:tcPr>
            <w:tcW w:type="dxa" w:w="2160"/>
          </w:tcPr>
          <w:p>
            <w:r>
              <w:rPr>
                <w:sz w:val="16"/>
              </w:rPr>
              <w:t>Describe any efforts to address potential sources of bias</w:t>
            </w:r>
          </w:p>
        </w:tc>
        <w:tc>
          <w:tcPr>
            <w:tcW w:type="dxa" w:w="2160"/>
          </w:tcPr>
          <w:p>
            <w:r>
              <w:rPr>
                <w:sz w:val="16"/>
              </w:rPr>
              <w:t>Methods — landmark design (immortal-time bias); inverse-probability-of-being-measured weighting (selection by biomarker availability); proportional-hazards checks; E-value for unmeasured confounding</w:t>
            </w:r>
          </w:p>
        </w:tc>
      </w:tr>
      <w:tr>
        <w:tc>
          <w:tcPr>
            <w:tcW w:type="dxa" w:w="2160"/>
          </w:tcPr>
          <w:p>
            <w:r>
              <w:rPr>
                <w:sz w:val="16"/>
              </w:rPr>
              <w:t>Study size</w:t>
            </w:r>
          </w:p>
        </w:tc>
        <w:tc>
          <w:tcPr>
            <w:tcW w:type="dxa" w:w="2160"/>
          </w:tcPr>
          <w:p>
            <w:r>
              <w:rPr>
                <w:sz w:val="16"/>
              </w:rPr>
              <w:t>10</w:t>
            </w:r>
          </w:p>
        </w:tc>
        <w:tc>
          <w:tcPr>
            <w:tcW w:type="dxa" w:w="2160"/>
          </w:tcPr>
          <w:p>
            <w:r>
              <w:rPr>
                <w:sz w:val="16"/>
              </w:rPr>
              <w:t>Explain how the study size was arrived at</w:t>
            </w:r>
          </w:p>
        </w:tc>
        <w:tc>
          <w:tcPr>
            <w:tcW w:type="dxa" w:w="2160"/>
          </w:tcPr>
          <w:p>
            <w:r>
              <w:rPr>
                <w:sz w:val="16"/>
              </w:rPr>
              <w:t>Methods — Cohort and eligibility; size determined by availability of all three biomarkers within ±24 h (Figure 1)</w:t>
            </w:r>
          </w:p>
        </w:tc>
      </w:tr>
      <w:tr>
        <w:tc>
          <w:tcPr>
            <w:tcW w:type="dxa" w:w="2160"/>
          </w:tcPr>
          <w:p>
            <w:r>
              <w:rPr>
                <w:sz w:val="16"/>
              </w:rPr>
              <w:t>Quantitative variables</w:t>
            </w:r>
          </w:p>
        </w:tc>
        <w:tc>
          <w:tcPr>
            <w:tcW w:type="dxa" w:w="2160"/>
          </w:tcPr>
          <w:p>
            <w:r>
              <w:rPr>
                <w:sz w:val="16"/>
              </w:rPr>
              <w:t>11</w:t>
            </w:r>
          </w:p>
        </w:tc>
        <w:tc>
          <w:tcPr>
            <w:tcW w:type="dxa" w:w="2160"/>
          </w:tcPr>
          <w:p>
            <w:r>
              <w:rPr>
                <w:sz w:val="16"/>
              </w:rPr>
              <w:t>Explain how quantitative variables were handled in the analyses. If applicable, describe which groupings were chosen and why</w:t>
            </w:r>
          </w:p>
        </w:tc>
        <w:tc>
          <w:tcPr>
            <w:tcW w:type="dxa" w:w="2160"/>
          </w:tcPr>
          <w:p>
            <w:r>
              <w:rPr>
                <w:sz w:val="16"/>
              </w:rPr>
              <w:t>Methods — Statistical analysis (median cross-classification as descriptor; continuous discordance by percentile-rank difference and residualization; decoupled log glucose/log eAG)</w:t>
            </w:r>
          </w:p>
        </w:tc>
      </w:tr>
      <w:tr>
        <w:tc>
          <w:tcPr>
            <w:tcW w:type="dxa" w:w="2160"/>
          </w:tcPr>
          <w:p>
            <w:r>
              <w:rPr>
                <w:sz w:val="16"/>
              </w:rPr>
              <w:t>Statistical methods</w:t>
            </w:r>
          </w:p>
        </w:tc>
        <w:tc>
          <w:tcPr>
            <w:tcW w:type="dxa" w:w="2160"/>
          </w:tcPr>
          <w:p>
            <w:r>
              <w:rPr>
                <w:sz w:val="16"/>
              </w:rPr>
              <w:t>12</w:t>
            </w:r>
          </w:p>
        </w:tc>
        <w:tc>
          <w:tcPr>
            <w:tcW w:type="dxa" w:w="2160"/>
          </w:tcPr>
          <w:p>
            <w:r>
              <w:rPr>
                <w:sz w:val="16"/>
              </w:rPr>
              <w:t>(a) All statistical methods, including those used to control for confounding; (b) methods for subgroups and interactions; (c) how missing data were addressed; (d) how loss to follow-up was addressed; (e) any sensitivity analyses</w:t>
            </w:r>
          </w:p>
        </w:tc>
        <w:tc>
          <w:tcPr>
            <w:tcW w:type="dxa" w:w="2160"/>
          </w:tcPr>
          <w:p>
            <w:r>
              <w:rPr>
                <w:sz w:val="16"/>
              </w:rPr>
              <w:t>Methods — Statistical analysis: Cox models (M1–M3); additive/multiplicative interaction; MICE for BMI/lactate (sensitivity only); administrative censoring at 28 days; prespecified sensitivity set (HbA1c-distorting conditions, IPW, competing-risk AKI, E-value)</w:t>
            </w:r>
          </w:p>
        </w:tc>
      </w:tr>
      <w:tr>
        <w:tc>
          <w:tcPr>
            <w:tcW w:type="dxa" w:w="8640"/>
            <w:gridSpan w:val="4"/>
          </w:tcPr>
          <w:p>
            <w:r>
              <w:rPr>
                <w:b/>
                <w:sz w:val="18"/>
              </w:rPr>
              <w:t>Results</w:t>
            </w:r>
          </w:p>
        </w:tc>
      </w:tr>
      <w:tr>
        <w:tc>
          <w:tcPr>
            <w:tcW w:type="dxa" w:w="2160"/>
          </w:tcPr>
          <w:p>
            <w:r>
              <w:rPr>
                <w:sz w:val="16"/>
              </w:rPr>
              <w:t>Participants</w:t>
            </w:r>
          </w:p>
        </w:tc>
        <w:tc>
          <w:tcPr>
            <w:tcW w:type="dxa" w:w="2160"/>
          </w:tcPr>
          <w:p>
            <w:r>
              <w:rPr>
                <w:sz w:val="16"/>
              </w:rPr>
              <w:t>13</w:t>
            </w:r>
          </w:p>
        </w:tc>
        <w:tc>
          <w:tcPr>
            <w:tcW w:type="dxa" w:w="2160"/>
          </w:tcPr>
          <w:p>
            <w:r>
              <w:rPr>
                <w:sz w:val="16"/>
              </w:rPr>
              <w:t>(a) Numbers of individuals at each stage; (b) reasons for non-participation; (c) consider a flow diagram</w:t>
            </w:r>
          </w:p>
        </w:tc>
        <w:tc>
          <w:tcPr>
            <w:tcW w:type="dxa" w:w="2160"/>
          </w:tcPr>
          <w:p>
            <w:r>
              <w:rPr>
                <w:sz w:val="16"/>
              </w:rPr>
              <w:t>Results, opening; Figure 1 flow diagram (N=3,877 after landmark; N=3,855 in adjusted models)</w:t>
            </w:r>
          </w:p>
        </w:tc>
      </w:tr>
      <w:tr>
        <w:tc>
          <w:tcPr>
            <w:tcW w:type="dxa" w:w="2160"/>
          </w:tcPr>
          <w:p>
            <w:r>
              <w:rPr>
                <w:sz w:val="16"/>
              </w:rPr>
              <w:t>Descriptive data</w:t>
            </w:r>
          </w:p>
        </w:tc>
        <w:tc>
          <w:tcPr>
            <w:tcW w:type="dxa" w:w="2160"/>
          </w:tcPr>
          <w:p>
            <w:r>
              <w:rPr>
                <w:sz w:val="16"/>
              </w:rPr>
              <w:t>14</w:t>
            </w:r>
          </w:p>
        </w:tc>
        <w:tc>
          <w:tcPr>
            <w:tcW w:type="dxa" w:w="2160"/>
          </w:tcPr>
          <w:p>
            <w:r>
              <w:rPr>
                <w:sz w:val="16"/>
              </w:rPr>
              <w:t>(a) Characteristics of participants and information on exposures and potential confounders; (b) number with missing data for each variable; (c) summarise follow-up time</w:t>
            </w:r>
          </w:p>
        </w:tc>
        <w:tc>
          <w:tcPr>
            <w:tcW w:type="dxa" w:w="2160"/>
          </w:tcPr>
          <w:p>
            <w:r>
              <w:rPr>
                <w:sz w:val="16"/>
              </w:rPr>
              <w:t>Table 1 (baseline by group); missing-data note (BMI 58%, lactate 69%; other covariates ≤1%); follow-up 28 days</w:t>
            </w:r>
          </w:p>
        </w:tc>
      </w:tr>
      <w:tr>
        <w:tc>
          <w:tcPr>
            <w:tcW w:type="dxa" w:w="2160"/>
          </w:tcPr>
          <w:p>
            <w:r>
              <w:rPr>
                <w:sz w:val="16"/>
              </w:rPr>
              <w:t>Outcome data</w:t>
            </w:r>
          </w:p>
        </w:tc>
        <w:tc>
          <w:tcPr>
            <w:tcW w:type="dxa" w:w="2160"/>
          </w:tcPr>
          <w:p>
            <w:r>
              <w:rPr>
                <w:sz w:val="16"/>
              </w:rPr>
              <w:t>15</w:t>
            </w:r>
          </w:p>
        </w:tc>
        <w:tc>
          <w:tcPr>
            <w:tcW w:type="dxa" w:w="2160"/>
          </w:tcPr>
          <w:p>
            <w:r>
              <w:rPr>
                <w:sz w:val="16"/>
              </w:rPr>
              <w:t>Report numbers of outcome events or summary measures over time</w:t>
            </w:r>
          </w:p>
        </w:tc>
        <w:tc>
          <w:tcPr>
            <w:tcW w:type="dxa" w:w="2160"/>
          </w:tcPr>
          <w:p>
            <w:r>
              <w:rPr>
                <w:sz w:val="16"/>
              </w:rPr>
              <w:t>Results; Tables 2–3 (28-day deaths 557 [14.4%]; 131 deaths in the lower-TyG/high-SHR group = 23.5% of all deaths)</w:t>
            </w:r>
          </w:p>
        </w:tc>
      </w:tr>
      <w:tr>
        <w:tc>
          <w:tcPr>
            <w:tcW w:type="dxa" w:w="2160"/>
          </w:tcPr>
          <w:p>
            <w:r>
              <w:rPr>
                <w:sz w:val="16"/>
              </w:rPr>
              <w:t>Main results</w:t>
            </w:r>
          </w:p>
        </w:tc>
        <w:tc>
          <w:tcPr>
            <w:tcW w:type="dxa" w:w="2160"/>
          </w:tcPr>
          <w:p>
            <w:r>
              <w:rPr>
                <w:sz w:val="16"/>
              </w:rPr>
              <w:t>16</w:t>
            </w:r>
          </w:p>
        </w:tc>
        <w:tc>
          <w:tcPr>
            <w:tcW w:type="dxa" w:w="2160"/>
          </w:tcPr>
          <w:p>
            <w:r>
              <w:rPr>
                <w:sz w:val="16"/>
              </w:rPr>
              <w:t>(a) Unadjusted and confounder-adjusted estimates and their precision (e.g., 95% CI); (b) report category boundaries when continuous variables were categorized; (c) translate relative risk into absolute risk for a meaningful time period</w:t>
            </w:r>
          </w:p>
        </w:tc>
        <w:tc>
          <w:tcPr>
            <w:tcW w:type="dxa" w:w="2160"/>
          </w:tcPr>
          <w:p>
            <w:r>
              <w:rPr>
                <w:sz w:val="16"/>
              </w:rPr>
              <w:t>Tables 2–4; adjusted HR 1.62 (1.26–2.07); median cut-points reported; absolute mortality 18.0% vs 11.2%</w:t>
            </w:r>
          </w:p>
        </w:tc>
      </w:tr>
      <w:tr>
        <w:tc>
          <w:tcPr>
            <w:tcW w:type="dxa" w:w="2160"/>
          </w:tcPr>
          <w:p>
            <w:r>
              <w:rPr>
                <w:sz w:val="16"/>
              </w:rPr>
              <w:t>Other analyses</w:t>
            </w:r>
          </w:p>
        </w:tc>
        <w:tc>
          <w:tcPr>
            <w:tcW w:type="dxa" w:w="2160"/>
          </w:tcPr>
          <w:p>
            <w:r>
              <w:rPr>
                <w:sz w:val="16"/>
              </w:rPr>
              <w:t>17</w:t>
            </w:r>
          </w:p>
        </w:tc>
        <w:tc>
          <w:tcPr>
            <w:tcW w:type="dxa" w:w="2160"/>
          </w:tcPr>
          <w:p>
            <w:r>
              <w:rPr>
                <w:sz w:val="16"/>
              </w:rPr>
              <w:t>Report other analyses done — e.g., analyses of subgroups and interactions, and sensitivity analyses</w:t>
            </w:r>
          </w:p>
        </w:tc>
        <w:tc>
          <w:tcPr>
            <w:tcW w:type="dxa" w:w="2160"/>
          </w:tcPr>
          <w:p>
            <w:r>
              <w:rPr>
                <w:sz w:val="16"/>
              </w:rPr>
              <w:t>Table 5 and Results — continuous discordance, decoupled parameterization, HbA1c-distortion exclusions, IPW, competing-risk AKI, interaction tests, E-value, incremental discrimination and net reclassification</w:t>
            </w:r>
          </w:p>
        </w:tc>
      </w:tr>
      <w:tr>
        <w:tc>
          <w:tcPr>
            <w:tcW w:type="dxa" w:w="8640"/>
            <w:gridSpan w:val="4"/>
          </w:tcPr>
          <w:p>
            <w:r>
              <w:rPr>
                <w:b/>
                <w:sz w:val="18"/>
              </w:rPr>
              <w:t>Discussion</w:t>
            </w:r>
          </w:p>
        </w:tc>
      </w:tr>
      <w:tr>
        <w:tc>
          <w:tcPr>
            <w:tcW w:type="dxa" w:w="2160"/>
          </w:tcPr>
          <w:p>
            <w:r>
              <w:rPr>
                <w:sz w:val="16"/>
              </w:rPr>
              <w:t>Key results</w:t>
            </w:r>
          </w:p>
        </w:tc>
        <w:tc>
          <w:tcPr>
            <w:tcW w:type="dxa" w:w="2160"/>
          </w:tcPr>
          <w:p>
            <w:r>
              <w:rPr>
                <w:sz w:val="16"/>
              </w:rPr>
              <w:t>18</w:t>
            </w:r>
          </w:p>
        </w:tc>
        <w:tc>
          <w:tcPr>
            <w:tcW w:type="dxa" w:w="2160"/>
          </w:tcPr>
          <w:p>
            <w:r>
              <w:rPr>
                <w:sz w:val="16"/>
              </w:rPr>
              <w:t>Summarise key results with reference to study objectives</w:t>
            </w:r>
          </w:p>
        </w:tc>
        <w:tc>
          <w:tcPr>
            <w:tcW w:type="dxa" w:w="2160"/>
          </w:tcPr>
          <w:p>
            <w:r>
              <w:rPr>
                <w:sz w:val="16"/>
              </w:rPr>
              <w:t>Discussion, opening paragraph</w:t>
            </w:r>
          </w:p>
        </w:tc>
      </w:tr>
      <w:tr>
        <w:tc>
          <w:tcPr>
            <w:tcW w:type="dxa" w:w="2160"/>
          </w:tcPr>
          <w:p>
            <w:r>
              <w:rPr>
                <w:sz w:val="16"/>
              </w:rPr>
              <w:t>Limitations</w:t>
            </w:r>
          </w:p>
        </w:tc>
        <w:tc>
          <w:tcPr>
            <w:tcW w:type="dxa" w:w="2160"/>
          </w:tcPr>
          <w:p>
            <w:r>
              <w:rPr>
                <w:sz w:val="16"/>
              </w:rPr>
              <w:t>19</w:t>
            </w:r>
          </w:p>
        </w:tc>
        <w:tc>
          <w:tcPr>
            <w:tcW w:type="dxa" w:w="2160"/>
          </w:tcPr>
          <w:p>
            <w:r>
              <w:rPr>
                <w:sz w:val="16"/>
              </w:rPr>
              <w:t>Discuss limitations, taking into account sources of potential bias or imprecision. Discuss both direction and magnitude of any potential bias</w:t>
            </w:r>
          </w:p>
        </w:tc>
        <w:tc>
          <w:tcPr>
            <w:tcW w:type="dxa" w:w="2160"/>
          </w:tcPr>
          <w:p>
            <w:r>
              <w:rPr>
                <w:sz w:val="16"/>
              </w:rPr>
              <w:t>Discussion — limitations paragraph (single database; residual selection; AKI null; modest discrimination gain; mathematical coupling of SHR and glucose; no treatment inference)</w:t>
            </w:r>
          </w:p>
        </w:tc>
      </w:tr>
      <w:tr>
        <w:tc>
          <w:tcPr>
            <w:tcW w:type="dxa" w:w="2160"/>
          </w:tcPr>
          <w:p>
            <w:r>
              <w:rPr>
                <w:sz w:val="16"/>
              </w:rPr>
              <w:t>Interpretation</w:t>
            </w:r>
          </w:p>
        </w:tc>
        <w:tc>
          <w:tcPr>
            <w:tcW w:type="dxa" w:w="2160"/>
          </w:tcPr>
          <w:p>
            <w:r>
              <w:rPr>
                <w:sz w:val="16"/>
              </w:rPr>
              <w:t>20</w:t>
            </w:r>
          </w:p>
        </w:tc>
        <w:tc>
          <w:tcPr>
            <w:tcW w:type="dxa" w:w="2160"/>
          </w:tcPr>
          <w:p>
            <w:r>
              <w:rPr>
                <w:sz w:val="16"/>
              </w:rPr>
              <w:t>Give a cautious overall interpretation of results considering objectives, limitations, multiplicity of analyses, results from similar studies, and other relevant evidence</w:t>
            </w:r>
          </w:p>
        </w:tc>
        <w:tc>
          <w:tcPr>
            <w:tcW w:type="dxa" w:w="2160"/>
          </w:tcPr>
          <w:p>
            <w:r>
              <w:rPr>
                <w:sz w:val="16"/>
              </w:rPr>
              <w:t>Discussion — Relation to prior work and interpretation paragraphs (prognostic, not causal; earlier risk recognition and trial enrichment, not a treatment target)</w:t>
            </w:r>
          </w:p>
        </w:tc>
      </w:tr>
      <w:tr>
        <w:tc>
          <w:tcPr>
            <w:tcW w:type="dxa" w:w="2160"/>
          </w:tcPr>
          <w:p>
            <w:r>
              <w:rPr>
                <w:sz w:val="16"/>
              </w:rPr>
              <w:t>Generalisability</w:t>
            </w:r>
          </w:p>
        </w:tc>
        <w:tc>
          <w:tcPr>
            <w:tcW w:type="dxa" w:w="2160"/>
          </w:tcPr>
          <w:p>
            <w:r>
              <w:rPr>
                <w:sz w:val="16"/>
              </w:rPr>
              <w:t>21</w:t>
            </w:r>
          </w:p>
        </w:tc>
        <w:tc>
          <w:tcPr>
            <w:tcW w:type="dxa" w:w="2160"/>
          </w:tcPr>
          <w:p>
            <w:r>
              <w:rPr>
                <w:sz w:val="16"/>
              </w:rPr>
              <w:t>Discuss the generalisability (external validity) of the study results</w:t>
            </w:r>
          </w:p>
        </w:tc>
        <w:tc>
          <w:tcPr>
            <w:tcW w:type="dxa" w:w="2160"/>
          </w:tcPr>
          <w:p>
            <w:r>
              <w:rPr>
                <w:sz w:val="16"/>
              </w:rPr>
              <w:t>Discussion — limitations (MIMIC-IV ICU population; SHR not externally validated in eICU owing to absent HbA1c)</w:t>
            </w:r>
          </w:p>
        </w:tc>
      </w:tr>
      <w:tr>
        <w:tc>
          <w:tcPr>
            <w:tcW w:type="dxa" w:w="8640"/>
            <w:gridSpan w:val="4"/>
          </w:tcPr>
          <w:p>
            <w:r>
              <w:rPr>
                <w:b/>
                <w:sz w:val="18"/>
              </w:rPr>
              <w:t>Other information</w:t>
            </w:r>
          </w:p>
        </w:tc>
      </w:tr>
      <w:tr>
        <w:tc>
          <w:tcPr>
            <w:tcW w:type="dxa" w:w="2160"/>
          </w:tcPr>
          <w:p>
            <w:r>
              <w:rPr>
                <w:sz w:val="16"/>
              </w:rPr>
              <w:t>Funding</w:t>
            </w:r>
          </w:p>
        </w:tc>
        <w:tc>
          <w:tcPr>
            <w:tcW w:type="dxa" w:w="2160"/>
          </w:tcPr>
          <w:p>
            <w:r>
              <w:rPr>
                <w:sz w:val="16"/>
              </w:rPr>
              <w:t>22</w:t>
            </w:r>
          </w:p>
        </w:tc>
        <w:tc>
          <w:tcPr>
            <w:tcW w:type="dxa" w:w="2160"/>
          </w:tcPr>
          <w:p>
            <w:r>
              <w:rPr>
                <w:sz w:val="16"/>
              </w:rPr>
              <w:t>Give the source of funding and the role of the funders for the present study and, if applicable, for the original study on which the present article is based</w:t>
            </w:r>
          </w:p>
        </w:tc>
        <w:tc>
          <w:tcPr>
            <w:tcW w:type="dxa" w:w="2160"/>
          </w:tcPr>
          <w:p>
            <w:r>
              <w:rPr>
                <w:sz w:val="16"/>
              </w:rPr>
              <w:t>Declarations — Funding (no specific grant)</w:t>
            </w:r>
          </w:p>
        </w:tc>
      </w:tr>
    </w:tbl>
    <w:p>
      <w:r>
        <w:rPr>
          <w:i/>
          <w:sz w:val="16"/>
        </w:rPr>
        <w:t>An Explanation and Elaboration article discusses each checklist item and gives methodological background and published examples of transparent reporting. The STROBE checklist is best used in conjunction with that article (freely available at www.strobe-statement.org).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