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56DF3" w14:textId="05A9EABF" w:rsidR="00B45CB0" w:rsidRDefault="00B45CB0">
      <w:pPr>
        <w:rPr>
          <w:rFonts w:ascii="Arial" w:hAnsi="Arial" w:cs="Arial"/>
        </w:rPr>
      </w:pPr>
      <w:r w:rsidRPr="00B45CB0">
        <w:rPr>
          <w:rFonts w:ascii="Arial" w:hAnsi="Arial" w:cs="Arial"/>
          <w:b/>
          <w:bCs/>
        </w:rPr>
        <w:t>Supplemental Figure 1.</w:t>
      </w:r>
      <w:r>
        <w:rPr>
          <w:rFonts w:ascii="Arial" w:hAnsi="Arial" w:cs="Arial"/>
        </w:rPr>
        <w:t xml:space="preserve"> </w:t>
      </w:r>
      <w:r w:rsidRPr="00B45CB0">
        <w:rPr>
          <w:rFonts w:ascii="Arial" w:hAnsi="Arial" w:cs="Arial"/>
        </w:rPr>
        <w:t xml:space="preserve">Longitudinal genus-level composition of </w:t>
      </w:r>
      <w:r w:rsidRPr="00175D9E">
        <w:rPr>
          <w:rFonts w:ascii="Arial" w:hAnsi="Arial" w:cs="Arial"/>
          <w:i/>
          <w:iCs/>
        </w:rPr>
        <w:t xml:space="preserve">Muribaculaceae </w:t>
      </w:r>
      <w:r w:rsidRPr="00B45CB0">
        <w:rPr>
          <w:rFonts w:ascii="Arial" w:hAnsi="Arial" w:cs="Arial"/>
        </w:rPr>
        <w:t xml:space="preserve">during tacrolimus-associated microbiome succession. </w:t>
      </w:r>
      <w:r w:rsidRPr="00175D9E">
        <w:rPr>
          <w:rFonts w:ascii="Arial" w:hAnsi="Arial" w:cs="Arial"/>
          <w:i/>
          <w:iCs/>
        </w:rPr>
        <w:t xml:space="preserve">Muribaculaceae </w:t>
      </w:r>
      <w:r w:rsidRPr="00B45CB0">
        <w:rPr>
          <w:rFonts w:ascii="Arial" w:hAnsi="Arial" w:cs="Arial"/>
        </w:rPr>
        <w:t xml:space="preserve">features aggregated at the genus level. Bars show relative abundance of individual </w:t>
      </w:r>
      <w:r w:rsidRPr="00175D9E">
        <w:rPr>
          <w:rFonts w:ascii="Arial" w:hAnsi="Arial" w:cs="Arial"/>
          <w:i/>
          <w:iCs/>
        </w:rPr>
        <w:t xml:space="preserve">Muribaculaceae </w:t>
      </w:r>
      <w:r w:rsidRPr="00B45CB0">
        <w:rPr>
          <w:rFonts w:ascii="Arial" w:hAnsi="Arial" w:cs="Arial"/>
        </w:rPr>
        <w:t xml:space="preserve">genera at days 0, 3, 7, 14, 21, 28, 35, and 40 after cardiac transplantation under daily tacrolimus treatment. </w:t>
      </w:r>
    </w:p>
    <w:p w14:paraId="4DDCDD31" w14:textId="16B82640" w:rsidR="00A850B1" w:rsidRDefault="00A850B1">
      <w:pPr>
        <w:rPr>
          <w:rFonts w:ascii="Arial" w:hAnsi="Arial" w:cs="Arial"/>
        </w:rPr>
      </w:pPr>
      <w:r w:rsidRPr="00A850B1">
        <w:rPr>
          <w:rFonts w:ascii="Arial" w:hAnsi="Arial" w:cs="Arial"/>
          <w:b/>
          <w:bCs/>
        </w:rPr>
        <w:t xml:space="preserve">Supplemental Figure </w:t>
      </w:r>
      <w:r>
        <w:rPr>
          <w:rFonts w:ascii="Arial" w:hAnsi="Arial" w:cs="Arial"/>
          <w:b/>
          <w:bCs/>
        </w:rPr>
        <w:t>2</w:t>
      </w:r>
      <w:r w:rsidRPr="00A850B1">
        <w:rPr>
          <w:rFonts w:ascii="Arial" w:hAnsi="Arial" w:cs="Arial"/>
          <w:b/>
          <w:bCs/>
        </w:rPr>
        <w:t xml:space="preserve">. </w:t>
      </w:r>
      <w:r w:rsidRPr="00A850B1">
        <w:rPr>
          <w:rFonts w:ascii="Arial" w:hAnsi="Arial" w:cs="Arial"/>
        </w:rPr>
        <w:t>Longitudinal remodeling and taxonomic attribution of choline- and phosphatidylcholine-associated microbial functions during chronic tacrolimus treatment. Longitudinal fecal metagenomes from tacrolimus</w:t>
      </w:r>
      <w:r>
        <w:rPr>
          <w:rFonts w:ascii="Arial" w:hAnsi="Arial" w:cs="Arial"/>
        </w:rPr>
        <w:t>-only</w:t>
      </w:r>
      <w:r w:rsidRPr="00A850B1">
        <w:rPr>
          <w:rFonts w:ascii="Arial" w:hAnsi="Arial" w:cs="Arial"/>
        </w:rPr>
        <w:t xml:space="preserve"> </w:t>
      </w:r>
      <w:r>
        <w:rPr>
          <w:rFonts w:ascii="Arial" w:hAnsi="Arial" w:cs="Arial"/>
        </w:rPr>
        <w:t>treated</w:t>
      </w:r>
      <w:r w:rsidRPr="00A850B1">
        <w:rPr>
          <w:rFonts w:ascii="Arial" w:hAnsi="Arial" w:cs="Arial"/>
        </w:rPr>
        <w:t xml:space="preserve"> mice analyzed with HUMAnN4 to relate microbial functional profiles to taxonomic succession. (A) Longitudinal abundance trajectories of acetylcholinesterase, choline kinase, choline sulfatase, and phosphatidylcholine acyl editing across the post-transplant time course. (B) Stratified contributor analysis showing the microbial lineages contributing to each function. Bar length indicates abundance contributed by each taxonomic lineage to the indicated function.</w:t>
      </w:r>
    </w:p>
    <w:p w14:paraId="253DA8DA" w14:textId="31A02FCE" w:rsidR="000A46D2" w:rsidRDefault="000A46D2">
      <w:pPr>
        <w:rPr>
          <w:rFonts w:ascii="Arial" w:hAnsi="Arial" w:cs="Arial"/>
        </w:rPr>
      </w:pPr>
      <w:r w:rsidRPr="000A46D2">
        <w:rPr>
          <w:rFonts w:ascii="Arial" w:hAnsi="Arial" w:cs="Arial"/>
          <w:b/>
          <w:bCs/>
        </w:rPr>
        <w:t xml:space="preserve">Supplemental Figure </w:t>
      </w:r>
      <w:r>
        <w:rPr>
          <w:rFonts w:ascii="Arial" w:hAnsi="Arial" w:cs="Arial"/>
          <w:b/>
          <w:bCs/>
        </w:rPr>
        <w:t>3</w:t>
      </w:r>
      <w:r w:rsidRPr="000A46D2">
        <w:rPr>
          <w:rFonts w:ascii="Arial" w:hAnsi="Arial" w:cs="Arial"/>
          <w:b/>
          <w:bCs/>
        </w:rPr>
        <w:t xml:space="preserve">. </w:t>
      </w:r>
      <w:r w:rsidRPr="000A46D2">
        <w:rPr>
          <w:rFonts w:ascii="Arial" w:hAnsi="Arial" w:cs="Arial"/>
        </w:rPr>
        <w:t>Longitudinal convergence of microbial functional and taxonomic profiles during chronic tacrolimus treatment. Bray</w:t>
      </w:r>
      <w:r>
        <w:rPr>
          <w:rFonts w:ascii="Arial" w:hAnsi="Arial" w:cs="Arial"/>
        </w:rPr>
        <w:t>-</w:t>
      </w:r>
      <w:proofErr w:type="gramStart"/>
      <w:r w:rsidRPr="000A46D2">
        <w:rPr>
          <w:rFonts w:ascii="Arial" w:hAnsi="Arial" w:cs="Arial"/>
        </w:rPr>
        <w:t>Curtis</w:t>
      </w:r>
      <w:proofErr w:type="gramEnd"/>
      <w:r w:rsidRPr="000A46D2">
        <w:rPr>
          <w:rFonts w:ascii="Arial" w:hAnsi="Arial" w:cs="Arial"/>
        </w:rPr>
        <w:t xml:space="preserve"> dissimilarities calculated from HUMAnN4 pathway profiles (left) and family-level taxonomic profiles (right) and visualized by principal coordinate analysis. Points represent day-specific community centroids, colored by sampling day, and connected in temporal order from day 0 through day 40. </w:t>
      </w:r>
    </w:p>
    <w:p w14:paraId="408E47EA" w14:textId="6956C168" w:rsidR="00376AA1" w:rsidRDefault="00376AA1">
      <w:pPr>
        <w:rPr>
          <w:rFonts w:ascii="Arial" w:hAnsi="Arial" w:cs="Arial"/>
        </w:rPr>
      </w:pPr>
      <w:r w:rsidRPr="00376AA1">
        <w:rPr>
          <w:rFonts w:ascii="Arial" w:hAnsi="Arial" w:cs="Arial"/>
          <w:b/>
          <w:bCs/>
        </w:rPr>
        <w:t>Supplemental Figure 4.</w:t>
      </w:r>
      <w:r w:rsidRPr="00376AA1">
        <w:rPr>
          <w:rFonts w:ascii="Arial" w:hAnsi="Arial" w:cs="Arial"/>
        </w:rPr>
        <w:t xml:space="preserve"> Time-dependent remodeling of the intestinal luminal and serum metabolomes after cardiac transplantation under chronic tacrolimus treatment. Unsupervised hierarchical clustering of normalized metabolite abundance in (</w:t>
      </w:r>
      <w:r w:rsidRPr="00376AA1">
        <w:rPr>
          <w:rFonts w:ascii="Arial" w:hAnsi="Arial" w:cs="Arial"/>
          <w:b/>
          <w:bCs/>
        </w:rPr>
        <w:t>A</w:t>
      </w:r>
      <w:r w:rsidRPr="00376AA1">
        <w:rPr>
          <w:rFonts w:ascii="Arial" w:hAnsi="Arial" w:cs="Arial"/>
        </w:rPr>
        <w:t>) ileal intraluminal contents and (</w:t>
      </w:r>
      <w:r w:rsidRPr="00376AA1">
        <w:rPr>
          <w:rFonts w:ascii="Arial" w:hAnsi="Arial" w:cs="Arial"/>
          <w:b/>
          <w:bCs/>
        </w:rPr>
        <w:t>B</w:t>
      </w:r>
      <w:r w:rsidRPr="00376AA1">
        <w:rPr>
          <w:rFonts w:ascii="Arial" w:hAnsi="Arial" w:cs="Arial"/>
        </w:rPr>
        <w:t xml:space="preserve">) serum collected at day 0, after antibiotic conditioning but before transplantation and tacrolimus initiation, and at days 3 and 40 after transplantation. Heatmap values show row-scaled normalized abundance, with red indicating higher and blue indicating lower relative abundance for each metabolite. </w:t>
      </w:r>
    </w:p>
    <w:p w14:paraId="412A0149" w14:textId="1D35B40B" w:rsidR="003F3E64" w:rsidRDefault="003F3E64">
      <w:pPr>
        <w:rPr>
          <w:rFonts w:ascii="Arial" w:hAnsi="Arial" w:cs="Arial"/>
        </w:rPr>
      </w:pPr>
      <w:r w:rsidRPr="003F3E64">
        <w:rPr>
          <w:rFonts w:ascii="Arial" w:hAnsi="Arial" w:cs="Arial"/>
          <w:b/>
          <w:bCs/>
        </w:rPr>
        <w:t xml:space="preserve">Supplemental Figure 5. </w:t>
      </w:r>
      <w:r w:rsidRPr="003F3E64">
        <w:rPr>
          <w:rFonts w:ascii="Arial" w:hAnsi="Arial" w:cs="Arial"/>
        </w:rPr>
        <w:t xml:space="preserve">Representative longitudinal metabolite changes in the intestinal lumen and circulation after cardiac transplantation under chronic tacrolimus treatment. Boxplots show normalized metabolite abundance at day 0, after antibiotic conditioning but before transplantation and tacrolimus initiation, and at days 3 and 40 after transplantation. (A) Ileal intraluminal metabolites. (B) Serum metabolites. Differences across time points assessed by one-way ANOVA with Tukey HSD post hoc pairwise comparisons and Benjamini–Hochberg correction across metabolites. Asterisks denote significant pairwise differences: </w:t>
      </w:r>
      <w:r w:rsidR="00BC53E6">
        <w:rPr>
          <w:rFonts w:ascii="Arial" w:hAnsi="Arial" w:cs="Arial"/>
        </w:rPr>
        <w:t>*</w:t>
      </w:r>
      <w:r w:rsidRPr="003F3E64">
        <w:rPr>
          <w:rFonts w:ascii="Arial" w:hAnsi="Arial" w:cs="Arial"/>
        </w:rPr>
        <w:t xml:space="preserve">P &lt; 0.05, </w:t>
      </w:r>
      <w:r w:rsidR="00BC53E6">
        <w:rPr>
          <w:rFonts w:ascii="Arial" w:hAnsi="Arial" w:cs="Arial"/>
        </w:rPr>
        <w:t>**</w:t>
      </w:r>
      <w:r w:rsidRPr="003F3E64">
        <w:rPr>
          <w:rFonts w:ascii="Arial" w:hAnsi="Arial" w:cs="Arial"/>
        </w:rPr>
        <w:t xml:space="preserve">P &lt; 0.01, </w:t>
      </w:r>
      <w:r w:rsidR="00BC53E6">
        <w:rPr>
          <w:rFonts w:ascii="Arial" w:hAnsi="Arial" w:cs="Arial"/>
        </w:rPr>
        <w:t>***</w:t>
      </w:r>
      <w:r w:rsidRPr="003F3E64">
        <w:rPr>
          <w:rFonts w:ascii="Arial" w:hAnsi="Arial" w:cs="Arial"/>
        </w:rPr>
        <w:t>P &lt; 0.001</w:t>
      </w:r>
      <w:r w:rsidR="00C06EDB">
        <w:rPr>
          <w:rFonts w:ascii="Arial" w:hAnsi="Arial" w:cs="Arial"/>
        </w:rPr>
        <w:t>.</w:t>
      </w:r>
      <w:r w:rsidRPr="003F3E64">
        <w:rPr>
          <w:rFonts w:ascii="Arial" w:hAnsi="Arial" w:cs="Arial"/>
        </w:rPr>
        <w:t xml:space="preserve"> </w:t>
      </w:r>
    </w:p>
    <w:p w14:paraId="3BEFB682" w14:textId="574A6D03" w:rsidR="0089306D" w:rsidRDefault="0089306D">
      <w:pPr>
        <w:rPr>
          <w:rFonts w:ascii="Arial" w:hAnsi="Arial" w:cs="Arial"/>
        </w:rPr>
      </w:pPr>
      <w:r w:rsidRPr="0089306D">
        <w:rPr>
          <w:rFonts w:ascii="Arial" w:hAnsi="Arial" w:cs="Arial"/>
          <w:b/>
          <w:bCs/>
        </w:rPr>
        <w:t xml:space="preserve">Supplemental Figure </w:t>
      </w:r>
      <w:r>
        <w:rPr>
          <w:rFonts w:ascii="Arial" w:hAnsi="Arial" w:cs="Arial"/>
          <w:b/>
          <w:bCs/>
        </w:rPr>
        <w:t>6</w:t>
      </w:r>
      <w:r w:rsidRPr="0089306D">
        <w:rPr>
          <w:rFonts w:ascii="Arial" w:hAnsi="Arial" w:cs="Arial"/>
          <w:b/>
          <w:bCs/>
        </w:rPr>
        <w:t xml:space="preserve">. </w:t>
      </w:r>
      <w:r w:rsidR="00643329">
        <w:rPr>
          <w:rFonts w:ascii="Arial" w:hAnsi="Arial" w:cs="Arial"/>
        </w:rPr>
        <w:t>O</w:t>
      </w:r>
      <w:r w:rsidRPr="0089306D">
        <w:rPr>
          <w:rFonts w:ascii="Arial" w:hAnsi="Arial" w:cs="Arial"/>
        </w:rPr>
        <w:t>rdination of gut microbial community structure after bacterial supplementation under chronic tacrolimus treatment. Principal coordinate analysis of Bray</w:t>
      </w:r>
      <w:r w:rsidR="00643329">
        <w:rPr>
          <w:rFonts w:ascii="Arial" w:hAnsi="Arial" w:cs="Arial"/>
        </w:rPr>
        <w:t>-</w:t>
      </w:r>
      <w:proofErr w:type="gramStart"/>
      <w:r w:rsidRPr="0089306D">
        <w:rPr>
          <w:rFonts w:ascii="Arial" w:hAnsi="Arial" w:cs="Arial"/>
        </w:rPr>
        <w:t>Curtis</w:t>
      </w:r>
      <w:proofErr w:type="gramEnd"/>
      <w:r w:rsidRPr="0089306D">
        <w:rPr>
          <w:rFonts w:ascii="Arial" w:hAnsi="Arial" w:cs="Arial"/>
        </w:rPr>
        <w:t xml:space="preserve"> dissimilarities performed on longitudinal fecal microbiome profiles from </w:t>
      </w:r>
      <w:r w:rsidRPr="0089306D">
        <w:rPr>
          <w:rFonts w:ascii="Arial" w:hAnsi="Arial" w:cs="Arial"/>
        </w:rPr>
        <w:lastRenderedPageBreak/>
        <w:t xml:space="preserve">cardiac allograft recipients treated with chronic tacrolimus and </w:t>
      </w:r>
      <w:proofErr w:type="spellStart"/>
      <w:r w:rsidRPr="0089306D">
        <w:rPr>
          <w:rFonts w:ascii="Arial" w:hAnsi="Arial" w:cs="Arial"/>
        </w:rPr>
        <w:t>gavaged</w:t>
      </w:r>
      <w:proofErr w:type="spellEnd"/>
      <w:r w:rsidRPr="0089306D">
        <w:rPr>
          <w:rFonts w:ascii="Arial" w:hAnsi="Arial" w:cs="Arial"/>
        </w:rPr>
        <w:t xml:space="preserve"> with PBS control (</w:t>
      </w:r>
      <w:proofErr w:type="spellStart"/>
      <w:r w:rsidRPr="0089306D">
        <w:rPr>
          <w:rFonts w:ascii="Arial" w:hAnsi="Arial" w:cs="Arial"/>
        </w:rPr>
        <w:t>Ctl</w:t>
      </w:r>
      <w:proofErr w:type="spellEnd"/>
      <w:r w:rsidRPr="0089306D">
        <w:rPr>
          <w:rFonts w:ascii="Arial" w:hAnsi="Arial" w:cs="Arial"/>
        </w:rPr>
        <w:t xml:space="preserve">), </w:t>
      </w:r>
      <w:r w:rsidRPr="007535B0">
        <w:rPr>
          <w:rFonts w:ascii="Arial" w:hAnsi="Arial" w:cs="Arial"/>
          <w:i/>
          <w:iCs/>
        </w:rPr>
        <w:t>Bifido</w:t>
      </w:r>
      <w:r w:rsidRPr="0089306D">
        <w:rPr>
          <w:rFonts w:ascii="Arial" w:hAnsi="Arial" w:cs="Arial"/>
        </w:rPr>
        <w:t xml:space="preserve">, or </w:t>
      </w:r>
      <w:proofErr w:type="spellStart"/>
      <w:r w:rsidRPr="007535B0">
        <w:rPr>
          <w:rFonts w:ascii="Arial" w:hAnsi="Arial" w:cs="Arial"/>
          <w:i/>
          <w:iCs/>
        </w:rPr>
        <w:t>Desulfo</w:t>
      </w:r>
      <w:proofErr w:type="spellEnd"/>
      <w:r w:rsidRPr="0089306D">
        <w:rPr>
          <w:rFonts w:ascii="Arial" w:hAnsi="Arial" w:cs="Arial"/>
        </w:rPr>
        <w:t>. Each panel shows samples collected at the indicated time point from day 0 to day 40</w:t>
      </w:r>
      <w:r w:rsidR="00936494">
        <w:rPr>
          <w:rFonts w:ascii="Arial" w:hAnsi="Arial" w:cs="Arial"/>
        </w:rPr>
        <w:t>;</w:t>
      </w:r>
      <w:r w:rsidRPr="0089306D">
        <w:rPr>
          <w:rFonts w:ascii="Arial" w:hAnsi="Arial" w:cs="Arial"/>
        </w:rPr>
        <w:t xml:space="preserve"> each point represents an individual mouse. Colors and symbols denote treatment groups. </w:t>
      </w:r>
    </w:p>
    <w:p w14:paraId="7356CB92" w14:textId="23ADE9AC" w:rsidR="007940AF" w:rsidRDefault="00DE1C76">
      <w:pPr>
        <w:rPr>
          <w:rFonts w:ascii="Arial" w:hAnsi="Arial" w:cs="Arial"/>
        </w:rPr>
      </w:pPr>
      <w:r w:rsidRPr="00DE1C76">
        <w:rPr>
          <w:rFonts w:ascii="Arial" w:hAnsi="Arial" w:cs="Arial"/>
          <w:b/>
          <w:bCs/>
        </w:rPr>
        <w:t xml:space="preserve">Supplemental Figure 7. </w:t>
      </w:r>
      <w:r w:rsidRPr="00DE1C76">
        <w:rPr>
          <w:rFonts w:ascii="Arial" w:hAnsi="Arial" w:cs="Arial"/>
        </w:rPr>
        <w:t xml:space="preserve">Longitudinal microbiome remodeling after bacterial supplementation under chronic tacrolimus treatment. Species-level fecal microbiome profiles from cardiac allograft recipients treated with chronic tacrolimus and </w:t>
      </w:r>
      <w:proofErr w:type="spellStart"/>
      <w:r w:rsidRPr="00DE1C76">
        <w:rPr>
          <w:rFonts w:ascii="Arial" w:hAnsi="Arial" w:cs="Arial"/>
        </w:rPr>
        <w:t>gavaged</w:t>
      </w:r>
      <w:proofErr w:type="spellEnd"/>
      <w:r w:rsidRPr="00DE1C76">
        <w:rPr>
          <w:rFonts w:ascii="Arial" w:hAnsi="Arial" w:cs="Arial"/>
        </w:rPr>
        <w:t xml:space="preserve"> with PBS control (</w:t>
      </w:r>
      <w:proofErr w:type="spellStart"/>
      <w:r w:rsidRPr="00DE1C76">
        <w:rPr>
          <w:rFonts w:ascii="Arial" w:hAnsi="Arial" w:cs="Arial"/>
        </w:rPr>
        <w:t>Ctl</w:t>
      </w:r>
      <w:proofErr w:type="spellEnd"/>
      <w:r w:rsidR="005D1207">
        <w:rPr>
          <w:rFonts w:ascii="Arial" w:hAnsi="Arial" w:cs="Arial"/>
        </w:rPr>
        <w:t>, tacrolimus-only</w:t>
      </w:r>
      <w:r w:rsidRPr="00DE1C76">
        <w:rPr>
          <w:rFonts w:ascii="Arial" w:hAnsi="Arial" w:cs="Arial"/>
        </w:rPr>
        <w:t xml:space="preserve">), </w:t>
      </w:r>
      <w:r w:rsidRPr="00DE1C76">
        <w:rPr>
          <w:rFonts w:ascii="Arial" w:hAnsi="Arial" w:cs="Arial"/>
          <w:i/>
          <w:iCs/>
        </w:rPr>
        <w:t>Bifido</w:t>
      </w:r>
      <w:r w:rsidRPr="00DE1C76">
        <w:rPr>
          <w:rFonts w:ascii="Arial" w:hAnsi="Arial" w:cs="Arial"/>
        </w:rPr>
        <w:t xml:space="preserve">, or </w:t>
      </w:r>
      <w:proofErr w:type="spellStart"/>
      <w:r w:rsidRPr="00DE1C76">
        <w:rPr>
          <w:rFonts w:ascii="Arial" w:hAnsi="Arial" w:cs="Arial"/>
          <w:i/>
          <w:iCs/>
        </w:rPr>
        <w:t>Desulfo</w:t>
      </w:r>
      <w:proofErr w:type="spellEnd"/>
      <w:r w:rsidRPr="00DE1C76">
        <w:rPr>
          <w:rFonts w:ascii="Arial" w:hAnsi="Arial" w:cs="Arial"/>
        </w:rPr>
        <w:t xml:space="preserve"> shown as a longitudinal heatmap. Columns grouped by treatment and ordered by sampling day</w:t>
      </w:r>
      <w:r>
        <w:rPr>
          <w:rFonts w:ascii="Arial" w:hAnsi="Arial" w:cs="Arial"/>
        </w:rPr>
        <w:t>,</w:t>
      </w:r>
      <w:r w:rsidRPr="00DE1C76">
        <w:rPr>
          <w:rFonts w:ascii="Arial" w:hAnsi="Arial" w:cs="Arial"/>
        </w:rPr>
        <w:t xml:space="preserve"> rows represent bacterial species. Heatmap colors indicate scaled relative abundance</w:t>
      </w:r>
      <w:r w:rsidR="00936494">
        <w:rPr>
          <w:rFonts w:ascii="Arial" w:hAnsi="Arial" w:cs="Arial"/>
        </w:rPr>
        <w:t>;</w:t>
      </w:r>
      <w:r w:rsidRPr="00DE1C76">
        <w:rPr>
          <w:rFonts w:ascii="Arial" w:hAnsi="Arial" w:cs="Arial"/>
        </w:rPr>
        <w:t xml:space="preserve"> red and blue denoting higher and lower abundance, respectively. </w:t>
      </w:r>
    </w:p>
    <w:p w14:paraId="4C468039" w14:textId="7A4AC740" w:rsidR="00597DAD" w:rsidRDefault="00470531">
      <w:pPr>
        <w:rPr>
          <w:rFonts w:ascii="Arial" w:hAnsi="Arial" w:cs="Arial"/>
        </w:rPr>
      </w:pPr>
      <w:r w:rsidRPr="00470531">
        <w:rPr>
          <w:rFonts w:ascii="Arial" w:hAnsi="Arial" w:cs="Arial"/>
          <w:b/>
          <w:bCs/>
        </w:rPr>
        <w:t xml:space="preserve">Supplemental Figure 8. </w:t>
      </w:r>
      <w:r w:rsidRPr="00470531">
        <w:rPr>
          <w:rFonts w:ascii="Arial" w:hAnsi="Arial" w:cs="Arial"/>
        </w:rPr>
        <w:t xml:space="preserve">Longitudinal differential-abundance analysis identifies </w:t>
      </w:r>
      <w:r w:rsidRPr="00175D9E">
        <w:rPr>
          <w:rFonts w:ascii="Arial" w:hAnsi="Arial" w:cs="Arial"/>
          <w:i/>
          <w:iCs/>
        </w:rPr>
        <w:t>Bifido</w:t>
      </w:r>
      <w:r w:rsidRPr="00470531">
        <w:rPr>
          <w:rFonts w:ascii="Arial" w:hAnsi="Arial" w:cs="Arial"/>
        </w:rPr>
        <w:t xml:space="preserve">-associated remodeling of the tacrolimus-conditioned gut microbiome. Genus- and species-level differential abundance across longitudinal fecal metagenomes analyzed using </w:t>
      </w:r>
      <w:proofErr w:type="spellStart"/>
      <w:r w:rsidRPr="00470531">
        <w:rPr>
          <w:rFonts w:ascii="Arial" w:hAnsi="Arial" w:cs="Arial"/>
        </w:rPr>
        <w:t>MicrobiomeStat</w:t>
      </w:r>
      <w:proofErr w:type="spellEnd"/>
      <w:r w:rsidR="00014E8F">
        <w:rPr>
          <w:rFonts w:ascii="Arial" w:hAnsi="Arial" w:cs="Arial"/>
        </w:rPr>
        <w:t xml:space="preserve"> to </w:t>
      </w:r>
      <w:r w:rsidRPr="00470531">
        <w:rPr>
          <w:rFonts w:ascii="Arial" w:hAnsi="Arial" w:cs="Arial"/>
        </w:rPr>
        <w:t>fit taxon-specific mixed-effects models incorporating sampling time, treatment group, subject, and group × time effects. Pairwise treatment contrasts shown for (</w:t>
      </w:r>
      <w:r w:rsidRPr="00014E8F">
        <w:rPr>
          <w:rFonts w:ascii="Arial" w:hAnsi="Arial" w:cs="Arial"/>
          <w:b/>
          <w:bCs/>
        </w:rPr>
        <w:t>A</w:t>
      </w:r>
      <w:r w:rsidRPr="00470531">
        <w:rPr>
          <w:rFonts w:ascii="Arial" w:hAnsi="Arial" w:cs="Arial"/>
        </w:rPr>
        <w:t xml:space="preserve">) </w:t>
      </w:r>
      <w:r w:rsidRPr="00014E8F">
        <w:rPr>
          <w:rFonts w:ascii="Arial" w:hAnsi="Arial" w:cs="Arial"/>
          <w:i/>
          <w:iCs/>
        </w:rPr>
        <w:t>Bifido</w:t>
      </w:r>
      <w:r w:rsidRPr="00470531">
        <w:rPr>
          <w:rFonts w:ascii="Arial" w:hAnsi="Arial" w:cs="Arial"/>
        </w:rPr>
        <w:t xml:space="preserve"> versus tacrolimus-only control (</w:t>
      </w:r>
      <w:proofErr w:type="spellStart"/>
      <w:r w:rsidRPr="00470531">
        <w:rPr>
          <w:rFonts w:ascii="Arial" w:hAnsi="Arial" w:cs="Arial"/>
        </w:rPr>
        <w:t>Ctl</w:t>
      </w:r>
      <w:proofErr w:type="spellEnd"/>
      <w:r w:rsidRPr="00470531">
        <w:rPr>
          <w:rFonts w:ascii="Arial" w:hAnsi="Arial" w:cs="Arial"/>
        </w:rPr>
        <w:t>),</w:t>
      </w:r>
      <w:r w:rsidR="000C3922">
        <w:rPr>
          <w:rFonts w:ascii="Arial" w:hAnsi="Arial" w:cs="Arial"/>
        </w:rPr>
        <w:t xml:space="preserve"> and</w:t>
      </w:r>
      <w:r w:rsidRPr="00470531">
        <w:rPr>
          <w:rFonts w:ascii="Arial" w:hAnsi="Arial" w:cs="Arial"/>
        </w:rPr>
        <w:t xml:space="preserve"> (</w:t>
      </w:r>
      <w:r w:rsidRPr="00014E8F">
        <w:rPr>
          <w:rFonts w:ascii="Arial" w:hAnsi="Arial" w:cs="Arial"/>
          <w:b/>
          <w:bCs/>
        </w:rPr>
        <w:t>B</w:t>
      </w:r>
      <w:r w:rsidRPr="00470531">
        <w:rPr>
          <w:rFonts w:ascii="Arial" w:hAnsi="Arial" w:cs="Arial"/>
        </w:rPr>
        <w:t xml:space="preserve">) </w:t>
      </w:r>
      <w:proofErr w:type="spellStart"/>
      <w:r w:rsidRPr="00014E8F">
        <w:rPr>
          <w:rFonts w:ascii="Arial" w:hAnsi="Arial" w:cs="Arial"/>
          <w:i/>
          <w:iCs/>
        </w:rPr>
        <w:t>Desulfo</w:t>
      </w:r>
      <w:proofErr w:type="spellEnd"/>
      <w:r w:rsidRPr="00470531">
        <w:rPr>
          <w:rFonts w:ascii="Arial" w:hAnsi="Arial" w:cs="Arial"/>
        </w:rPr>
        <w:t xml:space="preserve"> versus </w:t>
      </w:r>
      <w:r w:rsidRPr="00014E8F">
        <w:rPr>
          <w:rFonts w:ascii="Arial" w:hAnsi="Arial" w:cs="Arial"/>
          <w:i/>
          <w:iCs/>
        </w:rPr>
        <w:t>Bifido</w:t>
      </w:r>
      <w:r w:rsidRPr="00470531">
        <w:rPr>
          <w:rFonts w:ascii="Arial" w:hAnsi="Arial" w:cs="Arial"/>
        </w:rPr>
        <w:t>. Each point represents a microbial taxon; x-axis shows estimated coefficient</w:t>
      </w:r>
      <w:r w:rsidR="000C3922">
        <w:rPr>
          <w:rFonts w:ascii="Arial" w:hAnsi="Arial" w:cs="Arial"/>
        </w:rPr>
        <w:t>;</w:t>
      </w:r>
      <w:r w:rsidRPr="00470531">
        <w:rPr>
          <w:rFonts w:ascii="Arial" w:hAnsi="Arial" w:cs="Arial"/>
        </w:rPr>
        <w:t xml:space="preserve"> y-axis shows −log10(P value). Negative coefficients indicate enrichment in the first</w:t>
      </w:r>
      <w:r w:rsidR="00014E8F">
        <w:rPr>
          <w:rFonts w:ascii="Arial" w:hAnsi="Arial" w:cs="Arial"/>
        </w:rPr>
        <w:t xml:space="preserve"> </w:t>
      </w:r>
      <w:r w:rsidRPr="00470531">
        <w:rPr>
          <w:rFonts w:ascii="Arial" w:hAnsi="Arial" w:cs="Arial"/>
        </w:rPr>
        <w:t xml:space="preserve">named group of each </w:t>
      </w:r>
      <w:r w:rsidR="00014E8F">
        <w:rPr>
          <w:rFonts w:ascii="Arial" w:hAnsi="Arial" w:cs="Arial"/>
        </w:rPr>
        <w:t>comparison</w:t>
      </w:r>
      <w:r w:rsidRPr="00470531">
        <w:rPr>
          <w:rFonts w:ascii="Arial" w:hAnsi="Arial" w:cs="Arial"/>
        </w:rPr>
        <w:t>, whereas positive coefficients indicate enrichment in the second</w:t>
      </w:r>
      <w:r w:rsidR="00014E8F">
        <w:rPr>
          <w:rFonts w:ascii="Arial" w:hAnsi="Arial" w:cs="Arial"/>
        </w:rPr>
        <w:t xml:space="preserve"> name</w:t>
      </w:r>
      <w:r w:rsidR="000C3922">
        <w:rPr>
          <w:rFonts w:ascii="Arial" w:hAnsi="Arial" w:cs="Arial"/>
        </w:rPr>
        <w:t>d</w:t>
      </w:r>
      <w:r w:rsidRPr="00470531">
        <w:rPr>
          <w:rFonts w:ascii="Arial" w:hAnsi="Arial" w:cs="Arial"/>
        </w:rPr>
        <w:t>. Point size represents mean relative abundance</w:t>
      </w:r>
      <w:r w:rsidR="00936494">
        <w:rPr>
          <w:rFonts w:ascii="Arial" w:hAnsi="Arial" w:cs="Arial"/>
        </w:rPr>
        <w:t>;</w:t>
      </w:r>
      <w:r w:rsidRPr="00470531">
        <w:rPr>
          <w:rFonts w:ascii="Arial" w:hAnsi="Arial" w:cs="Arial"/>
        </w:rPr>
        <w:t xml:space="preserve"> color intensity represents prevalence across samples. Selected taxa with </w:t>
      </w:r>
      <w:r w:rsidR="00014E8F">
        <w:rPr>
          <w:rFonts w:ascii="Arial" w:hAnsi="Arial" w:cs="Arial"/>
        </w:rPr>
        <w:t>significant</w:t>
      </w:r>
      <w:r w:rsidRPr="00470531">
        <w:rPr>
          <w:rFonts w:ascii="Arial" w:hAnsi="Arial" w:cs="Arial"/>
        </w:rPr>
        <w:t xml:space="preserve"> group-associated effects are labeled. </w:t>
      </w:r>
    </w:p>
    <w:p w14:paraId="4DC3BF2E" w14:textId="1AD6ABC9" w:rsidR="002F3279" w:rsidRDefault="00422B54">
      <w:pPr>
        <w:rPr>
          <w:rFonts w:ascii="Arial" w:hAnsi="Arial" w:cs="Arial"/>
        </w:rPr>
      </w:pPr>
      <w:r w:rsidRPr="00422B54">
        <w:rPr>
          <w:rFonts w:ascii="Arial" w:hAnsi="Arial" w:cs="Arial"/>
          <w:b/>
          <w:bCs/>
        </w:rPr>
        <w:t xml:space="preserve">Supplemental Figure 9. </w:t>
      </w:r>
      <w:r w:rsidRPr="00422B54">
        <w:rPr>
          <w:rFonts w:ascii="Arial" w:hAnsi="Arial" w:cs="Arial"/>
        </w:rPr>
        <w:t xml:space="preserve">Reproducible microbiome remodeling after </w:t>
      </w:r>
      <w:r w:rsidR="00D641AD" w:rsidRPr="00175D9E">
        <w:rPr>
          <w:rFonts w:ascii="Arial" w:hAnsi="Arial" w:cs="Arial"/>
          <w:i/>
          <w:iCs/>
        </w:rPr>
        <w:t>Bifido</w:t>
      </w:r>
      <w:r w:rsidR="00D641AD">
        <w:rPr>
          <w:rFonts w:ascii="Arial" w:hAnsi="Arial" w:cs="Arial"/>
        </w:rPr>
        <w:t xml:space="preserve"> </w:t>
      </w:r>
      <w:r w:rsidRPr="00422B54">
        <w:rPr>
          <w:rFonts w:ascii="Arial" w:hAnsi="Arial" w:cs="Arial"/>
        </w:rPr>
        <w:t xml:space="preserve">gavage under chronic tacrolimus treatment. (A–B) Longitudinal taxonomic profiles from two independent cardiac-transplant experiments showing genus-, family-, and order-level changes within </w:t>
      </w:r>
      <w:proofErr w:type="spellStart"/>
      <w:r w:rsidRPr="00422B54">
        <w:rPr>
          <w:rFonts w:ascii="Arial" w:hAnsi="Arial" w:cs="Arial"/>
        </w:rPr>
        <w:t>Actinobacteriota</w:t>
      </w:r>
      <w:proofErr w:type="spellEnd"/>
      <w:r w:rsidRPr="00422B54">
        <w:rPr>
          <w:rFonts w:ascii="Arial" w:hAnsi="Arial" w:cs="Arial"/>
        </w:rPr>
        <w:t xml:space="preserve">, </w:t>
      </w:r>
      <w:proofErr w:type="spellStart"/>
      <w:r w:rsidRPr="00422B54">
        <w:rPr>
          <w:rFonts w:ascii="Arial" w:hAnsi="Arial" w:cs="Arial"/>
        </w:rPr>
        <w:t>Bacteroidota</w:t>
      </w:r>
      <w:proofErr w:type="spellEnd"/>
      <w:r w:rsidRPr="00422B54">
        <w:rPr>
          <w:rFonts w:ascii="Arial" w:hAnsi="Arial" w:cs="Arial"/>
        </w:rPr>
        <w:t xml:space="preserve">, and </w:t>
      </w:r>
      <w:r w:rsidRPr="00175D9E">
        <w:rPr>
          <w:rFonts w:ascii="Arial" w:hAnsi="Arial" w:cs="Arial"/>
          <w:i/>
          <w:iCs/>
        </w:rPr>
        <w:t>Firmicutes</w:t>
      </w:r>
      <w:r w:rsidRPr="00422B54">
        <w:rPr>
          <w:rFonts w:ascii="Arial" w:hAnsi="Arial" w:cs="Arial"/>
        </w:rPr>
        <w:t xml:space="preserve"> after </w:t>
      </w:r>
      <w:r w:rsidRPr="00422B54">
        <w:rPr>
          <w:rFonts w:ascii="Arial" w:hAnsi="Arial" w:cs="Arial"/>
          <w:i/>
          <w:iCs/>
        </w:rPr>
        <w:t>Bifido</w:t>
      </w:r>
      <w:r w:rsidRPr="00422B54">
        <w:rPr>
          <w:rFonts w:ascii="Arial" w:hAnsi="Arial" w:cs="Arial"/>
        </w:rPr>
        <w:t xml:space="preserve"> gavage. </w:t>
      </w:r>
      <w:r w:rsidR="00D641AD">
        <w:rPr>
          <w:rFonts w:ascii="Arial" w:hAnsi="Arial" w:cs="Arial"/>
        </w:rPr>
        <w:t>P</w:t>
      </w:r>
      <w:r>
        <w:rPr>
          <w:rFonts w:ascii="Arial" w:hAnsi="Arial" w:cs="Arial"/>
        </w:rPr>
        <w:t>erformed</w:t>
      </w:r>
      <w:r w:rsidRPr="00422B54">
        <w:rPr>
          <w:rFonts w:ascii="Arial" w:hAnsi="Arial" w:cs="Arial"/>
        </w:rPr>
        <w:t xml:space="preserve"> in an independent mice cohort under identical transplantation, antibiotic-conditioning, and chronic tacrolimus conditions</w:t>
      </w:r>
      <w:r>
        <w:rPr>
          <w:rFonts w:ascii="Arial" w:hAnsi="Arial" w:cs="Arial"/>
        </w:rPr>
        <w:t xml:space="preserve"> as in Figure 4A</w:t>
      </w:r>
      <w:r w:rsidRPr="00422B54">
        <w:rPr>
          <w:rFonts w:ascii="Arial" w:hAnsi="Arial" w:cs="Arial"/>
        </w:rPr>
        <w:t>. (</w:t>
      </w:r>
      <w:r w:rsidRPr="00422B54">
        <w:rPr>
          <w:rFonts w:ascii="Arial" w:hAnsi="Arial" w:cs="Arial"/>
          <w:b/>
          <w:bCs/>
        </w:rPr>
        <w:t>C</w:t>
      </w:r>
      <w:r w:rsidRPr="00422B54">
        <w:rPr>
          <w:rFonts w:ascii="Arial" w:hAnsi="Arial" w:cs="Arial"/>
        </w:rPr>
        <w:t xml:space="preserve">) Relative abundance of selected bacterial taxa in mice </w:t>
      </w:r>
      <w:proofErr w:type="spellStart"/>
      <w:r w:rsidRPr="00422B54">
        <w:rPr>
          <w:rFonts w:ascii="Arial" w:hAnsi="Arial" w:cs="Arial"/>
        </w:rPr>
        <w:t>gavaged</w:t>
      </w:r>
      <w:proofErr w:type="spellEnd"/>
      <w:r w:rsidRPr="00422B54">
        <w:rPr>
          <w:rFonts w:ascii="Arial" w:hAnsi="Arial" w:cs="Arial"/>
        </w:rPr>
        <w:t xml:space="preserve"> with </w:t>
      </w:r>
      <w:r w:rsidRPr="00422B54">
        <w:rPr>
          <w:rFonts w:ascii="Arial" w:hAnsi="Arial" w:cs="Arial"/>
          <w:i/>
          <w:iCs/>
        </w:rPr>
        <w:t xml:space="preserve">B. </w:t>
      </w:r>
      <w:proofErr w:type="spellStart"/>
      <w:r w:rsidRPr="00422B54">
        <w:rPr>
          <w:rFonts w:ascii="Arial" w:hAnsi="Arial" w:cs="Arial"/>
          <w:i/>
          <w:iCs/>
        </w:rPr>
        <w:t>pseudolongum</w:t>
      </w:r>
      <w:proofErr w:type="spellEnd"/>
      <w:r>
        <w:rPr>
          <w:rFonts w:ascii="Arial" w:hAnsi="Arial" w:cs="Arial"/>
          <w:i/>
          <w:iCs/>
        </w:rPr>
        <w:t xml:space="preserve"> </w:t>
      </w:r>
      <w:proofErr w:type="spellStart"/>
      <w:r>
        <w:rPr>
          <w:rFonts w:ascii="Arial" w:hAnsi="Arial" w:cs="Arial"/>
          <w:i/>
          <w:iCs/>
        </w:rPr>
        <w:t>subsp</w:t>
      </w:r>
      <w:proofErr w:type="spellEnd"/>
      <w:r>
        <w:rPr>
          <w:rFonts w:ascii="Arial" w:hAnsi="Arial" w:cs="Arial"/>
          <w:i/>
          <w:iCs/>
        </w:rPr>
        <w:t xml:space="preserve"> </w:t>
      </w:r>
      <w:proofErr w:type="spellStart"/>
      <w:r>
        <w:rPr>
          <w:rFonts w:ascii="Arial" w:hAnsi="Arial" w:cs="Arial"/>
          <w:i/>
          <w:iCs/>
        </w:rPr>
        <w:t>globosum</w:t>
      </w:r>
      <w:proofErr w:type="spellEnd"/>
      <w:r w:rsidRPr="00422B54">
        <w:rPr>
          <w:rFonts w:ascii="Arial" w:hAnsi="Arial" w:cs="Arial"/>
        </w:rPr>
        <w:t xml:space="preserve"> ATCC25526, UMB-MBP-01</w:t>
      </w:r>
      <w:r>
        <w:rPr>
          <w:rFonts w:ascii="Arial" w:hAnsi="Arial" w:cs="Arial"/>
        </w:rPr>
        <w:t xml:space="preserve"> (</w:t>
      </w:r>
      <w:r w:rsidRPr="00422B54">
        <w:rPr>
          <w:rFonts w:ascii="Arial" w:hAnsi="Arial" w:cs="Arial"/>
          <w:i/>
          <w:iCs/>
        </w:rPr>
        <w:t>Bifido</w:t>
      </w:r>
      <w:r>
        <w:rPr>
          <w:rFonts w:ascii="Arial" w:hAnsi="Arial" w:cs="Arial"/>
        </w:rPr>
        <w:t>)</w:t>
      </w:r>
      <w:r w:rsidRPr="00422B54">
        <w:rPr>
          <w:rFonts w:ascii="Arial" w:hAnsi="Arial" w:cs="Arial"/>
        </w:rPr>
        <w:t xml:space="preserve">, </w:t>
      </w:r>
      <w:r>
        <w:rPr>
          <w:rFonts w:ascii="Arial" w:hAnsi="Arial" w:cs="Arial"/>
        </w:rPr>
        <w:t>Desulfo</w:t>
      </w:r>
      <w:r w:rsidRPr="00422B54">
        <w:rPr>
          <w:rFonts w:ascii="Arial" w:hAnsi="Arial" w:cs="Arial"/>
        </w:rPr>
        <w:t>, or PBS control, adapted from our prior study</w:t>
      </w:r>
      <w:r>
        <w:rPr>
          <w:rFonts w:ascii="Arial" w:hAnsi="Arial" w:cs="Arial"/>
        </w:rPr>
        <w:t xml:space="preserve"> with </w:t>
      </w:r>
      <w:r w:rsidRPr="00422B54">
        <w:rPr>
          <w:rFonts w:ascii="Arial" w:hAnsi="Arial" w:cs="Arial"/>
        </w:rPr>
        <w:t>antibiotic-conditioned, non-transplanted mice receiving tacrolimus</w:t>
      </w:r>
      <w:r w:rsidR="00F9701D">
        <w:rPr>
          <w:rFonts w:ascii="Arial" w:hAnsi="Arial" w:cs="Arial"/>
        </w:rPr>
        <w:t xml:space="preserve"> for two days</w:t>
      </w:r>
      <w:r w:rsidRPr="00422B54">
        <w:rPr>
          <w:rFonts w:ascii="Arial" w:hAnsi="Arial" w:cs="Arial"/>
        </w:rPr>
        <w:t xml:space="preserve"> </w:t>
      </w:r>
      <w:r w:rsidRPr="00422B54">
        <w:rPr>
          <w:rFonts w:ascii="Arial" w:hAnsi="Arial" w:cs="Arial"/>
        </w:rPr>
        <w:fldChar w:fldCharType="begin">
          <w:fldData xml:space="preserve">PEVuZE5vdGU+PENpdGU+PEF1dGhvcj5NYTwvQXV0aG9yPjxZZWFyPjIwMjM8L1llYXI+PFJlY051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</w:fldData>
        </w:fldChar>
      </w:r>
      <w:r w:rsidRPr="00422B54">
        <w:rPr>
          <w:rFonts w:ascii="Arial" w:hAnsi="Arial" w:cs="Arial"/>
        </w:rPr>
        <w:instrText xml:space="preserve"> ADDIN EN.JS.CITE </w:instrText>
      </w:r>
      <w:r w:rsidRPr="00422B54">
        <w:rPr>
          <w:rFonts w:ascii="Arial" w:hAnsi="Arial" w:cs="Arial"/>
        </w:rPr>
      </w:r>
      <w:r w:rsidRPr="00422B54">
        <w:rPr>
          <w:rFonts w:ascii="Arial" w:hAnsi="Arial" w:cs="Arial"/>
        </w:rPr>
        <w:fldChar w:fldCharType="separate"/>
      </w:r>
      <w:r w:rsidRPr="00422B54">
        <w:rPr>
          <w:rFonts w:ascii="Arial" w:hAnsi="Arial" w:cs="Arial"/>
          <w:noProof/>
        </w:rPr>
        <w:t>[26]</w:t>
      </w:r>
      <w:r w:rsidRPr="00422B54">
        <w:rPr>
          <w:rFonts w:ascii="Arial" w:hAnsi="Arial" w:cs="Arial"/>
        </w:rPr>
        <w:fldChar w:fldCharType="end"/>
      </w:r>
      <w:r w:rsidRPr="00422B54">
        <w:rPr>
          <w:rFonts w:ascii="Arial" w:hAnsi="Arial" w:cs="Arial"/>
        </w:rPr>
        <w:t xml:space="preserve">. </w:t>
      </w:r>
    </w:p>
    <w:p w14:paraId="6BF6BF2C" w14:textId="16A69564" w:rsidR="00C11DA6" w:rsidRDefault="00C11DA6">
      <w:pPr>
        <w:rPr>
          <w:rFonts w:ascii="Arial" w:hAnsi="Arial" w:cs="Arial"/>
        </w:rPr>
      </w:pPr>
      <w:r w:rsidRPr="00C11DA6">
        <w:rPr>
          <w:rFonts w:ascii="Arial" w:hAnsi="Arial" w:cs="Arial"/>
          <w:b/>
          <w:bCs/>
        </w:rPr>
        <w:t>Supplemental Figure 10.</w:t>
      </w:r>
      <w:r w:rsidRPr="00C11DA6">
        <w:rPr>
          <w:rFonts w:ascii="Arial" w:hAnsi="Arial" w:cs="Arial"/>
        </w:rPr>
        <w:t xml:space="preserve"> Spatial annotation of apical and basal intestinal compartments across all </w:t>
      </w:r>
      <w:proofErr w:type="spellStart"/>
      <w:r w:rsidRPr="00C11DA6">
        <w:rPr>
          <w:rFonts w:ascii="Arial" w:hAnsi="Arial" w:cs="Arial"/>
        </w:rPr>
        <w:t>Visium</w:t>
      </w:r>
      <w:proofErr w:type="spellEnd"/>
      <w:r w:rsidRPr="00C11DA6">
        <w:rPr>
          <w:rFonts w:ascii="Arial" w:hAnsi="Arial" w:cs="Arial"/>
        </w:rPr>
        <w:t xml:space="preserve"> tissue sections. </w:t>
      </w:r>
      <w:r w:rsidR="006D2296" w:rsidRPr="006D2296">
        <w:rPr>
          <w:rFonts w:ascii="Arial" w:hAnsi="Arial" w:cs="Arial"/>
        </w:rPr>
        <w:t xml:space="preserve">All ileal and colonic sections included in the spatial transcriptomic analysis shown with </w:t>
      </w:r>
      <w:proofErr w:type="spellStart"/>
      <w:r w:rsidR="006D2296" w:rsidRPr="006D2296">
        <w:rPr>
          <w:rFonts w:ascii="Arial" w:hAnsi="Arial" w:cs="Arial"/>
        </w:rPr>
        <w:t>Visium</w:t>
      </w:r>
      <w:proofErr w:type="spellEnd"/>
      <w:r w:rsidR="006D2296" w:rsidRPr="006D2296">
        <w:rPr>
          <w:rFonts w:ascii="Arial" w:hAnsi="Arial" w:cs="Arial"/>
        </w:rPr>
        <w:t xml:space="preserve"> spots projected onto the matched tissue images; tissue, treatment group, and compartment assignments indicated.</w:t>
      </w:r>
      <w:r w:rsidR="006D2296">
        <w:rPr>
          <w:rFonts w:ascii="Arial" w:hAnsi="Arial" w:cs="Arial"/>
        </w:rPr>
        <w:t xml:space="preserve"> </w:t>
      </w:r>
      <w:r w:rsidRPr="00C11DA6">
        <w:rPr>
          <w:rFonts w:ascii="Arial" w:hAnsi="Arial" w:cs="Arial"/>
        </w:rPr>
        <w:t xml:space="preserve">Unsupervised k-means clustering (k = 2) separated spots into two spatial transcriptomic </w:t>
      </w:r>
      <w:r w:rsidRPr="00C11DA6">
        <w:rPr>
          <w:rFonts w:ascii="Arial" w:hAnsi="Arial" w:cs="Arial"/>
        </w:rPr>
        <w:lastRenderedPageBreak/>
        <w:t>clusters, assigned as apical layers (cluster 1, red) and basal layers (cluster 2, blue) based on their localization relative to the luminal and crypt/basal regions. These cluster assignments used for subsequent compartment-stratified gene-expression and pathway analyses.</w:t>
      </w:r>
    </w:p>
    <w:p w14:paraId="3E2B5FA4" w14:textId="00E3564C" w:rsidR="00F9701D" w:rsidRDefault="00C56E33">
      <w:pPr>
        <w:rPr>
          <w:rFonts w:ascii="Arial" w:hAnsi="Arial" w:cs="Arial"/>
        </w:rPr>
      </w:pPr>
      <w:r w:rsidRPr="00C56E33">
        <w:rPr>
          <w:rFonts w:ascii="Arial" w:hAnsi="Arial" w:cs="Arial"/>
          <w:b/>
          <w:bCs/>
        </w:rPr>
        <w:t xml:space="preserve">Supplemental Figure 11. </w:t>
      </w:r>
      <w:r w:rsidRPr="00C56E33">
        <w:rPr>
          <w:rFonts w:ascii="Arial" w:hAnsi="Arial" w:cs="Arial"/>
        </w:rPr>
        <w:t xml:space="preserve">Variance partitioning of </w:t>
      </w:r>
      <w:proofErr w:type="spellStart"/>
      <w:r w:rsidRPr="00C56E33">
        <w:rPr>
          <w:rFonts w:ascii="Arial" w:hAnsi="Arial" w:cs="Arial"/>
        </w:rPr>
        <w:t>MSigDB</w:t>
      </w:r>
      <w:proofErr w:type="spellEnd"/>
      <w:r w:rsidRPr="00C56E33">
        <w:rPr>
          <w:rFonts w:ascii="Arial" w:hAnsi="Arial" w:cs="Arial"/>
        </w:rPr>
        <w:t xml:space="preserve"> Hallmark module scores across intestinal compartment, tissue, and treatment group. Mouse-level </w:t>
      </w:r>
      <w:proofErr w:type="spellStart"/>
      <w:r w:rsidRPr="00C56E33">
        <w:rPr>
          <w:rFonts w:ascii="Arial" w:hAnsi="Arial" w:cs="Arial"/>
        </w:rPr>
        <w:t>pseudobulk</w:t>
      </w:r>
      <w:proofErr w:type="spellEnd"/>
      <w:r w:rsidRPr="00C56E33">
        <w:rPr>
          <w:rFonts w:ascii="Arial" w:hAnsi="Arial" w:cs="Arial"/>
        </w:rPr>
        <w:t xml:space="preserve"> expression profiles used to score all 50 </w:t>
      </w:r>
      <w:proofErr w:type="spellStart"/>
      <w:r w:rsidRPr="00C56E33">
        <w:rPr>
          <w:rFonts w:ascii="Arial" w:hAnsi="Arial" w:cs="Arial"/>
        </w:rPr>
        <w:t>MSigDB</w:t>
      </w:r>
      <w:proofErr w:type="spellEnd"/>
      <w:r w:rsidRPr="00C56E33">
        <w:rPr>
          <w:rFonts w:ascii="Arial" w:hAnsi="Arial" w:cs="Arial"/>
        </w:rPr>
        <w:t xml:space="preserve"> Hallmark gene sets across 30 tissue </w:t>
      </w:r>
      <w:r>
        <w:rPr>
          <w:rFonts w:ascii="Arial" w:hAnsi="Arial" w:cs="Arial"/>
        </w:rPr>
        <w:t>and</w:t>
      </w:r>
      <w:r w:rsidRPr="00C56E33">
        <w:rPr>
          <w:rFonts w:ascii="Arial" w:hAnsi="Arial" w:cs="Arial"/>
        </w:rPr>
        <w:t xml:space="preserve"> compartment samples. For each module, variance attributable to compartment, tissue, and treatment group estimated using a main-effects linear model and partial Type II sums of squares. Stacked bars show the percentage of variance attributed to compartment, tissue, group, and residual variation. </w:t>
      </w:r>
    </w:p>
    <w:p w14:paraId="003A939C" w14:textId="3659FFA5" w:rsidR="00667015" w:rsidRDefault="00667015">
      <w:pPr>
        <w:rPr>
          <w:rFonts w:ascii="Arial" w:hAnsi="Arial" w:cs="Arial"/>
        </w:rPr>
      </w:pPr>
      <w:r w:rsidRPr="00667015">
        <w:rPr>
          <w:rFonts w:ascii="Arial" w:hAnsi="Arial" w:cs="Arial"/>
          <w:b/>
          <w:bCs/>
        </w:rPr>
        <w:t xml:space="preserve">Supplemental Figure 12. </w:t>
      </w:r>
      <w:r w:rsidRPr="00667015">
        <w:rPr>
          <w:rFonts w:ascii="Arial" w:hAnsi="Arial" w:cs="Arial"/>
        </w:rPr>
        <w:t>Spatial and temporal transcriptional responses of sterol</w:t>
      </w:r>
      <w:r>
        <w:rPr>
          <w:rFonts w:ascii="Arial" w:hAnsi="Arial" w:cs="Arial"/>
        </w:rPr>
        <w:t>-</w:t>
      </w:r>
      <w:r w:rsidRPr="00667015">
        <w:rPr>
          <w:rFonts w:ascii="Arial" w:hAnsi="Arial" w:cs="Arial"/>
        </w:rPr>
        <w:t>bile acid</w:t>
      </w:r>
      <w:r>
        <w:rPr>
          <w:rFonts w:ascii="Arial" w:hAnsi="Arial" w:cs="Arial"/>
        </w:rPr>
        <w:t>-</w:t>
      </w:r>
      <w:r w:rsidRPr="00667015">
        <w:rPr>
          <w:rFonts w:ascii="Arial" w:hAnsi="Arial" w:cs="Arial"/>
        </w:rPr>
        <w:t>peroxisomal and antioxidant programs. Dot plots show gene-level differential expression for cholesterol homeostasis, peroxisome, bile acid metabolism, and reactive oxygen species (ROS) modules across ileal and colonic apical and basal compartments. Dot color represents log2 fold change</w:t>
      </w:r>
      <w:r w:rsidR="00474CEA">
        <w:rPr>
          <w:rFonts w:ascii="Arial" w:hAnsi="Arial" w:cs="Arial"/>
        </w:rPr>
        <w:t>;</w:t>
      </w:r>
      <w:r w:rsidRPr="00667015">
        <w:rPr>
          <w:rFonts w:ascii="Arial" w:hAnsi="Arial" w:cs="Arial"/>
        </w:rPr>
        <w:t xml:space="preserve"> red indicating higher expression in TAC</w:t>
      </w:r>
      <w:r w:rsidR="00474CEA">
        <w:rPr>
          <w:rFonts w:ascii="Arial" w:hAnsi="Arial" w:cs="Arial"/>
        </w:rPr>
        <w:t>,</w:t>
      </w:r>
      <w:r w:rsidRPr="00667015">
        <w:rPr>
          <w:rFonts w:ascii="Arial" w:hAnsi="Arial" w:cs="Arial"/>
        </w:rPr>
        <w:t xml:space="preserve"> blue indicating lower expression in TAC; dot size represents −log10 Benjamini–Hochberg-adjusted P value. </w:t>
      </w:r>
    </w:p>
    <w:p w14:paraId="08705C1F" w14:textId="2CA826D9" w:rsidR="008A2AD2" w:rsidRDefault="008A2AD2">
      <w:pPr>
        <w:rPr>
          <w:rFonts w:ascii="Arial" w:hAnsi="Arial" w:cs="Arial"/>
        </w:rPr>
      </w:pPr>
      <w:r w:rsidRPr="008A2AD2">
        <w:rPr>
          <w:rFonts w:ascii="Arial" w:hAnsi="Arial" w:cs="Arial"/>
          <w:b/>
          <w:bCs/>
        </w:rPr>
        <w:t xml:space="preserve">Supplemental Figure 13. </w:t>
      </w:r>
      <w:r w:rsidRPr="008A2AD2">
        <w:rPr>
          <w:rFonts w:ascii="Arial" w:hAnsi="Arial" w:cs="Arial"/>
        </w:rPr>
        <w:t>STRING network of the cholesterol-homeostasis program in the colonic apical compartment at day 3. STRING functional-association analysis of cholesterol-homeostasis genes altered in TAC-versus-baseline (Abx) or TAC-versus-</w:t>
      </w:r>
      <w:r w:rsidRPr="008A2AD2">
        <w:rPr>
          <w:rFonts w:ascii="Arial" w:hAnsi="Arial" w:cs="Arial"/>
          <w:i/>
          <w:iCs/>
        </w:rPr>
        <w:t>Bifido</w:t>
      </w:r>
      <w:r w:rsidRPr="008A2AD2">
        <w:rPr>
          <w:rFonts w:ascii="Arial" w:hAnsi="Arial" w:cs="Arial"/>
        </w:rPr>
        <w:t xml:space="preserve"> contrasts. Each node split to show log2 fold change for TAC versus Abx (left) and TAC versus </w:t>
      </w:r>
      <w:r w:rsidRPr="00175D9E">
        <w:rPr>
          <w:rFonts w:ascii="Arial" w:hAnsi="Arial" w:cs="Arial"/>
          <w:i/>
          <w:iCs/>
        </w:rPr>
        <w:t>Bifido</w:t>
      </w:r>
      <w:r w:rsidRPr="008A2AD2">
        <w:rPr>
          <w:rFonts w:ascii="Arial" w:hAnsi="Arial" w:cs="Arial"/>
        </w:rPr>
        <w:t xml:space="preserve"> (right); red indicates higher expression in TAC</w:t>
      </w:r>
      <w:r w:rsidR="00474CEA">
        <w:rPr>
          <w:rFonts w:ascii="Arial" w:hAnsi="Arial" w:cs="Arial"/>
        </w:rPr>
        <w:t>,</w:t>
      </w:r>
      <w:r w:rsidRPr="008A2AD2">
        <w:rPr>
          <w:rFonts w:ascii="Arial" w:hAnsi="Arial" w:cs="Arial"/>
        </w:rPr>
        <w:t xml:space="preserve"> blue indicates lower expression in TAC. Node size reflects −log10 adjusted P value for the more significant contrast, and edge width reflects STRING association confidence. STRING functional-association networks generated for significant module genes restricted to </w:t>
      </w:r>
      <w:r w:rsidRPr="008A2AD2">
        <w:rPr>
          <w:rFonts w:ascii="Arial" w:hAnsi="Arial" w:cs="Arial"/>
          <w:i/>
          <w:iCs/>
        </w:rPr>
        <w:t>Mus musculus</w:t>
      </w:r>
      <w:r w:rsidRPr="008A2AD2">
        <w:rPr>
          <w:rFonts w:ascii="Arial" w:hAnsi="Arial" w:cs="Arial"/>
        </w:rPr>
        <w:t>, retaining interactions with a combined confidence score ≥0.4.</w:t>
      </w:r>
    </w:p>
    <w:p w14:paraId="1D6E9921" w14:textId="570F337B" w:rsidR="005C2B0E" w:rsidRPr="003B4EE6" w:rsidRDefault="005C2B0E" w:rsidP="003B4EE6">
      <w:pPr>
        <w:rPr>
          <w:rFonts w:ascii="Arial" w:hAnsi="Arial" w:cs="Arial"/>
        </w:rPr>
      </w:pPr>
      <w:r w:rsidRPr="008A2AD2">
        <w:rPr>
          <w:rFonts w:ascii="Arial" w:hAnsi="Arial" w:cs="Arial"/>
          <w:b/>
          <w:bCs/>
        </w:rPr>
        <w:t>Supplemental Figure 1</w:t>
      </w:r>
      <w:r>
        <w:rPr>
          <w:rFonts w:ascii="Arial" w:hAnsi="Arial" w:cs="Arial"/>
          <w:b/>
          <w:bCs/>
        </w:rPr>
        <w:t>4</w:t>
      </w:r>
      <w:r w:rsidRPr="008A2AD2">
        <w:rPr>
          <w:rFonts w:ascii="Arial" w:hAnsi="Arial" w:cs="Arial"/>
          <w:b/>
          <w:bCs/>
        </w:rPr>
        <w:t>.</w:t>
      </w:r>
      <w:r w:rsidR="003B4EE6">
        <w:rPr>
          <w:rFonts w:ascii="Arial" w:hAnsi="Arial" w:cs="Arial"/>
          <w:b/>
          <w:bCs/>
        </w:rPr>
        <w:t xml:space="preserve"> </w:t>
      </w:r>
      <w:r w:rsidR="003B4EE6" w:rsidRPr="003B4EE6">
        <w:rPr>
          <w:rFonts w:ascii="Arial" w:hAnsi="Arial" w:cs="Arial"/>
        </w:rPr>
        <w:t>Spatially resolved transcriptional responses in signaling, fatty acid metabolism, and stromal-remodeling programs.</w:t>
      </w:r>
      <w:r w:rsidR="003B4EE6">
        <w:rPr>
          <w:rFonts w:ascii="Arial" w:hAnsi="Arial" w:cs="Arial"/>
        </w:rPr>
        <w:t xml:space="preserve"> </w:t>
      </w:r>
      <w:r w:rsidR="003B4EE6" w:rsidRPr="003B4EE6">
        <w:rPr>
          <w:rFonts w:ascii="Arial" w:hAnsi="Arial" w:cs="Arial"/>
        </w:rPr>
        <w:t>Dot plots show gene-level differential expression for selected transcriptional modules in spatially defined intestinal compartments. (A) Protein secretion and PI3K-AKT-mTOR signaling modules in the colonic apical compartment at day 3. (B) Fatty acid metabolism in the ileal basal compartment at day 40. (C) EMT/extracellular matrix (ECM) stromal-remodeling program in the colonic basal compartment at day 3. For each panel, the two rows show tacrolimus-only PBS control (</w:t>
      </w:r>
      <w:proofErr w:type="spellStart"/>
      <w:r w:rsidR="003B4EE6" w:rsidRPr="003B4EE6">
        <w:rPr>
          <w:rFonts w:ascii="Arial" w:hAnsi="Arial" w:cs="Arial"/>
        </w:rPr>
        <w:t>Ctl</w:t>
      </w:r>
      <w:proofErr w:type="spellEnd"/>
      <w:r w:rsidR="003B4EE6" w:rsidRPr="003B4EE6">
        <w:rPr>
          <w:rFonts w:ascii="Arial" w:hAnsi="Arial" w:cs="Arial"/>
        </w:rPr>
        <w:t xml:space="preserve">) versus </w:t>
      </w:r>
      <w:r w:rsidR="003B4EE6" w:rsidRPr="003B4EE6">
        <w:rPr>
          <w:rFonts w:ascii="Arial" w:hAnsi="Arial" w:cs="Arial"/>
          <w:i/>
          <w:iCs/>
        </w:rPr>
        <w:t>Bifido</w:t>
      </w:r>
      <w:r w:rsidR="003B4EE6" w:rsidRPr="003B4EE6">
        <w:rPr>
          <w:rFonts w:ascii="Arial" w:hAnsi="Arial" w:cs="Arial"/>
        </w:rPr>
        <w:t xml:space="preserve"> and </w:t>
      </w:r>
      <w:proofErr w:type="spellStart"/>
      <w:r w:rsidR="003B4EE6" w:rsidRPr="003B4EE6">
        <w:rPr>
          <w:rFonts w:ascii="Arial" w:hAnsi="Arial" w:cs="Arial"/>
        </w:rPr>
        <w:t>Ctl</w:t>
      </w:r>
      <w:proofErr w:type="spellEnd"/>
      <w:r w:rsidR="003B4EE6" w:rsidRPr="003B4EE6">
        <w:rPr>
          <w:rFonts w:ascii="Arial" w:hAnsi="Arial" w:cs="Arial"/>
        </w:rPr>
        <w:t xml:space="preserve"> versus the post-antibiotic pretreatment baseline (Abx), respectively. Dot color represents log2 fold change, with red indicating higher expression in </w:t>
      </w:r>
      <w:proofErr w:type="spellStart"/>
      <w:r w:rsidR="003B4EE6" w:rsidRPr="003B4EE6">
        <w:rPr>
          <w:rFonts w:ascii="Arial" w:hAnsi="Arial" w:cs="Arial"/>
        </w:rPr>
        <w:t>Ctl</w:t>
      </w:r>
      <w:proofErr w:type="spellEnd"/>
      <w:r w:rsidR="003B4EE6" w:rsidRPr="003B4EE6">
        <w:rPr>
          <w:rFonts w:ascii="Arial" w:hAnsi="Arial" w:cs="Arial"/>
        </w:rPr>
        <w:t xml:space="preserve"> and blue indicating lower expression in </w:t>
      </w:r>
      <w:proofErr w:type="spellStart"/>
      <w:r w:rsidR="003B4EE6" w:rsidRPr="003B4EE6">
        <w:rPr>
          <w:rFonts w:ascii="Arial" w:hAnsi="Arial" w:cs="Arial"/>
        </w:rPr>
        <w:t>Ctl</w:t>
      </w:r>
      <w:proofErr w:type="spellEnd"/>
      <w:r w:rsidR="003B4EE6" w:rsidRPr="003B4EE6">
        <w:rPr>
          <w:rFonts w:ascii="Arial" w:hAnsi="Arial" w:cs="Arial"/>
        </w:rPr>
        <w:t xml:space="preserve"> </w:t>
      </w:r>
      <w:r w:rsidR="003B4EE6" w:rsidRPr="003B4EE6">
        <w:rPr>
          <w:rFonts w:ascii="Arial" w:hAnsi="Arial" w:cs="Arial"/>
        </w:rPr>
        <w:lastRenderedPageBreak/>
        <w:t xml:space="preserve">relative to the indicated comparison group; dot size represents −log10 Benjamini–Hochberg-adjusted </w:t>
      </w:r>
      <w:r w:rsidR="003B4EE6">
        <w:rPr>
          <w:rFonts w:ascii="Arial" w:hAnsi="Arial" w:cs="Arial"/>
        </w:rPr>
        <w:t>p</w:t>
      </w:r>
      <w:r w:rsidR="003B4EE6" w:rsidRPr="003B4EE6">
        <w:rPr>
          <w:rFonts w:ascii="Arial" w:hAnsi="Arial" w:cs="Arial"/>
        </w:rPr>
        <w:t xml:space="preserve"> value.</w:t>
      </w:r>
    </w:p>
    <w:p w14:paraId="06CECD5E" w14:textId="62A48499" w:rsidR="005D041E" w:rsidRPr="005D041E" w:rsidRDefault="00553776" w:rsidP="00553776">
      <w:pPr>
        <w:rPr>
          <w:rFonts w:ascii="Arial" w:hAnsi="Arial" w:cs="Arial"/>
        </w:rPr>
      </w:pPr>
      <w:r>
        <w:rPr>
          <w:rFonts w:ascii="Arial" w:hAnsi="Arial" w:cs="Arial"/>
          <w:b/>
          <w:bCs/>
        </w:rPr>
        <w:t xml:space="preserve">Supplemental Figure 15. </w:t>
      </w:r>
      <w:r>
        <w:rPr>
          <w:rFonts w:ascii="Arial" w:hAnsi="Arial" w:cs="Arial"/>
        </w:rPr>
        <w:t xml:space="preserve">(A) Representative immunohistochemistry sections of </w:t>
      </w:r>
      <w:r w:rsidRPr="008F65A9">
        <w:rPr>
          <w:rFonts w:ascii="Arial" w:hAnsi="Arial" w:cs="Arial"/>
        </w:rPr>
        <w:t>Foxp3</w:t>
      </w:r>
      <w:r w:rsidRPr="008F65A9">
        <w:rPr>
          <w:rFonts w:ascii="Cambria Math" w:hAnsi="Cambria Math" w:cs="Cambria Math"/>
        </w:rPr>
        <w:t>⁺</w:t>
      </w:r>
      <w:r w:rsidRPr="008F65A9">
        <w:rPr>
          <w:rFonts w:ascii="Arial" w:hAnsi="Arial" w:cs="Arial"/>
        </w:rPr>
        <w:t xml:space="preserve"> Treg localization</w:t>
      </w:r>
      <w:r>
        <w:rPr>
          <w:rFonts w:ascii="Arial" w:hAnsi="Arial" w:cs="Arial"/>
        </w:rPr>
        <w:t xml:space="preserve"> within </w:t>
      </w:r>
      <w:proofErr w:type="spellStart"/>
      <w:r>
        <w:rPr>
          <w:rFonts w:ascii="Arial" w:hAnsi="Arial" w:cs="Arial"/>
        </w:rPr>
        <w:t>pLN</w:t>
      </w:r>
      <w:proofErr w:type="spellEnd"/>
      <w:r>
        <w:rPr>
          <w:rFonts w:ascii="Arial" w:hAnsi="Arial" w:cs="Arial"/>
        </w:rPr>
        <w:t xml:space="preserve"> at day 3 and day 40. (B) Representative immunohistochemistry sections of </w:t>
      </w:r>
      <w:r w:rsidRPr="008F65A9">
        <w:rPr>
          <w:rFonts w:ascii="Arial" w:hAnsi="Arial" w:cs="Arial"/>
        </w:rPr>
        <w:t>Foxp3</w:t>
      </w:r>
      <w:r w:rsidRPr="008F65A9">
        <w:rPr>
          <w:rFonts w:ascii="Cambria Math" w:hAnsi="Cambria Math" w:cs="Cambria Math"/>
        </w:rPr>
        <w:t>⁺</w:t>
      </w:r>
      <w:r w:rsidRPr="008F65A9">
        <w:rPr>
          <w:rFonts w:ascii="Arial" w:hAnsi="Arial" w:cs="Arial"/>
        </w:rPr>
        <w:t xml:space="preserve"> Treg localization</w:t>
      </w:r>
      <w:r>
        <w:rPr>
          <w:rFonts w:ascii="Arial" w:hAnsi="Arial" w:cs="Arial"/>
        </w:rPr>
        <w:t xml:space="preserve"> within </w:t>
      </w:r>
      <w:proofErr w:type="spellStart"/>
      <w:r>
        <w:rPr>
          <w:rFonts w:ascii="Arial" w:hAnsi="Arial" w:cs="Arial"/>
        </w:rPr>
        <w:t>mLN</w:t>
      </w:r>
      <w:proofErr w:type="spellEnd"/>
      <w:r w:rsidRPr="00E04FC3">
        <w:rPr>
          <w:rFonts w:ascii="Arial" w:hAnsi="Arial" w:cs="Arial"/>
        </w:rPr>
        <w:t xml:space="preserve"> </w:t>
      </w:r>
      <w:r>
        <w:rPr>
          <w:rFonts w:ascii="Arial" w:hAnsi="Arial" w:cs="Arial"/>
        </w:rPr>
        <w:t>at day 3 and day 40.</w:t>
      </w:r>
      <w:r w:rsidRPr="00AA1E48">
        <w:rPr>
          <w:rFonts w:ascii="Arial" w:hAnsi="Arial" w:cs="Arial"/>
        </w:rPr>
        <w:t xml:space="preserve"> </w:t>
      </w:r>
      <w:r>
        <w:rPr>
          <w:rFonts w:ascii="Arial" w:hAnsi="Arial" w:cs="Arial"/>
        </w:rPr>
        <w:t xml:space="preserve">(C) Representative immunohistochemistry sections of </w:t>
      </w:r>
      <w:r w:rsidRPr="00663DB5">
        <w:rPr>
          <w:rFonts w:ascii="Arial" w:hAnsi="Arial" w:cs="Arial"/>
        </w:rPr>
        <w:t>CD4</w:t>
      </w:r>
      <w:r w:rsidRPr="00663DB5">
        <w:rPr>
          <w:rFonts w:ascii="Cambria Math" w:hAnsi="Cambria Math" w:cs="Cambria Math"/>
        </w:rPr>
        <w:t>⁺</w:t>
      </w:r>
      <w:r w:rsidRPr="00663DB5">
        <w:rPr>
          <w:rFonts w:ascii="Arial" w:hAnsi="Arial" w:cs="Arial"/>
        </w:rPr>
        <w:t>, Foxp3</w:t>
      </w:r>
      <w:r w:rsidRPr="00663DB5">
        <w:rPr>
          <w:rFonts w:ascii="Cambria Math" w:hAnsi="Cambria Math" w:cs="Cambria Math"/>
        </w:rPr>
        <w:t>⁺</w:t>
      </w:r>
      <w:r w:rsidRPr="00663DB5">
        <w:rPr>
          <w:rFonts w:ascii="Arial" w:hAnsi="Arial" w:cs="Arial"/>
        </w:rPr>
        <w:t>, and CD8</w:t>
      </w:r>
      <w:r w:rsidRPr="00663DB5">
        <w:rPr>
          <w:rFonts w:ascii="Cambria Math" w:hAnsi="Cambria Math" w:cs="Cambria Math"/>
        </w:rPr>
        <w:t>⁺</w:t>
      </w:r>
      <w:r w:rsidRPr="00663DB5">
        <w:rPr>
          <w:rFonts w:ascii="Arial" w:hAnsi="Arial" w:cs="Arial"/>
        </w:rPr>
        <w:t xml:space="preserve"> T-cell infiltration </w:t>
      </w:r>
      <w:r>
        <w:rPr>
          <w:rFonts w:ascii="Arial" w:hAnsi="Arial" w:cs="Arial"/>
        </w:rPr>
        <w:t>within cardiac allografts</w:t>
      </w:r>
      <w:r w:rsidRPr="00E04FC3">
        <w:rPr>
          <w:rFonts w:ascii="Arial" w:hAnsi="Arial" w:cs="Arial"/>
        </w:rPr>
        <w:t xml:space="preserve"> </w:t>
      </w:r>
      <w:r>
        <w:rPr>
          <w:rFonts w:ascii="Arial" w:hAnsi="Arial" w:cs="Arial"/>
        </w:rPr>
        <w:t xml:space="preserve">at day 3 and day 40. </w:t>
      </w:r>
      <w:r w:rsidR="005D041E" w:rsidRPr="005D041E">
        <w:rPr>
          <w:rFonts w:ascii="Arial" w:hAnsi="Arial" w:cs="Arial"/>
        </w:rPr>
        <w:t xml:space="preserve">Scale bar, 42 </w:t>
      </w:r>
      <w:proofErr w:type="spellStart"/>
      <w:r w:rsidR="005D041E" w:rsidRPr="005D041E">
        <w:rPr>
          <w:rFonts w:ascii="Arial" w:hAnsi="Arial" w:cs="Arial"/>
        </w:rPr>
        <w:t>μm</w:t>
      </w:r>
      <w:proofErr w:type="spellEnd"/>
      <w:r w:rsidR="005D041E" w:rsidRPr="005D041E">
        <w:rPr>
          <w:rFonts w:ascii="Arial" w:hAnsi="Arial" w:cs="Arial"/>
        </w:rPr>
        <w:t>.</w:t>
      </w:r>
      <w:r w:rsidR="005D041E">
        <w:rPr>
          <w:rFonts w:ascii="Arial" w:hAnsi="Arial" w:cs="Arial"/>
        </w:rPr>
        <w:t xml:space="preserve"> </w:t>
      </w:r>
      <w:r w:rsidR="004E7355" w:rsidRPr="004E7355">
        <w:rPr>
          <w:rFonts w:ascii="Arial" w:hAnsi="Arial" w:cs="Arial"/>
        </w:rPr>
        <w:t xml:space="preserve">(D) Representative immunohistochemistry sections showing laminin α4 and laminin α5 organization within cardiac allografts from TAC control and Bifido-treated mice at day 3 and day 40. Scale bar, 42 </w:t>
      </w:r>
      <w:proofErr w:type="spellStart"/>
      <w:r w:rsidR="004E7355" w:rsidRPr="004E7355">
        <w:rPr>
          <w:rFonts w:ascii="Arial" w:hAnsi="Arial" w:cs="Arial"/>
        </w:rPr>
        <w:t>μm</w:t>
      </w:r>
      <w:proofErr w:type="spellEnd"/>
      <w:r w:rsidR="004E7355" w:rsidRPr="004E7355">
        <w:rPr>
          <w:rFonts w:ascii="Arial" w:hAnsi="Arial" w:cs="Arial"/>
        </w:rPr>
        <w:t>.</w:t>
      </w:r>
    </w:p>
    <w:p w14:paraId="4BF3A895" w14:textId="644A05D6" w:rsidR="00553776" w:rsidRDefault="00553776" w:rsidP="00553776">
      <w:pPr>
        <w:rPr>
          <w:rFonts w:ascii="Arial" w:hAnsi="Arial" w:cs="Arial"/>
          <w:b/>
          <w:bCs/>
        </w:rPr>
      </w:pPr>
      <w:r>
        <w:rPr>
          <w:rFonts w:ascii="Arial" w:hAnsi="Arial" w:cs="Arial"/>
          <w:b/>
          <w:bCs/>
        </w:rPr>
        <w:t xml:space="preserve">Supplemental Figure 16. </w:t>
      </w:r>
      <w:r>
        <w:rPr>
          <w:rFonts w:ascii="Arial" w:hAnsi="Arial" w:cs="Arial"/>
        </w:rPr>
        <w:t xml:space="preserve">(A) Representative immunohistochemistry sections of </w:t>
      </w:r>
      <w:r w:rsidRPr="00663DB5">
        <w:rPr>
          <w:rFonts w:ascii="Arial" w:hAnsi="Arial" w:cs="Arial"/>
        </w:rPr>
        <w:t>CD4</w:t>
      </w:r>
      <w:r w:rsidRPr="00663DB5">
        <w:rPr>
          <w:rFonts w:ascii="Cambria Math" w:hAnsi="Cambria Math" w:cs="Cambria Math"/>
        </w:rPr>
        <w:t>⁺</w:t>
      </w:r>
      <w:r w:rsidRPr="00663DB5">
        <w:rPr>
          <w:rFonts w:ascii="Arial" w:hAnsi="Arial" w:cs="Arial"/>
        </w:rPr>
        <w:t>, Foxp3</w:t>
      </w:r>
      <w:r w:rsidRPr="00663DB5">
        <w:rPr>
          <w:rFonts w:ascii="Cambria Math" w:hAnsi="Cambria Math" w:cs="Cambria Math"/>
        </w:rPr>
        <w:t>⁺</w:t>
      </w:r>
      <w:r w:rsidRPr="00663DB5">
        <w:rPr>
          <w:rFonts w:ascii="Arial" w:hAnsi="Arial" w:cs="Arial"/>
        </w:rPr>
        <w:t>, and CD8</w:t>
      </w:r>
      <w:r w:rsidRPr="00663DB5">
        <w:rPr>
          <w:rFonts w:ascii="Cambria Math" w:hAnsi="Cambria Math" w:cs="Cambria Math"/>
        </w:rPr>
        <w:t>⁺</w:t>
      </w:r>
      <w:r w:rsidRPr="00663DB5">
        <w:rPr>
          <w:rFonts w:ascii="Arial" w:hAnsi="Arial" w:cs="Arial"/>
        </w:rPr>
        <w:t xml:space="preserve"> T-cell infiltration </w:t>
      </w:r>
      <w:r>
        <w:rPr>
          <w:rFonts w:ascii="Arial" w:hAnsi="Arial" w:cs="Arial"/>
        </w:rPr>
        <w:t>within cardiac allografts.</w:t>
      </w:r>
      <w:r w:rsidRPr="00B96C4A">
        <w:rPr>
          <w:rFonts w:ascii="Arial" w:hAnsi="Arial" w:cs="Arial"/>
        </w:rPr>
        <w:t xml:space="preserve"> </w:t>
      </w:r>
      <w:r>
        <w:rPr>
          <w:rFonts w:ascii="Arial" w:hAnsi="Arial" w:cs="Arial"/>
        </w:rPr>
        <w:t xml:space="preserve">(B) Representative immunohistochemistry sections of </w:t>
      </w:r>
      <w:r w:rsidRPr="00F72AC8">
        <w:rPr>
          <w:rFonts w:ascii="Arial" w:hAnsi="Arial" w:cs="Arial"/>
        </w:rPr>
        <w:t>laminin α</w:t>
      </w:r>
      <w:proofErr w:type="gramStart"/>
      <w:r w:rsidRPr="00F72AC8">
        <w:rPr>
          <w:rFonts w:ascii="Arial" w:hAnsi="Arial" w:cs="Arial"/>
        </w:rPr>
        <w:t>4:α</w:t>
      </w:r>
      <w:proofErr w:type="gramEnd"/>
      <w:r w:rsidRPr="00F72AC8">
        <w:rPr>
          <w:rFonts w:ascii="Arial" w:hAnsi="Arial" w:cs="Arial"/>
        </w:rPr>
        <w:t>5 ratios</w:t>
      </w:r>
      <w:r>
        <w:rPr>
          <w:rFonts w:ascii="Arial" w:hAnsi="Arial" w:cs="Arial"/>
        </w:rPr>
        <w:t xml:space="preserve"> in the </w:t>
      </w:r>
      <w:proofErr w:type="spellStart"/>
      <w:r>
        <w:rPr>
          <w:rFonts w:ascii="Arial" w:hAnsi="Arial" w:cs="Arial"/>
        </w:rPr>
        <w:t>pLN.</w:t>
      </w:r>
      <w:proofErr w:type="spellEnd"/>
      <w:r>
        <w:rPr>
          <w:rFonts w:ascii="Arial" w:hAnsi="Arial" w:cs="Arial"/>
        </w:rPr>
        <w:t xml:space="preserve"> Scale bar is 42</w:t>
      </w:r>
      <w:r w:rsidRPr="00EB0FAC">
        <w:t xml:space="preserve"> </w:t>
      </w:r>
      <w:proofErr w:type="spellStart"/>
      <w:r>
        <w:t>μm</w:t>
      </w:r>
      <w:proofErr w:type="spellEnd"/>
      <w:r>
        <w:t>.</w:t>
      </w:r>
    </w:p>
    <w:p w14:paraId="2FADCBAE" w14:textId="5B692BDA" w:rsidR="005C2B0E" w:rsidRDefault="005C2B0E" w:rsidP="005C2B0E">
      <w:pPr>
        <w:rPr>
          <w:rFonts w:ascii="Arial" w:hAnsi="Arial" w:cs="Arial"/>
        </w:rPr>
      </w:pPr>
      <w:r w:rsidRPr="008A2AD2">
        <w:rPr>
          <w:rFonts w:ascii="Arial" w:hAnsi="Arial" w:cs="Arial"/>
          <w:b/>
          <w:bCs/>
        </w:rPr>
        <w:t xml:space="preserve">Supplemental Figure </w:t>
      </w:r>
      <w:r w:rsidR="00B54A1E">
        <w:rPr>
          <w:rFonts w:ascii="Arial" w:hAnsi="Arial" w:cs="Arial"/>
          <w:b/>
          <w:bCs/>
        </w:rPr>
        <w:t>17</w:t>
      </w:r>
      <w:r w:rsidRPr="008A2AD2">
        <w:rPr>
          <w:rFonts w:ascii="Arial" w:hAnsi="Arial" w:cs="Arial"/>
          <w:b/>
          <w:bCs/>
        </w:rPr>
        <w:t>.</w:t>
      </w:r>
      <w:r>
        <w:rPr>
          <w:rFonts w:ascii="Arial" w:hAnsi="Arial" w:cs="Arial"/>
          <w:b/>
          <w:bCs/>
        </w:rPr>
        <w:t xml:space="preserve"> </w:t>
      </w:r>
      <w:r w:rsidRPr="005C2B0E">
        <w:rPr>
          <w:rFonts w:ascii="Arial" w:hAnsi="Arial" w:cs="Arial"/>
        </w:rPr>
        <w:t>Longitudinal taxonomic trajectories distinguish CAV-associated from non-CAV and healthy-control FMT microbiota.</w:t>
      </w:r>
      <w:r>
        <w:rPr>
          <w:rFonts w:ascii="Arial" w:hAnsi="Arial" w:cs="Arial"/>
        </w:rPr>
        <w:t xml:space="preserve"> </w:t>
      </w:r>
      <w:r w:rsidRPr="005C2B0E">
        <w:rPr>
          <w:rFonts w:ascii="Arial" w:hAnsi="Arial" w:cs="Arial"/>
        </w:rPr>
        <w:t>(</w:t>
      </w:r>
      <w:r w:rsidRPr="005C2B0E">
        <w:rPr>
          <w:rFonts w:ascii="Arial" w:hAnsi="Arial" w:cs="Arial"/>
          <w:b/>
          <w:bCs/>
        </w:rPr>
        <w:t>A</w:t>
      </w:r>
      <w:r w:rsidRPr="005C2B0E">
        <w:rPr>
          <w:rFonts w:ascii="Arial" w:hAnsi="Arial" w:cs="Arial"/>
        </w:rPr>
        <w:t xml:space="preserve">) Change in genus-level CAV enrichment or depletion from day 7 to day 60. </w:t>
      </w:r>
      <w:r w:rsidR="00F01DC1">
        <w:rPr>
          <w:rFonts w:ascii="Arial" w:hAnsi="Arial" w:cs="Arial"/>
        </w:rPr>
        <w:t xml:space="preserve">Correlation </w:t>
      </w:r>
      <w:r w:rsidRPr="005C2B0E">
        <w:rPr>
          <w:rFonts w:ascii="Arial" w:hAnsi="Arial" w:cs="Arial"/>
        </w:rPr>
        <w:t>effects</w:t>
      </w:r>
      <w:r w:rsidR="00F01DC1">
        <w:rPr>
          <w:rFonts w:ascii="Arial" w:hAnsi="Arial" w:cs="Arial"/>
        </w:rPr>
        <w:t xml:space="preserve"> with CAV</w:t>
      </w:r>
      <w:r w:rsidRPr="005C2B0E">
        <w:rPr>
          <w:rFonts w:ascii="Arial" w:hAnsi="Arial" w:cs="Arial"/>
        </w:rPr>
        <w:t xml:space="preserve"> calculated as log2 ratios of mean abundance in CAV-FMT recipients relative to the mean of non-CAV- and healthy-control-FMT recipients. Open points indicate day 7 and filled arrowheads day 60; positive values indicate CAV enrichment and negative values CAV depletion. Arrow color denotes strengthening or weakening of enrichment or depletion</w:t>
      </w:r>
      <w:r w:rsidR="00CC2D0F">
        <w:rPr>
          <w:rFonts w:ascii="Arial" w:hAnsi="Arial" w:cs="Arial"/>
        </w:rPr>
        <w:t>;</w:t>
      </w:r>
      <w:r w:rsidRPr="005C2B0E">
        <w:rPr>
          <w:rFonts w:ascii="Arial" w:hAnsi="Arial" w:cs="Arial"/>
        </w:rPr>
        <w:t xml:space="preserve"> gray indicates reversal across zero. </w:t>
      </w:r>
      <w:r>
        <w:rPr>
          <w:rFonts w:ascii="Arial" w:hAnsi="Arial" w:cs="Arial"/>
        </w:rPr>
        <w:t>P</w:t>
      </w:r>
      <w:r w:rsidRPr="005C2B0E">
        <w:rPr>
          <w:rFonts w:ascii="Arial" w:hAnsi="Arial" w:cs="Arial"/>
        </w:rPr>
        <w:t>oint size represents −log10 Benjamini–Hochberg-adjusted FDR. (</w:t>
      </w:r>
      <w:r w:rsidRPr="005C2B0E">
        <w:rPr>
          <w:rFonts w:ascii="Arial" w:hAnsi="Arial" w:cs="Arial"/>
          <w:b/>
          <w:bCs/>
        </w:rPr>
        <w:t>B</w:t>
      </w:r>
      <w:r w:rsidRPr="005C2B0E">
        <w:rPr>
          <w:rFonts w:ascii="Arial" w:hAnsi="Arial" w:cs="Arial"/>
        </w:rPr>
        <w:t>) Longitudinal trajectories of selected CAV-enriched genera identified by a group-by-time mixed-effects analysis. Displayed genera met prespecified criteria of FDR &lt;0.05, &gt;1.5-fold mean enrichment in CAV,</w:t>
      </w:r>
      <w:r w:rsidRPr="005C2B0E">
        <w:rPr>
          <w:rFonts w:ascii="Arial" w:hAnsi="Arial" w:cs="Arial" w:hint="eastAsia"/>
        </w:rPr>
        <w:t xml:space="preserve"> and mean CAV abundance </w:t>
      </w:r>
      <w:r w:rsidRPr="005C2B0E">
        <w:rPr>
          <w:rFonts w:ascii="Arial" w:hAnsi="Arial" w:cs="Arial" w:hint="eastAsia"/>
        </w:rPr>
        <w:t>≥</w:t>
      </w:r>
      <w:r w:rsidRPr="005C2B0E">
        <w:rPr>
          <w:rFonts w:ascii="Arial" w:hAnsi="Arial" w:cs="Arial" w:hint="eastAsia"/>
        </w:rPr>
        <w:t xml:space="preserve">0.1%. Thin lines show individual mice; thick lines show group means and error bars indicate mean </w:t>
      </w:r>
      <w:r w:rsidRPr="005C2B0E">
        <w:rPr>
          <w:rFonts w:ascii="Arial" w:hAnsi="Arial" w:cs="Arial" w:hint="eastAsia"/>
        </w:rPr>
        <w:t>±</w:t>
      </w:r>
      <w:r w:rsidRPr="005C2B0E">
        <w:rPr>
          <w:rFonts w:ascii="Arial" w:hAnsi="Arial" w:cs="Arial" w:hint="eastAsia"/>
        </w:rPr>
        <w:t xml:space="preserve"> SE. (</w:t>
      </w:r>
      <w:r w:rsidRPr="00522826">
        <w:rPr>
          <w:rFonts w:ascii="Arial" w:hAnsi="Arial" w:cs="Arial" w:hint="eastAsia"/>
          <w:b/>
          <w:bCs/>
        </w:rPr>
        <w:t>C</w:t>
      </w:r>
      <w:r w:rsidRPr="005C2B0E">
        <w:rPr>
          <w:rFonts w:ascii="Arial" w:hAnsi="Arial" w:cs="Arial" w:hint="eastAsia"/>
        </w:rPr>
        <w:t xml:space="preserve">) Species-resolved </w:t>
      </w:r>
      <w:r w:rsidRPr="00522826">
        <w:rPr>
          <w:rFonts w:ascii="Arial" w:hAnsi="Arial" w:cs="Arial" w:hint="eastAsia"/>
          <w:i/>
          <w:iCs/>
        </w:rPr>
        <w:t>Bifido</w:t>
      </w:r>
      <w:r w:rsidRPr="005C2B0E">
        <w:rPr>
          <w:rFonts w:ascii="Arial" w:hAnsi="Arial" w:cs="Arial" w:hint="eastAsia"/>
        </w:rPr>
        <w:t xml:space="preserve"> trajectories across healthy-control-, non-CAV-, and C</w:t>
      </w:r>
      <w:r w:rsidRPr="005C2B0E">
        <w:rPr>
          <w:rFonts w:ascii="Arial" w:hAnsi="Arial" w:cs="Arial"/>
        </w:rPr>
        <w:t xml:space="preserve">AV-FMT recipients at days 0, 7, 28, and 60. Thin lines represent individual mice and thick lines group means. </w:t>
      </w:r>
    </w:p>
    <w:p w14:paraId="6D37009D" w14:textId="2F102CAB" w:rsidR="007966C4" w:rsidRDefault="00736261" w:rsidP="00736261">
      <w:pPr>
        <w:rPr>
          <w:rFonts w:ascii="Arial" w:hAnsi="Arial" w:cs="Arial"/>
        </w:rPr>
      </w:pPr>
      <w:r w:rsidRPr="00736261">
        <w:rPr>
          <w:rFonts w:ascii="Arial" w:hAnsi="Arial" w:cs="Arial"/>
          <w:b/>
          <w:bCs/>
        </w:rPr>
        <w:t xml:space="preserve">Supplemental Figure </w:t>
      </w:r>
      <w:r w:rsidR="00B54A1E">
        <w:rPr>
          <w:rFonts w:ascii="Arial" w:hAnsi="Arial" w:cs="Arial"/>
          <w:b/>
          <w:bCs/>
        </w:rPr>
        <w:t>18</w:t>
      </w:r>
      <w:r w:rsidRPr="00736261">
        <w:rPr>
          <w:rFonts w:ascii="Arial" w:hAnsi="Arial" w:cs="Arial"/>
          <w:b/>
          <w:bCs/>
        </w:rPr>
        <w:t>.</w:t>
      </w:r>
      <w:r w:rsidRPr="00736261">
        <w:rPr>
          <w:rFonts w:ascii="Arial" w:hAnsi="Arial" w:cs="Arial"/>
        </w:rPr>
        <w:t xml:space="preserve"> Microbial pathways associated with CAV and non-CAV post-FMT functional states.</w:t>
      </w:r>
      <w:r>
        <w:rPr>
          <w:rFonts w:ascii="Arial" w:hAnsi="Arial" w:cs="Arial"/>
        </w:rPr>
        <w:t xml:space="preserve"> </w:t>
      </w:r>
      <w:r w:rsidRPr="00736261">
        <w:rPr>
          <w:rFonts w:ascii="Arial" w:hAnsi="Arial" w:cs="Arial"/>
        </w:rPr>
        <w:t>(</w:t>
      </w:r>
      <w:r w:rsidRPr="00736261">
        <w:rPr>
          <w:rFonts w:ascii="Arial" w:hAnsi="Arial" w:cs="Arial"/>
          <w:b/>
          <w:bCs/>
        </w:rPr>
        <w:t>A</w:t>
      </w:r>
      <w:r w:rsidRPr="00736261">
        <w:rPr>
          <w:rFonts w:ascii="Arial" w:hAnsi="Arial" w:cs="Arial"/>
        </w:rPr>
        <w:t xml:space="preserve">) Microbial pathways associated with CAV-FMT recipients across post-FMT days 7, 28, and 60. For each </w:t>
      </w:r>
      <w:proofErr w:type="spellStart"/>
      <w:r w:rsidRPr="00736261">
        <w:rPr>
          <w:rFonts w:ascii="Arial" w:hAnsi="Arial" w:cs="Arial"/>
        </w:rPr>
        <w:t>HUMAnN</w:t>
      </w:r>
      <w:proofErr w:type="spellEnd"/>
      <w:r w:rsidRPr="00736261">
        <w:rPr>
          <w:rFonts w:ascii="Arial" w:hAnsi="Arial" w:cs="Arial"/>
        </w:rPr>
        <w:t xml:space="preserve"> pathway, log10-transformed relative abundance modeled using a mixed-effects model comparing CAV FMT with the combined non-CAV and healthy-control FMT groups, adjusting for sampling day and repeated measurements within mouse. The x-axis shows the adjusted post-FMT group effect; positive values indicate higher abundance in CAV-FMT recipients and negative values indicate lower abundance. (</w:t>
      </w:r>
      <w:r w:rsidRPr="00736261">
        <w:rPr>
          <w:rFonts w:ascii="Arial" w:hAnsi="Arial" w:cs="Arial"/>
          <w:b/>
          <w:bCs/>
        </w:rPr>
        <w:t>B</w:t>
      </w:r>
      <w:r w:rsidRPr="00736261">
        <w:rPr>
          <w:rFonts w:ascii="Arial" w:hAnsi="Arial" w:cs="Arial"/>
        </w:rPr>
        <w:t xml:space="preserve">) Microbial pathways associated with non-CAV-FMT recipients using the same mixed-effects framework, comparing non-CAV FMT with the combined CAV and healthy-control FMT groups. Positive and negative effects indicate </w:t>
      </w:r>
      <w:r w:rsidRPr="00736261">
        <w:rPr>
          <w:rFonts w:ascii="Arial" w:hAnsi="Arial" w:cs="Arial"/>
        </w:rPr>
        <w:lastRenderedPageBreak/>
        <w:t>higher and lower pathway abundance, respectively, in non-CAV-FMT recipients; point size represents −log10 Benjamini</w:t>
      </w:r>
      <w:r w:rsidR="00984EC8">
        <w:rPr>
          <w:rFonts w:ascii="Arial" w:hAnsi="Arial" w:cs="Arial"/>
        </w:rPr>
        <w:t>-</w:t>
      </w:r>
      <w:r w:rsidRPr="00736261">
        <w:rPr>
          <w:rFonts w:ascii="Arial" w:hAnsi="Arial" w:cs="Arial"/>
        </w:rPr>
        <w:t>Hochberg-adjusted FDR.</w:t>
      </w:r>
    </w:p>
    <w:p w14:paraId="209F6E0D" w14:textId="4C55D54A" w:rsidR="000D6D94" w:rsidRDefault="007966C4" w:rsidP="00736261">
      <w:pPr>
        <w:rPr>
          <w:rFonts w:ascii="Arial" w:hAnsi="Arial" w:cs="Arial"/>
        </w:rPr>
      </w:pPr>
      <w:r w:rsidRPr="007966C4">
        <w:rPr>
          <w:rFonts w:ascii="Arial" w:hAnsi="Arial" w:cs="Arial"/>
          <w:b/>
          <w:bCs/>
        </w:rPr>
        <w:t xml:space="preserve">Supplemental Table 1. </w:t>
      </w:r>
      <w:r w:rsidR="00720655" w:rsidRPr="00720655">
        <w:rPr>
          <w:rFonts w:ascii="Arial" w:hAnsi="Arial" w:cs="Arial"/>
        </w:rPr>
        <w:t xml:space="preserve">Longitudinal fecal microbiome profiles following cardiac transplantation under chronic tacrolimus treatment. Relative abundances of amplicon sequence variants (ASVs) in fecal samples collected longitudinally from tacrolimus-treated cardiac allograft recipients. </w:t>
      </w:r>
      <w:r w:rsidR="00720655">
        <w:rPr>
          <w:rFonts w:ascii="Arial" w:hAnsi="Arial" w:cs="Arial"/>
        </w:rPr>
        <w:t>(A) S</w:t>
      </w:r>
      <w:r w:rsidR="00720655" w:rsidRPr="00720655">
        <w:rPr>
          <w:rFonts w:ascii="Arial" w:hAnsi="Arial" w:cs="Arial"/>
        </w:rPr>
        <w:t>ample-by-ASV relative abundance profiles</w:t>
      </w:r>
      <w:r w:rsidR="00720655">
        <w:rPr>
          <w:rFonts w:ascii="Arial" w:hAnsi="Arial" w:cs="Arial"/>
        </w:rPr>
        <w:t>;</w:t>
      </w:r>
      <w:r w:rsidR="00720655" w:rsidRPr="00720655">
        <w:rPr>
          <w:rFonts w:ascii="Arial" w:hAnsi="Arial" w:cs="Arial"/>
        </w:rPr>
        <w:t xml:space="preserve"> </w:t>
      </w:r>
      <w:r w:rsidR="00720655">
        <w:rPr>
          <w:rFonts w:ascii="Arial" w:hAnsi="Arial" w:cs="Arial"/>
        </w:rPr>
        <w:t>(B)</w:t>
      </w:r>
      <w:r w:rsidR="00720655" w:rsidRPr="00720655">
        <w:rPr>
          <w:rFonts w:ascii="Arial" w:hAnsi="Arial" w:cs="Arial"/>
        </w:rPr>
        <w:t xml:space="preserve"> taxonomic assignments from kingdom to species for the corresponding ASVs.</w:t>
      </w:r>
    </w:p>
    <w:p w14:paraId="0EB66778" w14:textId="210F029D" w:rsidR="00072F9F" w:rsidRDefault="000D6D94" w:rsidP="000D6D94">
      <w:pPr>
        <w:rPr>
          <w:rFonts w:ascii="Arial" w:hAnsi="Arial" w:cs="Arial"/>
        </w:rPr>
      </w:pPr>
      <w:r w:rsidRPr="000D6D94">
        <w:rPr>
          <w:rFonts w:ascii="Arial" w:hAnsi="Arial" w:cs="Arial"/>
          <w:b/>
          <w:bCs/>
        </w:rPr>
        <w:t xml:space="preserve">Supplemental Table 2. </w:t>
      </w:r>
      <w:r w:rsidRPr="000D6D94">
        <w:rPr>
          <w:rFonts w:ascii="Arial" w:hAnsi="Arial" w:cs="Arial"/>
        </w:rPr>
        <w:t>Longitudinal ileal intraluminal and serum metabolomic profiles after cardiac transplantation under chronic tacrolimus treatment.</w:t>
      </w:r>
      <w:r>
        <w:rPr>
          <w:rFonts w:ascii="Arial" w:hAnsi="Arial" w:cs="Arial"/>
        </w:rPr>
        <w:t xml:space="preserve"> </w:t>
      </w:r>
      <w:r w:rsidRPr="000D6D94">
        <w:rPr>
          <w:rFonts w:ascii="Arial" w:hAnsi="Arial" w:cs="Arial"/>
        </w:rPr>
        <w:t>(A) Ileal intraluminal metabolite profiles at day 0, after antibiotic conditioning but before transplantation and tacrolimus treatment, and at days 3 and 40 after transplantation during daily tacrolimus treatment. (B) Corresponding serum metabolite profiles. (C) One-way ANOVA results comparing ileal intraluminal metabolite levels across day 0, day 3, and day 40, including the F statistic, df1 and df2, raw P value, and Benjamini</w:t>
      </w:r>
      <w:r>
        <w:rPr>
          <w:rFonts w:ascii="Arial" w:hAnsi="Arial" w:cs="Arial"/>
        </w:rPr>
        <w:t>-</w:t>
      </w:r>
      <w:r w:rsidRPr="000D6D94">
        <w:rPr>
          <w:rFonts w:ascii="Arial" w:hAnsi="Arial" w:cs="Arial"/>
        </w:rPr>
        <w:t>Hochberg false discovery rate (FDR)-adjusted P value. (D) Corresponding ANOVA results for serum metabolites. Tukey’s honestly significant difference (HSD) test was used for post hoc pairwise comparisons</w:t>
      </w:r>
      <w:r w:rsidR="002B138F">
        <w:rPr>
          <w:rFonts w:ascii="Arial" w:hAnsi="Arial" w:cs="Arial"/>
        </w:rPr>
        <w:t xml:space="preserve"> for (E) </w:t>
      </w:r>
      <w:r w:rsidR="002B138F" w:rsidRPr="000D6D94">
        <w:rPr>
          <w:rFonts w:ascii="Arial" w:hAnsi="Arial" w:cs="Arial"/>
        </w:rPr>
        <w:t xml:space="preserve">ileal intraluminal </w:t>
      </w:r>
      <w:r w:rsidR="002B138F">
        <w:rPr>
          <w:rFonts w:ascii="Arial" w:hAnsi="Arial" w:cs="Arial"/>
        </w:rPr>
        <w:t xml:space="preserve">and (F) serum </w:t>
      </w:r>
      <w:r w:rsidR="002B138F" w:rsidRPr="000D6D94">
        <w:rPr>
          <w:rFonts w:ascii="Arial" w:hAnsi="Arial" w:cs="Arial"/>
        </w:rPr>
        <w:t>metabolite</w:t>
      </w:r>
      <w:r w:rsidR="002B138F">
        <w:rPr>
          <w:rFonts w:ascii="Arial" w:hAnsi="Arial" w:cs="Arial"/>
        </w:rPr>
        <w:t>s</w:t>
      </w:r>
      <w:r w:rsidRPr="000D6D94">
        <w:rPr>
          <w:rFonts w:ascii="Arial" w:hAnsi="Arial" w:cs="Arial"/>
        </w:rPr>
        <w:t>.</w:t>
      </w:r>
      <w:r w:rsidR="002B138F">
        <w:rPr>
          <w:rFonts w:ascii="Arial" w:hAnsi="Arial" w:cs="Arial"/>
        </w:rPr>
        <w:t xml:space="preserve"> </w:t>
      </w:r>
      <w:r w:rsidRPr="000D6D94">
        <w:rPr>
          <w:rFonts w:ascii="Arial" w:hAnsi="Arial" w:cs="Arial"/>
        </w:rPr>
        <w:t>Metabolites with FDR-adjusted P &lt; 0.05 were considered significant.</w:t>
      </w:r>
    </w:p>
    <w:p w14:paraId="4896DE2C" w14:textId="3B5474DB" w:rsidR="00072F9F" w:rsidRDefault="00072F9F" w:rsidP="00072F9F">
      <w:pPr>
        <w:rPr>
          <w:rFonts w:ascii="Arial" w:hAnsi="Arial" w:cs="Arial"/>
        </w:rPr>
      </w:pPr>
      <w:r w:rsidRPr="00072F9F">
        <w:rPr>
          <w:rFonts w:ascii="Arial" w:hAnsi="Arial" w:cs="Arial"/>
          <w:b/>
          <w:bCs/>
        </w:rPr>
        <w:t xml:space="preserve">Supplemental Table 3. </w:t>
      </w:r>
      <w:r w:rsidRPr="00B1057D">
        <w:rPr>
          <w:rFonts w:ascii="Arial" w:hAnsi="Arial" w:cs="Arial"/>
        </w:rPr>
        <w:t>Metabolomic profiles and longitudinal analysis following bacterial intervention under chronic tacrolimus treatment.</w:t>
      </w:r>
      <w:r>
        <w:rPr>
          <w:rFonts w:ascii="Arial" w:hAnsi="Arial" w:cs="Arial"/>
          <w:b/>
          <w:bCs/>
        </w:rPr>
        <w:t xml:space="preserve"> </w:t>
      </w:r>
      <w:r w:rsidRPr="00072F9F">
        <w:rPr>
          <w:rFonts w:ascii="Arial" w:hAnsi="Arial" w:cs="Arial"/>
        </w:rPr>
        <w:t xml:space="preserve">(A) Ileal intraluminal metabolite profiles at days 3 and 40 after oral gavage with </w:t>
      </w:r>
      <w:r w:rsidRPr="00072F9F">
        <w:rPr>
          <w:rFonts w:ascii="Arial" w:hAnsi="Arial" w:cs="Arial"/>
          <w:i/>
          <w:iCs/>
        </w:rPr>
        <w:t xml:space="preserve">Bifidobacterium </w:t>
      </w:r>
      <w:proofErr w:type="spellStart"/>
      <w:r w:rsidRPr="00072F9F">
        <w:rPr>
          <w:rFonts w:ascii="Arial" w:hAnsi="Arial" w:cs="Arial"/>
          <w:i/>
          <w:iCs/>
        </w:rPr>
        <w:t>pseudolongum</w:t>
      </w:r>
      <w:proofErr w:type="spellEnd"/>
      <w:r w:rsidRPr="00072F9F">
        <w:rPr>
          <w:rFonts w:ascii="Arial" w:hAnsi="Arial" w:cs="Arial"/>
        </w:rPr>
        <w:t xml:space="preserve"> (</w:t>
      </w:r>
      <w:r w:rsidRPr="00072F9F">
        <w:rPr>
          <w:rFonts w:ascii="Arial" w:hAnsi="Arial" w:cs="Arial"/>
          <w:i/>
          <w:iCs/>
        </w:rPr>
        <w:t>Bifido</w:t>
      </w:r>
      <w:r w:rsidRPr="00072F9F">
        <w:rPr>
          <w:rFonts w:ascii="Arial" w:hAnsi="Arial" w:cs="Arial"/>
        </w:rPr>
        <w:t xml:space="preserve">), </w:t>
      </w:r>
      <w:r w:rsidRPr="00072F9F">
        <w:rPr>
          <w:rFonts w:ascii="Arial" w:hAnsi="Arial" w:cs="Arial"/>
          <w:i/>
          <w:iCs/>
        </w:rPr>
        <w:t xml:space="preserve">Desulfovibrio </w:t>
      </w:r>
      <w:proofErr w:type="spellStart"/>
      <w:r w:rsidRPr="00072F9F">
        <w:rPr>
          <w:rFonts w:ascii="Arial" w:hAnsi="Arial" w:cs="Arial"/>
          <w:i/>
          <w:iCs/>
        </w:rPr>
        <w:t>desulfuricans</w:t>
      </w:r>
      <w:proofErr w:type="spellEnd"/>
      <w:r w:rsidRPr="00072F9F">
        <w:rPr>
          <w:rFonts w:ascii="Arial" w:hAnsi="Arial" w:cs="Arial"/>
        </w:rPr>
        <w:t xml:space="preserve"> (</w:t>
      </w:r>
      <w:proofErr w:type="spellStart"/>
      <w:r w:rsidRPr="00072F9F">
        <w:rPr>
          <w:rFonts w:ascii="Arial" w:hAnsi="Arial" w:cs="Arial"/>
          <w:i/>
          <w:iCs/>
        </w:rPr>
        <w:t>Desulfo</w:t>
      </w:r>
      <w:proofErr w:type="spellEnd"/>
      <w:r w:rsidRPr="00072F9F">
        <w:rPr>
          <w:rFonts w:ascii="Arial" w:hAnsi="Arial" w:cs="Arial"/>
        </w:rPr>
        <w:t>), or PBS control (tacrolimus-only, TAC) in cardiac allograft recipients maintained on daily tacrolimus. (B) Corresponding serum metabolite profiles, including the shared day 0 baseline after antibiotic conditioning and before bacterial gavage, transplantation, and tacrolimus treatment, and profiles at days 3 and 40 after treatment. (C) Longitudinal analysis of metabolites across the shared day 0 baseline and post-gavage days 3 and 40. Models tested the effects of treatment group, day, and the group-by-day interaction. Raw P values and Benjamini–Hochberg false discovery rate (FDR)-adjusted q values are reported for each effect.</w:t>
      </w:r>
    </w:p>
    <w:p w14:paraId="4D576C84" w14:textId="37A6E3AE" w:rsidR="00E1322C" w:rsidRDefault="00B1057D" w:rsidP="00B1057D">
      <w:pPr>
        <w:rPr>
          <w:rFonts w:ascii="Arial" w:hAnsi="Arial" w:cs="Arial"/>
        </w:rPr>
      </w:pPr>
      <w:r w:rsidRPr="00B1057D">
        <w:rPr>
          <w:rFonts w:ascii="Arial" w:hAnsi="Arial" w:cs="Arial"/>
          <w:b/>
          <w:bCs/>
        </w:rPr>
        <w:t xml:space="preserve">Supplemental Table 4. </w:t>
      </w:r>
      <w:r w:rsidRPr="00B1057D">
        <w:rPr>
          <w:rFonts w:ascii="Arial" w:hAnsi="Arial" w:cs="Arial"/>
        </w:rPr>
        <w:t>Variance partitioning of Hallmark transcriptional module scores across intestinal spatial compartments, tissues, and treatment groups.</w:t>
      </w:r>
      <w:r w:rsidR="0079001E">
        <w:rPr>
          <w:rFonts w:ascii="Arial" w:hAnsi="Arial" w:cs="Arial"/>
        </w:rPr>
        <w:t xml:space="preserve"> (A) Metadata for each sample. (B)</w:t>
      </w:r>
      <w:r>
        <w:rPr>
          <w:rFonts w:ascii="Arial" w:hAnsi="Arial" w:cs="Arial"/>
        </w:rPr>
        <w:t xml:space="preserve"> </w:t>
      </w:r>
      <w:r w:rsidRPr="00B1057D">
        <w:rPr>
          <w:rFonts w:ascii="Arial" w:hAnsi="Arial" w:cs="Arial"/>
        </w:rPr>
        <w:t xml:space="preserve">All 50 </w:t>
      </w:r>
      <w:proofErr w:type="spellStart"/>
      <w:r w:rsidRPr="00B1057D">
        <w:rPr>
          <w:rFonts w:ascii="Arial" w:hAnsi="Arial" w:cs="Arial"/>
        </w:rPr>
        <w:t>MSigDB</w:t>
      </w:r>
      <w:proofErr w:type="spellEnd"/>
      <w:r w:rsidRPr="00B1057D">
        <w:rPr>
          <w:rFonts w:ascii="Arial" w:hAnsi="Arial" w:cs="Arial"/>
        </w:rPr>
        <w:t xml:space="preserve"> Hallmark gene sets were scored using mouse-level </w:t>
      </w:r>
      <w:proofErr w:type="spellStart"/>
      <w:r w:rsidRPr="00B1057D">
        <w:rPr>
          <w:rFonts w:ascii="Arial" w:hAnsi="Arial" w:cs="Arial"/>
        </w:rPr>
        <w:t>pseudobulk</w:t>
      </w:r>
      <w:proofErr w:type="spellEnd"/>
      <w:r w:rsidRPr="00B1057D">
        <w:rPr>
          <w:rFonts w:ascii="Arial" w:hAnsi="Arial" w:cs="Arial"/>
        </w:rPr>
        <w:t xml:space="preserve"> spatial transcriptomic profiles. For each module, a linear model was used to partition the total variance in module score among epithelial compartment (apical versus basal), tissue (ileum versus colon), and treatment group, with the remaining variance reported as residual. Values indicate the percentage of total module-score variance attributable to each factor. </w:t>
      </w:r>
    </w:p>
    <w:p w14:paraId="252373BE" w14:textId="53E9E3DE" w:rsidR="00E1322C" w:rsidRDefault="00E1322C" w:rsidP="00B1057D">
      <w:pPr>
        <w:rPr>
          <w:rFonts w:ascii="Arial" w:hAnsi="Arial" w:cs="Arial"/>
        </w:rPr>
      </w:pPr>
      <w:r w:rsidRPr="00B1057D">
        <w:rPr>
          <w:rFonts w:ascii="Arial" w:hAnsi="Arial" w:cs="Arial"/>
          <w:b/>
          <w:bCs/>
        </w:rPr>
        <w:lastRenderedPageBreak/>
        <w:t xml:space="preserve">Supplemental Table </w:t>
      </w:r>
      <w:r>
        <w:rPr>
          <w:rFonts w:ascii="Arial" w:hAnsi="Arial" w:cs="Arial"/>
          <w:b/>
          <w:bCs/>
        </w:rPr>
        <w:t>5</w:t>
      </w:r>
      <w:r w:rsidRPr="00B1057D">
        <w:rPr>
          <w:rFonts w:ascii="Arial" w:hAnsi="Arial" w:cs="Arial"/>
          <w:b/>
          <w:bCs/>
        </w:rPr>
        <w:t>.</w:t>
      </w:r>
      <w:r>
        <w:rPr>
          <w:rFonts w:ascii="Arial" w:hAnsi="Arial" w:cs="Arial"/>
          <w:b/>
          <w:bCs/>
        </w:rPr>
        <w:t xml:space="preserve"> </w:t>
      </w:r>
      <w:r w:rsidRPr="00E1322C">
        <w:rPr>
          <w:rFonts w:ascii="Arial" w:hAnsi="Arial" w:cs="Arial"/>
        </w:rPr>
        <w:t>Primary antibodies and isotype controls</w:t>
      </w:r>
      <w:r>
        <w:rPr>
          <w:rFonts w:ascii="Arial" w:hAnsi="Arial" w:cs="Arial"/>
        </w:rPr>
        <w:t xml:space="preserve"> used in this study. </w:t>
      </w:r>
    </w:p>
    <w:tbl>
      <w:tblPr>
        <w:tblStyle w:val="TableGrid"/>
        <w:tblW w:w="0" w:type="auto"/>
        <w:tblBorders>
          <w:insideH w:val="single" w:sz="6" w:space="0" w:color="auto"/>
          <w:insideV w:val="single" w:sz="6" w:space="0" w:color="auto"/>
        </w:tblBorders>
        <w:tblLook w:val="04A0" w:firstRow="1" w:lastRow="0" w:firstColumn="1" w:lastColumn="0" w:noHBand="0" w:noVBand="1"/>
      </w:tblPr>
      <w:tblGrid>
        <w:gridCol w:w="3145"/>
        <w:gridCol w:w="1170"/>
        <w:gridCol w:w="3870"/>
        <w:gridCol w:w="1110"/>
      </w:tblGrid>
      <w:tr w:rsidR="00E1322C" w:rsidRPr="00E526D0" w14:paraId="0FCD1572" w14:textId="77777777" w:rsidTr="00E526D0">
        <w:tc>
          <w:tcPr>
            <w:tcW w:w="3145" w:type="dxa"/>
          </w:tcPr>
          <w:p w14:paraId="7389597D" w14:textId="77777777" w:rsidR="00E1322C" w:rsidRPr="00E526D0" w:rsidRDefault="00E1322C" w:rsidP="006D7ED2">
            <w:pPr>
              <w:rPr>
                <w:rFonts w:ascii="Arial" w:hAnsi="Arial" w:cs="Arial"/>
                <w:b/>
                <w:bCs/>
                <w:sz w:val="24"/>
                <w:szCs w:val="24"/>
              </w:rPr>
            </w:pPr>
            <w:r w:rsidRPr="00E526D0">
              <w:rPr>
                <w:rFonts w:ascii="Arial" w:hAnsi="Arial" w:cs="Arial"/>
                <w:b/>
                <w:bCs/>
                <w:sz w:val="24"/>
                <w:szCs w:val="24"/>
              </w:rPr>
              <w:t>Target Molecule</w:t>
            </w:r>
          </w:p>
        </w:tc>
        <w:tc>
          <w:tcPr>
            <w:tcW w:w="1170" w:type="dxa"/>
          </w:tcPr>
          <w:p w14:paraId="773B00BA" w14:textId="77777777" w:rsidR="00E1322C" w:rsidRPr="00E526D0" w:rsidRDefault="00E1322C" w:rsidP="006D7ED2">
            <w:pPr>
              <w:rPr>
                <w:rFonts w:ascii="Arial" w:hAnsi="Arial" w:cs="Arial"/>
                <w:b/>
                <w:bCs/>
                <w:sz w:val="24"/>
                <w:szCs w:val="24"/>
              </w:rPr>
            </w:pPr>
            <w:r w:rsidRPr="00E526D0">
              <w:rPr>
                <w:rFonts w:ascii="Arial" w:hAnsi="Arial" w:cs="Arial"/>
                <w:b/>
                <w:bCs/>
                <w:sz w:val="24"/>
                <w:szCs w:val="24"/>
              </w:rPr>
              <w:t>Clone</w:t>
            </w:r>
          </w:p>
        </w:tc>
        <w:tc>
          <w:tcPr>
            <w:tcW w:w="3870" w:type="dxa"/>
          </w:tcPr>
          <w:p w14:paraId="2D97C433" w14:textId="77777777" w:rsidR="00E1322C" w:rsidRPr="00E526D0" w:rsidRDefault="00E1322C" w:rsidP="006D7ED2">
            <w:pPr>
              <w:rPr>
                <w:rFonts w:ascii="Arial" w:hAnsi="Arial" w:cs="Arial"/>
                <w:b/>
                <w:bCs/>
                <w:sz w:val="24"/>
                <w:szCs w:val="24"/>
              </w:rPr>
            </w:pPr>
            <w:r w:rsidRPr="00E526D0">
              <w:rPr>
                <w:rFonts w:ascii="Arial" w:hAnsi="Arial" w:cs="Arial"/>
                <w:b/>
                <w:bCs/>
                <w:sz w:val="24"/>
                <w:szCs w:val="24"/>
              </w:rPr>
              <w:t>Catalog No.</w:t>
            </w:r>
          </w:p>
        </w:tc>
        <w:tc>
          <w:tcPr>
            <w:tcW w:w="990" w:type="dxa"/>
          </w:tcPr>
          <w:p w14:paraId="324EB045" w14:textId="77777777" w:rsidR="00E1322C" w:rsidRPr="00E526D0" w:rsidRDefault="00E1322C" w:rsidP="006D7ED2">
            <w:pPr>
              <w:rPr>
                <w:rFonts w:ascii="Arial" w:hAnsi="Arial" w:cs="Arial"/>
                <w:b/>
                <w:bCs/>
                <w:sz w:val="24"/>
                <w:szCs w:val="24"/>
              </w:rPr>
            </w:pPr>
            <w:r w:rsidRPr="00E526D0">
              <w:rPr>
                <w:rFonts w:ascii="Arial" w:hAnsi="Arial" w:cs="Arial"/>
                <w:b/>
                <w:bCs/>
                <w:sz w:val="24"/>
                <w:szCs w:val="24"/>
              </w:rPr>
              <w:t>Dilution</w:t>
            </w:r>
          </w:p>
        </w:tc>
      </w:tr>
      <w:tr w:rsidR="00E1322C" w:rsidRPr="00E526D0" w14:paraId="22FFCF1A" w14:textId="77777777" w:rsidTr="00E526D0">
        <w:tc>
          <w:tcPr>
            <w:tcW w:w="3145" w:type="dxa"/>
          </w:tcPr>
          <w:p w14:paraId="49BC69BD" w14:textId="77777777" w:rsidR="00E1322C" w:rsidRPr="00E526D0" w:rsidRDefault="00E1322C" w:rsidP="006D7ED2">
            <w:pPr>
              <w:rPr>
                <w:rFonts w:ascii="Arial" w:hAnsi="Arial" w:cs="Arial"/>
                <w:sz w:val="24"/>
                <w:szCs w:val="24"/>
              </w:rPr>
            </w:pPr>
            <w:r w:rsidRPr="00E526D0">
              <w:rPr>
                <w:rFonts w:ascii="Arial" w:hAnsi="Arial" w:cs="Arial"/>
              </w:rPr>
              <w:t xml:space="preserve">Anti-Goat IgG-Rhodamine </w:t>
            </w:r>
            <w:proofErr w:type="spellStart"/>
            <w:r w:rsidRPr="00E526D0">
              <w:rPr>
                <w:rFonts w:ascii="Arial" w:hAnsi="Arial" w:cs="Arial"/>
              </w:rPr>
              <w:t>RedX</w:t>
            </w:r>
            <w:proofErr w:type="spellEnd"/>
          </w:p>
        </w:tc>
        <w:tc>
          <w:tcPr>
            <w:tcW w:w="1170" w:type="dxa"/>
          </w:tcPr>
          <w:p w14:paraId="5C3161C2" w14:textId="77777777" w:rsidR="00E1322C" w:rsidRPr="00E526D0" w:rsidRDefault="00E1322C" w:rsidP="006D7ED2">
            <w:pPr>
              <w:rPr>
                <w:rFonts w:ascii="Arial" w:hAnsi="Arial" w:cs="Arial"/>
                <w:sz w:val="24"/>
                <w:szCs w:val="24"/>
              </w:rPr>
            </w:pPr>
            <w:r w:rsidRPr="00E526D0">
              <w:rPr>
                <w:rFonts w:ascii="Arial" w:hAnsi="Arial" w:cs="Arial"/>
              </w:rPr>
              <w:t>Polyclonal</w:t>
            </w:r>
          </w:p>
        </w:tc>
        <w:tc>
          <w:tcPr>
            <w:tcW w:w="3870" w:type="dxa"/>
          </w:tcPr>
          <w:p w14:paraId="6D80311B" w14:textId="77777777" w:rsidR="00E1322C" w:rsidRPr="00E526D0" w:rsidRDefault="00E1322C" w:rsidP="006D7ED2">
            <w:pPr>
              <w:rPr>
                <w:rFonts w:ascii="Arial" w:hAnsi="Arial" w:cs="Arial"/>
                <w:sz w:val="24"/>
                <w:szCs w:val="24"/>
              </w:rPr>
            </w:pPr>
            <w:r w:rsidRPr="00E526D0">
              <w:rPr>
                <w:rFonts w:ascii="Arial" w:hAnsi="Arial" w:cs="Arial"/>
              </w:rPr>
              <w:t xml:space="preserve">Jackson </w:t>
            </w:r>
            <w:proofErr w:type="spellStart"/>
            <w:r w:rsidRPr="00E526D0">
              <w:rPr>
                <w:rFonts w:ascii="Arial" w:hAnsi="Arial" w:cs="Arial"/>
              </w:rPr>
              <w:t>ImmunoResearch</w:t>
            </w:r>
            <w:proofErr w:type="spellEnd"/>
            <w:r w:rsidRPr="00E526D0">
              <w:rPr>
                <w:rFonts w:ascii="Arial" w:hAnsi="Arial" w:cs="Arial"/>
              </w:rPr>
              <w:t>; 705-296-147</w:t>
            </w:r>
          </w:p>
        </w:tc>
        <w:tc>
          <w:tcPr>
            <w:tcW w:w="990" w:type="dxa"/>
          </w:tcPr>
          <w:p w14:paraId="69E8CCA5" w14:textId="77777777" w:rsidR="00E1322C" w:rsidRPr="00E526D0" w:rsidRDefault="00E1322C" w:rsidP="006D7ED2">
            <w:pPr>
              <w:rPr>
                <w:rFonts w:ascii="Arial" w:hAnsi="Arial" w:cs="Arial"/>
              </w:rPr>
            </w:pPr>
            <w:r w:rsidRPr="00E526D0">
              <w:rPr>
                <w:rFonts w:ascii="Arial" w:hAnsi="Arial" w:cs="Arial"/>
              </w:rPr>
              <w:t>1:800</w:t>
            </w:r>
          </w:p>
        </w:tc>
      </w:tr>
      <w:tr w:rsidR="00E1322C" w:rsidRPr="00E526D0" w14:paraId="0211D022" w14:textId="77777777" w:rsidTr="00E526D0">
        <w:tc>
          <w:tcPr>
            <w:tcW w:w="3145" w:type="dxa"/>
          </w:tcPr>
          <w:p w14:paraId="4AB8E745" w14:textId="77777777" w:rsidR="00E1322C" w:rsidRPr="00E526D0" w:rsidRDefault="00E1322C" w:rsidP="006D7ED2">
            <w:pPr>
              <w:rPr>
                <w:rFonts w:ascii="Arial" w:hAnsi="Arial" w:cs="Arial"/>
                <w:sz w:val="24"/>
                <w:szCs w:val="24"/>
              </w:rPr>
            </w:pPr>
            <w:r w:rsidRPr="00E526D0">
              <w:rPr>
                <w:rFonts w:ascii="Arial" w:hAnsi="Arial" w:cs="Arial"/>
              </w:rPr>
              <w:t>Anti-Rabbit IgG-AF647</w:t>
            </w:r>
          </w:p>
        </w:tc>
        <w:tc>
          <w:tcPr>
            <w:tcW w:w="1170" w:type="dxa"/>
          </w:tcPr>
          <w:p w14:paraId="328D1F34" w14:textId="77777777" w:rsidR="00E1322C" w:rsidRPr="00E526D0" w:rsidRDefault="00E1322C" w:rsidP="006D7ED2">
            <w:pPr>
              <w:rPr>
                <w:rFonts w:ascii="Arial" w:hAnsi="Arial" w:cs="Arial"/>
                <w:sz w:val="24"/>
                <w:szCs w:val="24"/>
              </w:rPr>
            </w:pPr>
            <w:r w:rsidRPr="00E526D0">
              <w:rPr>
                <w:rFonts w:ascii="Arial" w:hAnsi="Arial" w:cs="Arial"/>
              </w:rPr>
              <w:t>Polyclonal</w:t>
            </w:r>
          </w:p>
        </w:tc>
        <w:tc>
          <w:tcPr>
            <w:tcW w:w="3870" w:type="dxa"/>
          </w:tcPr>
          <w:p w14:paraId="6AF2DF43" w14:textId="77777777" w:rsidR="00E1322C" w:rsidRPr="00E526D0" w:rsidRDefault="00E1322C" w:rsidP="006D7ED2">
            <w:pPr>
              <w:rPr>
                <w:rFonts w:ascii="Arial" w:hAnsi="Arial" w:cs="Arial"/>
                <w:sz w:val="24"/>
                <w:szCs w:val="24"/>
              </w:rPr>
            </w:pPr>
            <w:r w:rsidRPr="00E526D0">
              <w:rPr>
                <w:rFonts w:ascii="Arial" w:hAnsi="Arial" w:cs="Arial"/>
              </w:rPr>
              <w:t xml:space="preserve">Jackson </w:t>
            </w:r>
            <w:proofErr w:type="spellStart"/>
            <w:r w:rsidRPr="00E526D0">
              <w:rPr>
                <w:rFonts w:ascii="Arial" w:hAnsi="Arial" w:cs="Arial"/>
              </w:rPr>
              <w:t>ImmunoResearch</w:t>
            </w:r>
            <w:proofErr w:type="spellEnd"/>
            <w:r w:rsidRPr="00E526D0">
              <w:rPr>
                <w:rFonts w:ascii="Arial" w:hAnsi="Arial" w:cs="Arial"/>
              </w:rPr>
              <w:t>; 711-606-152</w:t>
            </w:r>
          </w:p>
        </w:tc>
        <w:tc>
          <w:tcPr>
            <w:tcW w:w="990" w:type="dxa"/>
          </w:tcPr>
          <w:p w14:paraId="026BF139" w14:textId="77777777" w:rsidR="00E1322C" w:rsidRPr="00E526D0" w:rsidRDefault="00E1322C" w:rsidP="006D7ED2">
            <w:pPr>
              <w:rPr>
                <w:rFonts w:ascii="Arial" w:hAnsi="Arial" w:cs="Arial"/>
              </w:rPr>
            </w:pPr>
            <w:r w:rsidRPr="00E526D0">
              <w:rPr>
                <w:rFonts w:ascii="Arial" w:hAnsi="Arial" w:cs="Arial"/>
              </w:rPr>
              <w:t>1:800</w:t>
            </w:r>
          </w:p>
        </w:tc>
      </w:tr>
      <w:tr w:rsidR="00E1322C" w:rsidRPr="00E526D0" w14:paraId="1A634AB6" w14:textId="77777777" w:rsidTr="00E526D0">
        <w:tc>
          <w:tcPr>
            <w:tcW w:w="3145" w:type="dxa"/>
          </w:tcPr>
          <w:p w14:paraId="006A5338" w14:textId="77777777" w:rsidR="00E1322C" w:rsidRPr="00E526D0" w:rsidRDefault="00E1322C" w:rsidP="006D7ED2">
            <w:pPr>
              <w:textAlignment w:val="baseline"/>
              <w:rPr>
                <w:rFonts w:ascii="Arial" w:hAnsi="Arial" w:cs="Arial"/>
                <w:sz w:val="24"/>
                <w:szCs w:val="24"/>
              </w:rPr>
            </w:pPr>
            <w:r w:rsidRPr="00E526D0">
              <w:rPr>
                <w:rFonts w:ascii="Arial" w:hAnsi="Arial" w:cs="Arial"/>
              </w:rPr>
              <w:t>Anti-Rat IgG AF488</w:t>
            </w:r>
          </w:p>
        </w:tc>
        <w:tc>
          <w:tcPr>
            <w:tcW w:w="1170" w:type="dxa"/>
          </w:tcPr>
          <w:p w14:paraId="0A072B90" w14:textId="77777777" w:rsidR="00E1322C" w:rsidRPr="00E526D0" w:rsidRDefault="00E1322C" w:rsidP="006D7ED2">
            <w:pPr>
              <w:textAlignment w:val="baseline"/>
              <w:rPr>
                <w:rFonts w:ascii="Arial" w:hAnsi="Arial" w:cs="Arial"/>
                <w:sz w:val="24"/>
                <w:szCs w:val="24"/>
              </w:rPr>
            </w:pPr>
            <w:r w:rsidRPr="00E526D0">
              <w:rPr>
                <w:rFonts w:ascii="Arial" w:hAnsi="Arial" w:cs="Arial"/>
              </w:rPr>
              <w:t>Polyclonal</w:t>
            </w:r>
          </w:p>
        </w:tc>
        <w:tc>
          <w:tcPr>
            <w:tcW w:w="3870" w:type="dxa"/>
          </w:tcPr>
          <w:p w14:paraId="501EE335" w14:textId="77777777" w:rsidR="00E1322C" w:rsidRPr="00E526D0" w:rsidRDefault="00E1322C" w:rsidP="006D7ED2">
            <w:pPr>
              <w:textAlignment w:val="baseline"/>
              <w:rPr>
                <w:rFonts w:ascii="Arial" w:hAnsi="Arial" w:cs="Arial"/>
                <w:sz w:val="24"/>
                <w:szCs w:val="24"/>
              </w:rPr>
            </w:pPr>
            <w:r w:rsidRPr="00E526D0">
              <w:rPr>
                <w:rFonts w:ascii="Arial" w:hAnsi="Arial" w:cs="Arial"/>
              </w:rPr>
              <w:t xml:space="preserve">Jackson </w:t>
            </w:r>
            <w:proofErr w:type="spellStart"/>
            <w:r w:rsidRPr="00E526D0">
              <w:rPr>
                <w:rFonts w:ascii="Arial" w:hAnsi="Arial" w:cs="Arial"/>
              </w:rPr>
              <w:t>ImmunoResearch</w:t>
            </w:r>
            <w:proofErr w:type="spellEnd"/>
            <w:r w:rsidRPr="00E526D0">
              <w:rPr>
                <w:rFonts w:ascii="Arial" w:hAnsi="Arial" w:cs="Arial"/>
              </w:rPr>
              <w:t>; 712-546-153</w:t>
            </w:r>
          </w:p>
        </w:tc>
        <w:tc>
          <w:tcPr>
            <w:tcW w:w="990" w:type="dxa"/>
          </w:tcPr>
          <w:p w14:paraId="4BFF40BC" w14:textId="77777777" w:rsidR="00E1322C" w:rsidRPr="00E526D0" w:rsidRDefault="00E1322C" w:rsidP="006D7ED2">
            <w:pPr>
              <w:textAlignment w:val="baseline"/>
              <w:rPr>
                <w:rFonts w:ascii="Arial" w:hAnsi="Arial" w:cs="Arial"/>
              </w:rPr>
            </w:pPr>
            <w:r w:rsidRPr="00E526D0">
              <w:rPr>
                <w:rFonts w:ascii="Arial" w:hAnsi="Arial" w:cs="Arial"/>
              </w:rPr>
              <w:t>1:800</w:t>
            </w:r>
          </w:p>
        </w:tc>
      </w:tr>
      <w:tr w:rsidR="00E1322C" w:rsidRPr="00E526D0" w14:paraId="01ED88B4" w14:textId="77777777" w:rsidTr="00E526D0">
        <w:tc>
          <w:tcPr>
            <w:tcW w:w="3145" w:type="dxa"/>
            <w:hideMark/>
          </w:tcPr>
          <w:p w14:paraId="6E35D67F" w14:textId="77777777" w:rsidR="00E1322C" w:rsidRPr="00E526D0" w:rsidRDefault="00E1322C" w:rsidP="006D7ED2">
            <w:pPr>
              <w:textAlignment w:val="baseline"/>
              <w:rPr>
                <w:rFonts w:ascii="Arial" w:hAnsi="Arial" w:cs="Arial"/>
                <w:sz w:val="24"/>
                <w:szCs w:val="24"/>
              </w:rPr>
            </w:pPr>
            <w:r w:rsidRPr="00E526D0">
              <w:rPr>
                <w:rFonts w:ascii="Arial" w:hAnsi="Arial" w:cs="Arial"/>
              </w:rPr>
              <w:t>Anti-Rat IgG-Rhodamine Red-X</w:t>
            </w:r>
          </w:p>
        </w:tc>
        <w:tc>
          <w:tcPr>
            <w:tcW w:w="1170" w:type="dxa"/>
            <w:hideMark/>
          </w:tcPr>
          <w:p w14:paraId="2272B0B0" w14:textId="77777777" w:rsidR="00E1322C" w:rsidRPr="00E526D0" w:rsidRDefault="00E1322C" w:rsidP="006D7ED2">
            <w:pPr>
              <w:textAlignment w:val="baseline"/>
              <w:rPr>
                <w:rFonts w:ascii="Arial" w:hAnsi="Arial" w:cs="Arial"/>
                <w:sz w:val="24"/>
                <w:szCs w:val="24"/>
              </w:rPr>
            </w:pPr>
            <w:r w:rsidRPr="00E526D0">
              <w:rPr>
                <w:rFonts w:ascii="Arial" w:hAnsi="Arial" w:cs="Arial"/>
              </w:rPr>
              <w:t>Polyclonal</w:t>
            </w:r>
          </w:p>
        </w:tc>
        <w:tc>
          <w:tcPr>
            <w:tcW w:w="3870" w:type="dxa"/>
            <w:hideMark/>
          </w:tcPr>
          <w:p w14:paraId="24F10EA8" w14:textId="77777777" w:rsidR="00E1322C" w:rsidRPr="00E526D0" w:rsidRDefault="00E1322C" w:rsidP="006D7ED2">
            <w:pPr>
              <w:textAlignment w:val="baseline"/>
              <w:rPr>
                <w:rFonts w:ascii="Arial" w:hAnsi="Arial" w:cs="Arial"/>
                <w:sz w:val="24"/>
                <w:szCs w:val="24"/>
              </w:rPr>
            </w:pPr>
            <w:r w:rsidRPr="00E526D0">
              <w:rPr>
                <w:rFonts w:ascii="Arial" w:hAnsi="Arial" w:cs="Arial"/>
              </w:rPr>
              <w:t xml:space="preserve">Jackson </w:t>
            </w:r>
            <w:proofErr w:type="spellStart"/>
            <w:r w:rsidRPr="00E526D0">
              <w:rPr>
                <w:rFonts w:ascii="Arial" w:hAnsi="Arial" w:cs="Arial"/>
              </w:rPr>
              <w:t>ImmunoResearch</w:t>
            </w:r>
            <w:proofErr w:type="spellEnd"/>
            <w:r w:rsidRPr="00E526D0">
              <w:rPr>
                <w:rFonts w:ascii="Arial" w:hAnsi="Arial" w:cs="Arial"/>
              </w:rPr>
              <w:t>; 712-296-150</w:t>
            </w:r>
          </w:p>
        </w:tc>
        <w:tc>
          <w:tcPr>
            <w:tcW w:w="990" w:type="dxa"/>
          </w:tcPr>
          <w:p w14:paraId="4ECBF7C8" w14:textId="77777777" w:rsidR="00E1322C" w:rsidRPr="00E526D0" w:rsidRDefault="00E1322C" w:rsidP="006D7ED2">
            <w:pPr>
              <w:textAlignment w:val="baseline"/>
              <w:rPr>
                <w:rFonts w:ascii="Arial" w:hAnsi="Arial" w:cs="Arial"/>
              </w:rPr>
            </w:pPr>
            <w:r w:rsidRPr="00E526D0">
              <w:rPr>
                <w:rFonts w:ascii="Arial" w:hAnsi="Arial" w:cs="Arial"/>
              </w:rPr>
              <w:t>1:800</w:t>
            </w:r>
          </w:p>
        </w:tc>
      </w:tr>
      <w:tr w:rsidR="00E1322C" w:rsidRPr="00E526D0" w14:paraId="2A637A00" w14:textId="77777777" w:rsidTr="00E526D0">
        <w:tc>
          <w:tcPr>
            <w:tcW w:w="3145" w:type="dxa"/>
          </w:tcPr>
          <w:p w14:paraId="10A21B17" w14:textId="77777777" w:rsidR="00E1322C" w:rsidRPr="00E526D0" w:rsidRDefault="00E1322C" w:rsidP="006D7ED2">
            <w:pPr>
              <w:textAlignment w:val="baseline"/>
              <w:rPr>
                <w:rFonts w:ascii="Arial" w:hAnsi="Arial" w:cs="Arial"/>
                <w:sz w:val="24"/>
                <w:szCs w:val="24"/>
              </w:rPr>
            </w:pPr>
            <w:r w:rsidRPr="00E526D0">
              <w:rPr>
                <w:rFonts w:ascii="Arial" w:hAnsi="Arial" w:cs="Arial"/>
              </w:rPr>
              <w:t>CD4</w:t>
            </w:r>
          </w:p>
        </w:tc>
        <w:tc>
          <w:tcPr>
            <w:tcW w:w="1170" w:type="dxa"/>
          </w:tcPr>
          <w:p w14:paraId="35F5EF97" w14:textId="77777777" w:rsidR="00E1322C" w:rsidRPr="00E526D0" w:rsidRDefault="00E1322C" w:rsidP="006D7ED2">
            <w:pPr>
              <w:textAlignment w:val="baseline"/>
              <w:rPr>
                <w:rFonts w:ascii="Arial" w:hAnsi="Arial" w:cs="Arial"/>
                <w:sz w:val="24"/>
                <w:szCs w:val="24"/>
              </w:rPr>
            </w:pPr>
            <w:r w:rsidRPr="00E526D0">
              <w:rPr>
                <w:rFonts w:ascii="Arial" w:hAnsi="Arial" w:cs="Arial"/>
              </w:rPr>
              <w:t>GK1.5</w:t>
            </w:r>
          </w:p>
        </w:tc>
        <w:tc>
          <w:tcPr>
            <w:tcW w:w="3870" w:type="dxa"/>
          </w:tcPr>
          <w:p w14:paraId="36F5411B" w14:textId="77777777" w:rsidR="00E1322C" w:rsidRPr="00E526D0" w:rsidRDefault="00E1322C" w:rsidP="006D7ED2">
            <w:pPr>
              <w:textAlignment w:val="baseline"/>
              <w:rPr>
                <w:rFonts w:ascii="Arial" w:hAnsi="Arial" w:cs="Arial"/>
                <w:sz w:val="24"/>
                <w:szCs w:val="24"/>
              </w:rPr>
            </w:pPr>
            <w:proofErr w:type="spellStart"/>
            <w:r w:rsidRPr="00E526D0">
              <w:rPr>
                <w:rFonts w:ascii="Arial" w:hAnsi="Arial" w:cs="Arial"/>
              </w:rPr>
              <w:t>Biolegend</w:t>
            </w:r>
            <w:proofErr w:type="spellEnd"/>
            <w:r w:rsidRPr="00E526D0">
              <w:rPr>
                <w:rFonts w:ascii="Arial" w:hAnsi="Arial" w:cs="Arial"/>
              </w:rPr>
              <w:t>; 100424</w:t>
            </w:r>
          </w:p>
        </w:tc>
        <w:tc>
          <w:tcPr>
            <w:tcW w:w="990" w:type="dxa"/>
          </w:tcPr>
          <w:p w14:paraId="79CF8D0F" w14:textId="77777777" w:rsidR="00E1322C" w:rsidRPr="00E526D0" w:rsidRDefault="00E1322C" w:rsidP="006D7ED2">
            <w:pPr>
              <w:textAlignment w:val="baseline"/>
              <w:rPr>
                <w:rFonts w:ascii="Arial" w:hAnsi="Arial" w:cs="Arial"/>
              </w:rPr>
            </w:pPr>
            <w:r w:rsidRPr="00E526D0">
              <w:rPr>
                <w:rFonts w:ascii="Arial" w:hAnsi="Arial" w:cs="Arial"/>
              </w:rPr>
              <w:t>1:100</w:t>
            </w:r>
          </w:p>
        </w:tc>
      </w:tr>
      <w:tr w:rsidR="00E1322C" w:rsidRPr="00E526D0" w14:paraId="2E60D74C" w14:textId="77777777" w:rsidTr="00E526D0">
        <w:tc>
          <w:tcPr>
            <w:tcW w:w="3145" w:type="dxa"/>
          </w:tcPr>
          <w:p w14:paraId="454C2E16" w14:textId="77777777" w:rsidR="00E1322C" w:rsidRPr="00E526D0" w:rsidRDefault="00E1322C" w:rsidP="006D7ED2">
            <w:pPr>
              <w:textAlignment w:val="baseline"/>
              <w:rPr>
                <w:rFonts w:ascii="Arial" w:hAnsi="Arial" w:cs="Arial"/>
                <w:sz w:val="24"/>
                <w:szCs w:val="24"/>
              </w:rPr>
            </w:pPr>
            <w:r w:rsidRPr="00E526D0">
              <w:rPr>
                <w:rFonts w:ascii="Arial" w:hAnsi="Arial" w:cs="Arial"/>
              </w:rPr>
              <w:t>CD8</w:t>
            </w:r>
          </w:p>
        </w:tc>
        <w:tc>
          <w:tcPr>
            <w:tcW w:w="1170" w:type="dxa"/>
          </w:tcPr>
          <w:p w14:paraId="1690E4E6" w14:textId="77777777" w:rsidR="00E1322C" w:rsidRPr="00E526D0" w:rsidRDefault="00E1322C" w:rsidP="006D7ED2">
            <w:pPr>
              <w:textAlignment w:val="baseline"/>
              <w:rPr>
                <w:rFonts w:ascii="Arial" w:hAnsi="Arial" w:cs="Arial"/>
                <w:sz w:val="24"/>
                <w:szCs w:val="24"/>
              </w:rPr>
            </w:pPr>
            <w:r w:rsidRPr="00E526D0">
              <w:rPr>
                <w:rFonts w:ascii="Arial" w:hAnsi="Arial" w:cs="Arial"/>
              </w:rPr>
              <w:t>53-6.7</w:t>
            </w:r>
          </w:p>
        </w:tc>
        <w:tc>
          <w:tcPr>
            <w:tcW w:w="3870" w:type="dxa"/>
          </w:tcPr>
          <w:p w14:paraId="4FAA1C67" w14:textId="77777777" w:rsidR="00E1322C" w:rsidRPr="00E526D0" w:rsidRDefault="00E1322C" w:rsidP="006D7ED2">
            <w:pPr>
              <w:textAlignment w:val="baseline"/>
              <w:rPr>
                <w:rFonts w:ascii="Arial" w:hAnsi="Arial" w:cs="Arial"/>
                <w:sz w:val="24"/>
                <w:szCs w:val="24"/>
              </w:rPr>
            </w:pPr>
            <w:proofErr w:type="spellStart"/>
            <w:r w:rsidRPr="00E526D0">
              <w:rPr>
                <w:rFonts w:ascii="Arial" w:hAnsi="Arial" w:cs="Arial"/>
              </w:rPr>
              <w:t>Biolegend</w:t>
            </w:r>
            <w:proofErr w:type="spellEnd"/>
            <w:r w:rsidRPr="00E526D0">
              <w:rPr>
                <w:rFonts w:ascii="Arial" w:hAnsi="Arial" w:cs="Arial"/>
              </w:rPr>
              <w:t>; 100723</w:t>
            </w:r>
          </w:p>
        </w:tc>
        <w:tc>
          <w:tcPr>
            <w:tcW w:w="990" w:type="dxa"/>
          </w:tcPr>
          <w:p w14:paraId="4C1074E2" w14:textId="77777777" w:rsidR="00E1322C" w:rsidRPr="00E526D0" w:rsidRDefault="00E1322C" w:rsidP="006D7ED2">
            <w:pPr>
              <w:textAlignment w:val="baseline"/>
              <w:rPr>
                <w:rFonts w:ascii="Arial" w:hAnsi="Arial" w:cs="Arial"/>
              </w:rPr>
            </w:pPr>
            <w:r w:rsidRPr="00E526D0">
              <w:rPr>
                <w:rFonts w:ascii="Arial" w:hAnsi="Arial" w:cs="Arial"/>
              </w:rPr>
              <w:t>1:100</w:t>
            </w:r>
          </w:p>
        </w:tc>
      </w:tr>
      <w:tr w:rsidR="00E1322C" w:rsidRPr="00E526D0" w14:paraId="14965AEC" w14:textId="77777777" w:rsidTr="00E526D0">
        <w:tc>
          <w:tcPr>
            <w:tcW w:w="3145" w:type="dxa"/>
          </w:tcPr>
          <w:p w14:paraId="5430463D" w14:textId="77777777" w:rsidR="00E1322C" w:rsidRPr="00E526D0" w:rsidRDefault="00E1322C" w:rsidP="006D7ED2">
            <w:pPr>
              <w:textAlignment w:val="baseline"/>
              <w:rPr>
                <w:rFonts w:ascii="Arial" w:hAnsi="Arial" w:cs="Arial"/>
                <w:sz w:val="24"/>
                <w:szCs w:val="24"/>
              </w:rPr>
            </w:pPr>
            <w:r w:rsidRPr="00E526D0">
              <w:rPr>
                <w:rFonts w:ascii="Arial" w:hAnsi="Arial" w:cs="Arial"/>
              </w:rPr>
              <w:t>ER-TR7</w:t>
            </w:r>
          </w:p>
        </w:tc>
        <w:tc>
          <w:tcPr>
            <w:tcW w:w="1170" w:type="dxa"/>
          </w:tcPr>
          <w:p w14:paraId="5B0384E0" w14:textId="77777777" w:rsidR="00E1322C" w:rsidRPr="00E526D0" w:rsidRDefault="00E1322C" w:rsidP="006D7ED2">
            <w:pPr>
              <w:textAlignment w:val="baseline"/>
              <w:rPr>
                <w:rFonts w:ascii="Arial" w:hAnsi="Arial" w:cs="Arial"/>
                <w:sz w:val="24"/>
                <w:szCs w:val="24"/>
              </w:rPr>
            </w:pPr>
            <w:r w:rsidRPr="00E526D0">
              <w:rPr>
                <w:rFonts w:ascii="Arial" w:hAnsi="Arial" w:cs="Arial"/>
              </w:rPr>
              <w:t>Polyclonal</w:t>
            </w:r>
          </w:p>
        </w:tc>
        <w:tc>
          <w:tcPr>
            <w:tcW w:w="3870" w:type="dxa"/>
          </w:tcPr>
          <w:p w14:paraId="310D62BD" w14:textId="77777777" w:rsidR="00E1322C" w:rsidRPr="00E526D0" w:rsidRDefault="00E1322C" w:rsidP="006D7ED2">
            <w:pPr>
              <w:textAlignment w:val="baseline"/>
              <w:rPr>
                <w:rFonts w:ascii="Arial" w:hAnsi="Arial" w:cs="Arial"/>
                <w:sz w:val="24"/>
                <w:szCs w:val="24"/>
              </w:rPr>
            </w:pPr>
            <w:r w:rsidRPr="00E526D0">
              <w:rPr>
                <w:rFonts w:ascii="Arial" w:hAnsi="Arial" w:cs="Arial"/>
              </w:rPr>
              <w:t>Santa Cruz; SC-73355</w:t>
            </w:r>
          </w:p>
        </w:tc>
        <w:tc>
          <w:tcPr>
            <w:tcW w:w="990" w:type="dxa"/>
          </w:tcPr>
          <w:p w14:paraId="6991AC92" w14:textId="77777777" w:rsidR="00E1322C" w:rsidRPr="00E526D0" w:rsidRDefault="00E1322C" w:rsidP="006D7ED2">
            <w:pPr>
              <w:textAlignment w:val="baseline"/>
              <w:rPr>
                <w:rFonts w:ascii="Arial" w:hAnsi="Arial" w:cs="Arial"/>
              </w:rPr>
            </w:pPr>
            <w:r w:rsidRPr="00E526D0">
              <w:rPr>
                <w:rFonts w:ascii="Arial" w:hAnsi="Arial" w:cs="Arial"/>
              </w:rPr>
              <w:t>1:200</w:t>
            </w:r>
          </w:p>
        </w:tc>
      </w:tr>
      <w:tr w:rsidR="00E1322C" w:rsidRPr="00E526D0" w14:paraId="32CE952D" w14:textId="77777777" w:rsidTr="00E526D0">
        <w:tc>
          <w:tcPr>
            <w:tcW w:w="3145" w:type="dxa"/>
          </w:tcPr>
          <w:p w14:paraId="672AC934" w14:textId="77777777" w:rsidR="00E1322C" w:rsidRPr="00E526D0" w:rsidRDefault="00E1322C" w:rsidP="006D7ED2">
            <w:pPr>
              <w:textAlignment w:val="baseline"/>
              <w:rPr>
                <w:rFonts w:ascii="Arial" w:hAnsi="Arial" w:cs="Arial"/>
                <w:sz w:val="24"/>
                <w:szCs w:val="24"/>
              </w:rPr>
            </w:pPr>
            <w:r w:rsidRPr="00E526D0">
              <w:rPr>
                <w:rFonts w:ascii="Arial" w:hAnsi="Arial" w:cs="Arial"/>
              </w:rPr>
              <w:t>Foxp3</w:t>
            </w:r>
          </w:p>
        </w:tc>
        <w:tc>
          <w:tcPr>
            <w:tcW w:w="1170" w:type="dxa"/>
          </w:tcPr>
          <w:p w14:paraId="6F75B5F1" w14:textId="77777777" w:rsidR="00E1322C" w:rsidRPr="00E526D0" w:rsidRDefault="00E1322C" w:rsidP="006D7ED2">
            <w:pPr>
              <w:textAlignment w:val="baseline"/>
              <w:rPr>
                <w:rFonts w:ascii="Arial" w:hAnsi="Arial" w:cs="Arial"/>
                <w:sz w:val="24"/>
                <w:szCs w:val="24"/>
              </w:rPr>
            </w:pPr>
            <w:r w:rsidRPr="00E526D0">
              <w:rPr>
                <w:rFonts w:ascii="Arial" w:hAnsi="Arial" w:cs="Arial"/>
              </w:rPr>
              <w:t>NRRF-30</w:t>
            </w:r>
          </w:p>
        </w:tc>
        <w:tc>
          <w:tcPr>
            <w:tcW w:w="3870" w:type="dxa"/>
          </w:tcPr>
          <w:p w14:paraId="11D1C787" w14:textId="77777777" w:rsidR="00E1322C" w:rsidRPr="00E526D0" w:rsidRDefault="00E1322C" w:rsidP="006D7ED2">
            <w:pPr>
              <w:textAlignment w:val="baseline"/>
              <w:rPr>
                <w:rFonts w:ascii="Arial" w:hAnsi="Arial" w:cs="Arial"/>
                <w:sz w:val="24"/>
                <w:szCs w:val="24"/>
              </w:rPr>
            </w:pPr>
            <w:proofErr w:type="spellStart"/>
            <w:r w:rsidRPr="00E526D0">
              <w:rPr>
                <w:rFonts w:ascii="Arial" w:hAnsi="Arial" w:cs="Arial"/>
              </w:rPr>
              <w:t>eBioSci</w:t>
            </w:r>
            <w:proofErr w:type="spellEnd"/>
            <w:r w:rsidRPr="00E526D0">
              <w:rPr>
                <w:rFonts w:ascii="Arial" w:hAnsi="Arial" w:cs="Arial"/>
              </w:rPr>
              <w:t>; 14-4771-37</w:t>
            </w:r>
          </w:p>
        </w:tc>
        <w:tc>
          <w:tcPr>
            <w:tcW w:w="990" w:type="dxa"/>
          </w:tcPr>
          <w:p w14:paraId="37E04BF4" w14:textId="77777777" w:rsidR="00E1322C" w:rsidRPr="00E526D0" w:rsidRDefault="00E1322C" w:rsidP="006D7ED2">
            <w:pPr>
              <w:textAlignment w:val="baseline"/>
              <w:rPr>
                <w:rFonts w:ascii="Arial" w:hAnsi="Arial" w:cs="Arial"/>
              </w:rPr>
            </w:pPr>
            <w:r w:rsidRPr="00E526D0">
              <w:rPr>
                <w:rFonts w:ascii="Arial" w:hAnsi="Arial" w:cs="Arial"/>
              </w:rPr>
              <w:t>1:200</w:t>
            </w:r>
          </w:p>
        </w:tc>
      </w:tr>
      <w:tr w:rsidR="00E1322C" w:rsidRPr="00E526D0" w14:paraId="737E5C3A" w14:textId="77777777" w:rsidTr="00E526D0">
        <w:tc>
          <w:tcPr>
            <w:tcW w:w="3145" w:type="dxa"/>
          </w:tcPr>
          <w:p w14:paraId="3A3DA867" w14:textId="77777777" w:rsidR="00E1322C" w:rsidRPr="00E526D0" w:rsidRDefault="00E1322C" w:rsidP="006D7ED2">
            <w:pPr>
              <w:textAlignment w:val="baseline"/>
              <w:rPr>
                <w:rFonts w:ascii="Arial" w:hAnsi="Arial" w:cs="Arial"/>
                <w:sz w:val="24"/>
                <w:szCs w:val="24"/>
              </w:rPr>
            </w:pPr>
            <w:r w:rsidRPr="00E526D0">
              <w:rPr>
                <w:rFonts w:ascii="Arial" w:hAnsi="Arial" w:cs="Arial"/>
              </w:rPr>
              <w:t xml:space="preserve">Laminin </w:t>
            </w:r>
            <w:r w:rsidRPr="00E526D0">
              <w:rPr>
                <w:rFonts w:ascii="Cambria Math" w:hAnsi="Cambria Math" w:cs="Cambria Math"/>
              </w:rPr>
              <w:t>𝛼</w:t>
            </w:r>
            <w:r w:rsidRPr="00E526D0">
              <w:rPr>
                <w:rFonts w:ascii="Arial" w:hAnsi="Arial" w:cs="Arial"/>
              </w:rPr>
              <w:t>4</w:t>
            </w:r>
          </w:p>
        </w:tc>
        <w:tc>
          <w:tcPr>
            <w:tcW w:w="1170" w:type="dxa"/>
          </w:tcPr>
          <w:p w14:paraId="6A725513" w14:textId="77777777" w:rsidR="00E1322C" w:rsidRPr="00E526D0" w:rsidRDefault="00E1322C" w:rsidP="006D7ED2">
            <w:pPr>
              <w:textAlignment w:val="baseline"/>
              <w:rPr>
                <w:rFonts w:ascii="Arial" w:hAnsi="Arial" w:cs="Arial"/>
                <w:sz w:val="24"/>
                <w:szCs w:val="24"/>
              </w:rPr>
            </w:pPr>
            <w:r w:rsidRPr="00E526D0">
              <w:rPr>
                <w:rFonts w:ascii="Arial" w:hAnsi="Arial" w:cs="Arial"/>
              </w:rPr>
              <w:t>Polyclonal</w:t>
            </w:r>
          </w:p>
        </w:tc>
        <w:tc>
          <w:tcPr>
            <w:tcW w:w="3870" w:type="dxa"/>
          </w:tcPr>
          <w:p w14:paraId="3F36BC0E" w14:textId="77777777" w:rsidR="00E1322C" w:rsidRPr="00E526D0" w:rsidRDefault="00E1322C" w:rsidP="006D7ED2">
            <w:pPr>
              <w:textAlignment w:val="baseline"/>
              <w:rPr>
                <w:rFonts w:ascii="Arial" w:hAnsi="Arial" w:cs="Arial"/>
              </w:rPr>
            </w:pPr>
            <w:r w:rsidRPr="00E526D0">
              <w:rPr>
                <w:rFonts w:ascii="Arial" w:hAnsi="Arial" w:cs="Arial"/>
              </w:rPr>
              <w:t>R&amp;D; AF3837</w:t>
            </w:r>
          </w:p>
        </w:tc>
        <w:tc>
          <w:tcPr>
            <w:tcW w:w="990" w:type="dxa"/>
          </w:tcPr>
          <w:p w14:paraId="31D92C1F" w14:textId="77777777" w:rsidR="00E1322C" w:rsidRPr="00E526D0" w:rsidRDefault="00E1322C" w:rsidP="006D7ED2">
            <w:pPr>
              <w:textAlignment w:val="baseline"/>
              <w:rPr>
                <w:rFonts w:ascii="Arial" w:hAnsi="Arial" w:cs="Arial"/>
              </w:rPr>
            </w:pPr>
            <w:r w:rsidRPr="00E526D0">
              <w:rPr>
                <w:rFonts w:ascii="Arial" w:hAnsi="Arial" w:cs="Arial"/>
              </w:rPr>
              <w:t>1:200</w:t>
            </w:r>
          </w:p>
        </w:tc>
      </w:tr>
      <w:tr w:rsidR="00E1322C" w:rsidRPr="00E526D0" w14:paraId="6CF3569E" w14:textId="77777777" w:rsidTr="00E526D0">
        <w:tc>
          <w:tcPr>
            <w:tcW w:w="3145" w:type="dxa"/>
          </w:tcPr>
          <w:p w14:paraId="51A51B66" w14:textId="77777777" w:rsidR="00E1322C" w:rsidRPr="00E526D0" w:rsidRDefault="00E1322C" w:rsidP="006D7ED2">
            <w:pPr>
              <w:textAlignment w:val="baseline"/>
              <w:rPr>
                <w:rFonts w:ascii="Arial" w:hAnsi="Arial" w:cs="Arial"/>
                <w:sz w:val="24"/>
                <w:szCs w:val="24"/>
              </w:rPr>
            </w:pPr>
            <w:r w:rsidRPr="00E526D0">
              <w:rPr>
                <w:rFonts w:ascii="Arial" w:hAnsi="Arial" w:cs="Arial"/>
              </w:rPr>
              <w:t xml:space="preserve">Laminin </w:t>
            </w:r>
            <w:r w:rsidRPr="00E526D0">
              <w:rPr>
                <w:rFonts w:ascii="Cambria Math" w:hAnsi="Cambria Math" w:cs="Cambria Math"/>
              </w:rPr>
              <w:t>𝛼</w:t>
            </w:r>
            <w:r w:rsidRPr="00E526D0">
              <w:rPr>
                <w:rFonts w:ascii="Arial" w:hAnsi="Arial" w:cs="Arial"/>
              </w:rPr>
              <w:t>5</w:t>
            </w:r>
          </w:p>
        </w:tc>
        <w:tc>
          <w:tcPr>
            <w:tcW w:w="1170" w:type="dxa"/>
          </w:tcPr>
          <w:p w14:paraId="4618FB56" w14:textId="77777777" w:rsidR="00E1322C" w:rsidRPr="00E526D0" w:rsidRDefault="00E1322C" w:rsidP="006D7ED2">
            <w:pPr>
              <w:textAlignment w:val="baseline"/>
              <w:rPr>
                <w:rFonts w:ascii="Arial" w:hAnsi="Arial" w:cs="Arial"/>
                <w:sz w:val="24"/>
                <w:szCs w:val="24"/>
              </w:rPr>
            </w:pPr>
            <w:r w:rsidRPr="00E526D0">
              <w:rPr>
                <w:rFonts w:ascii="Arial" w:hAnsi="Arial" w:cs="Arial"/>
              </w:rPr>
              <w:t>Polyclonal</w:t>
            </w:r>
          </w:p>
        </w:tc>
        <w:tc>
          <w:tcPr>
            <w:tcW w:w="3870" w:type="dxa"/>
          </w:tcPr>
          <w:p w14:paraId="476EDF91" w14:textId="77777777" w:rsidR="00E1322C" w:rsidRPr="00E526D0" w:rsidRDefault="00E1322C" w:rsidP="006D7ED2">
            <w:pPr>
              <w:textAlignment w:val="baseline"/>
              <w:rPr>
                <w:rFonts w:ascii="Arial" w:hAnsi="Arial" w:cs="Arial"/>
                <w:sz w:val="24"/>
                <w:szCs w:val="24"/>
              </w:rPr>
            </w:pPr>
            <w:r w:rsidRPr="00E526D0">
              <w:rPr>
                <w:rFonts w:ascii="Arial" w:hAnsi="Arial" w:cs="Arial"/>
              </w:rPr>
              <w:t>Sigma; SAB4501720</w:t>
            </w:r>
          </w:p>
        </w:tc>
        <w:tc>
          <w:tcPr>
            <w:tcW w:w="990" w:type="dxa"/>
          </w:tcPr>
          <w:p w14:paraId="0383A8E7" w14:textId="77777777" w:rsidR="00E1322C" w:rsidRPr="00E526D0" w:rsidRDefault="00E1322C" w:rsidP="006D7ED2">
            <w:pPr>
              <w:textAlignment w:val="baseline"/>
              <w:rPr>
                <w:rFonts w:ascii="Arial" w:hAnsi="Arial" w:cs="Arial"/>
              </w:rPr>
            </w:pPr>
            <w:r w:rsidRPr="00E526D0">
              <w:rPr>
                <w:rFonts w:ascii="Arial" w:hAnsi="Arial" w:cs="Arial"/>
              </w:rPr>
              <w:t>1:200</w:t>
            </w:r>
          </w:p>
        </w:tc>
      </w:tr>
    </w:tbl>
    <w:p w14:paraId="5A4065AC" w14:textId="77777777" w:rsidR="00E1322C" w:rsidRPr="000D6D94" w:rsidRDefault="00E1322C" w:rsidP="00B1057D">
      <w:pPr>
        <w:rPr>
          <w:rFonts w:ascii="Arial" w:hAnsi="Arial" w:cs="Arial"/>
        </w:rPr>
      </w:pPr>
    </w:p>
    <w:p w14:paraId="7C3A8562" w14:textId="17557EFD" w:rsidR="00B45CB0" w:rsidRPr="00B45CB0" w:rsidRDefault="00B45CB0">
      <w:pPr>
        <w:rPr>
          <w:rFonts w:ascii="Arial" w:hAnsi="Arial" w:cs="Arial"/>
        </w:rPr>
      </w:pPr>
      <w:r w:rsidRPr="00B45CB0">
        <w:rPr>
          <w:rFonts w:ascii="Arial" w:hAnsi="Arial" w:cs="Arial"/>
        </w:rPr>
        <w:br w:type="page"/>
      </w:r>
      <w:r w:rsidRPr="00B45CB0">
        <w:rPr>
          <w:rFonts w:ascii="Arial" w:hAnsi="Arial" w:cs="Arial"/>
        </w:rPr>
        <w:lastRenderedPageBreak/>
        <w:t>Supplemental Figure 1</w:t>
      </w:r>
    </w:p>
    <w:p w14:paraId="760C9F1F" w14:textId="14C90521" w:rsidR="00BC3D9A" w:rsidRDefault="002F47BE">
      <w:pPr>
        <w:rPr>
          <w:rFonts w:ascii="Arial" w:hAnsi="Arial" w:cs="Arial"/>
        </w:rPr>
      </w:pPr>
      <w:r>
        <w:rPr>
          <w:rFonts w:ascii="Arial" w:hAnsi="Arial" w:cs="Arial" w:hint="eastAsia"/>
          <w:noProof/>
        </w:rPr>
        <w:drawing>
          <wp:inline distT="0" distB="0" distL="0" distR="0" wp14:anchorId="7ED678DC" wp14:editId="69D968E1">
            <wp:extent cx="5943600" cy="4069715"/>
            <wp:effectExtent l="0" t="0" r="0" b="0"/>
            <wp:docPr id="878553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53540" name="Picture 87855354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069715"/>
                    </a:xfrm>
                    <a:prstGeom prst="rect">
                      <a:avLst/>
                    </a:prstGeom>
                  </pic:spPr>
                </pic:pic>
              </a:graphicData>
            </a:graphic>
          </wp:inline>
        </w:drawing>
      </w:r>
    </w:p>
    <w:p w14:paraId="6B72C850" w14:textId="2D7BA677" w:rsidR="00D71AEA" w:rsidRDefault="00D71AEA">
      <w:pPr>
        <w:rPr>
          <w:rFonts w:ascii="Arial" w:hAnsi="Arial" w:cs="Arial"/>
        </w:rPr>
      </w:pPr>
      <w:r>
        <w:rPr>
          <w:rFonts w:ascii="Arial" w:hAnsi="Arial" w:cs="Arial"/>
        </w:rPr>
        <w:br w:type="page"/>
      </w:r>
    </w:p>
    <w:p w14:paraId="7BADF161" w14:textId="6F2446E8" w:rsidR="00D71AEA" w:rsidRDefault="00D71AEA">
      <w:pPr>
        <w:rPr>
          <w:rFonts w:ascii="Arial" w:hAnsi="Arial" w:cs="Arial"/>
        </w:rPr>
      </w:pPr>
      <w:r w:rsidRPr="00B45CB0">
        <w:rPr>
          <w:rFonts w:ascii="Arial" w:hAnsi="Arial" w:cs="Arial"/>
        </w:rPr>
        <w:lastRenderedPageBreak/>
        <w:t xml:space="preserve">Supplemental Figure </w:t>
      </w:r>
      <w:r>
        <w:rPr>
          <w:rFonts w:ascii="Arial" w:hAnsi="Arial" w:cs="Arial"/>
        </w:rPr>
        <w:t>2</w:t>
      </w:r>
    </w:p>
    <w:p w14:paraId="54A41448" w14:textId="5899BBEE" w:rsidR="00D71AEA" w:rsidRDefault="00D71AEA">
      <w:pPr>
        <w:rPr>
          <w:rFonts w:ascii="Arial" w:hAnsi="Arial" w:cs="Arial"/>
        </w:rPr>
      </w:pPr>
      <w:r>
        <w:rPr>
          <w:rFonts w:ascii="Arial" w:hAnsi="Arial" w:cs="Arial"/>
          <w:noProof/>
        </w:rPr>
        <w:drawing>
          <wp:inline distT="0" distB="0" distL="0" distR="0" wp14:anchorId="1CCB783F" wp14:editId="20AD0305">
            <wp:extent cx="5943600" cy="2046605"/>
            <wp:effectExtent l="0" t="0" r="0" b="0"/>
            <wp:docPr id="1512730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30163" name="Picture 15127301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046605"/>
                    </a:xfrm>
                    <a:prstGeom prst="rect">
                      <a:avLst/>
                    </a:prstGeom>
                  </pic:spPr>
                </pic:pic>
              </a:graphicData>
            </a:graphic>
          </wp:inline>
        </w:drawing>
      </w:r>
    </w:p>
    <w:p w14:paraId="4EB18057" w14:textId="0A9561BA" w:rsidR="00031F4B" w:rsidRDefault="00031F4B">
      <w:pPr>
        <w:rPr>
          <w:rFonts w:ascii="Arial" w:hAnsi="Arial" w:cs="Arial"/>
        </w:rPr>
      </w:pPr>
      <w:r>
        <w:rPr>
          <w:rFonts w:ascii="Arial" w:hAnsi="Arial" w:cs="Arial"/>
        </w:rPr>
        <w:br w:type="page"/>
      </w:r>
    </w:p>
    <w:p w14:paraId="1E1A035C" w14:textId="76D984B7" w:rsidR="00031F4B" w:rsidRDefault="00031F4B" w:rsidP="00031F4B">
      <w:pPr>
        <w:rPr>
          <w:rFonts w:ascii="Arial" w:hAnsi="Arial" w:cs="Arial"/>
        </w:rPr>
      </w:pPr>
      <w:r w:rsidRPr="00B45CB0">
        <w:rPr>
          <w:rFonts w:ascii="Arial" w:hAnsi="Arial" w:cs="Arial"/>
        </w:rPr>
        <w:lastRenderedPageBreak/>
        <w:t xml:space="preserve">Supplemental Figure </w:t>
      </w:r>
      <w:r>
        <w:rPr>
          <w:rFonts w:ascii="Arial" w:hAnsi="Arial" w:cs="Arial"/>
        </w:rPr>
        <w:t>3</w:t>
      </w:r>
    </w:p>
    <w:p w14:paraId="58D0B123" w14:textId="5058845E" w:rsidR="00031F4B" w:rsidRDefault="00031F4B" w:rsidP="00031F4B">
      <w:pPr>
        <w:rPr>
          <w:rFonts w:ascii="Arial" w:hAnsi="Arial" w:cs="Arial"/>
        </w:rPr>
      </w:pPr>
      <w:r>
        <w:rPr>
          <w:rFonts w:ascii="Arial" w:hAnsi="Arial" w:cs="Arial"/>
          <w:noProof/>
        </w:rPr>
        <w:drawing>
          <wp:inline distT="0" distB="0" distL="0" distR="0" wp14:anchorId="6EDAFA2A" wp14:editId="12DC4079">
            <wp:extent cx="5943600" cy="2571115"/>
            <wp:effectExtent l="0" t="0" r="0" b="0"/>
            <wp:docPr id="318972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72513" name="Picture 3189725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571115"/>
                    </a:xfrm>
                    <a:prstGeom prst="rect">
                      <a:avLst/>
                    </a:prstGeom>
                  </pic:spPr>
                </pic:pic>
              </a:graphicData>
            </a:graphic>
          </wp:inline>
        </w:drawing>
      </w:r>
    </w:p>
    <w:p w14:paraId="1FD2C110" w14:textId="3A0ECFE1" w:rsidR="0076648D" w:rsidRDefault="0076648D">
      <w:pPr>
        <w:rPr>
          <w:rFonts w:ascii="Arial" w:hAnsi="Arial" w:cs="Arial"/>
        </w:rPr>
      </w:pPr>
      <w:r>
        <w:rPr>
          <w:rFonts w:ascii="Arial" w:hAnsi="Arial" w:cs="Arial"/>
        </w:rPr>
        <w:br w:type="page"/>
      </w:r>
    </w:p>
    <w:p w14:paraId="59F31457" w14:textId="51178112" w:rsidR="0076648D" w:rsidRDefault="0076648D" w:rsidP="0076648D">
      <w:pPr>
        <w:rPr>
          <w:rFonts w:ascii="Arial" w:hAnsi="Arial" w:cs="Arial"/>
        </w:rPr>
      </w:pPr>
      <w:r w:rsidRPr="00B45CB0">
        <w:rPr>
          <w:rFonts w:ascii="Arial" w:hAnsi="Arial" w:cs="Arial"/>
        </w:rPr>
        <w:lastRenderedPageBreak/>
        <w:t xml:space="preserve">Supplemental Figure </w:t>
      </w:r>
      <w:r>
        <w:rPr>
          <w:rFonts w:ascii="Arial" w:hAnsi="Arial" w:cs="Arial"/>
        </w:rPr>
        <w:t>4</w:t>
      </w:r>
    </w:p>
    <w:p w14:paraId="14427E17" w14:textId="6ADF8291" w:rsidR="007F776C" w:rsidRDefault="00C06EDB" w:rsidP="0076648D">
      <w:pPr>
        <w:rPr>
          <w:rFonts w:ascii="Arial" w:hAnsi="Arial" w:cs="Arial"/>
        </w:rPr>
      </w:pPr>
      <w:r>
        <w:rPr>
          <w:rFonts w:ascii="Arial" w:hAnsi="Arial" w:cs="Arial"/>
          <w:noProof/>
        </w:rPr>
        <w:drawing>
          <wp:inline distT="0" distB="0" distL="0" distR="0" wp14:anchorId="1BA0DA22" wp14:editId="428455B9">
            <wp:extent cx="5943600" cy="3013710"/>
            <wp:effectExtent l="0" t="0" r="0" b="0"/>
            <wp:docPr id="2098132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32798" name="Picture 20981327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013710"/>
                    </a:xfrm>
                    <a:prstGeom prst="rect">
                      <a:avLst/>
                    </a:prstGeom>
                  </pic:spPr>
                </pic:pic>
              </a:graphicData>
            </a:graphic>
          </wp:inline>
        </w:drawing>
      </w:r>
    </w:p>
    <w:p w14:paraId="6549C40D" w14:textId="31E23D92" w:rsidR="000D5670" w:rsidRDefault="000D5670">
      <w:pPr>
        <w:rPr>
          <w:rFonts w:ascii="Arial" w:hAnsi="Arial" w:cs="Arial"/>
        </w:rPr>
      </w:pPr>
      <w:r>
        <w:rPr>
          <w:rFonts w:ascii="Arial" w:hAnsi="Arial" w:cs="Arial"/>
        </w:rPr>
        <w:br w:type="page"/>
      </w:r>
    </w:p>
    <w:p w14:paraId="4F60DD49" w14:textId="06330BA1" w:rsidR="00031F4B" w:rsidRDefault="000D5670">
      <w:pPr>
        <w:rPr>
          <w:rFonts w:ascii="Arial" w:hAnsi="Arial" w:cs="Arial"/>
        </w:rPr>
      </w:pPr>
      <w:r w:rsidRPr="00B45CB0">
        <w:rPr>
          <w:rFonts w:ascii="Arial" w:hAnsi="Arial" w:cs="Arial"/>
        </w:rPr>
        <w:lastRenderedPageBreak/>
        <w:t xml:space="preserve">Supplemental Figure </w:t>
      </w:r>
      <w:r>
        <w:rPr>
          <w:rFonts w:ascii="Arial" w:hAnsi="Arial" w:cs="Arial"/>
        </w:rPr>
        <w:t>5</w:t>
      </w:r>
    </w:p>
    <w:p w14:paraId="3289EEB8" w14:textId="1A2F620D" w:rsidR="000D5670" w:rsidRDefault="000F30A4">
      <w:pPr>
        <w:rPr>
          <w:rFonts w:ascii="Arial" w:hAnsi="Arial" w:cs="Arial"/>
        </w:rPr>
      </w:pPr>
      <w:r>
        <w:rPr>
          <w:rFonts w:ascii="Arial" w:hAnsi="Arial" w:cs="Arial"/>
          <w:noProof/>
        </w:rPr>
        <w:drawing>
          <wp:inline distT="0" distB="0" distL="0" distR="0" wp14:anchorId="26D14572" wp14:editId="146003F4">
            <wp:extent cx="5943600" cy="5379085"/>
            <wp:effectExtent l="0" t="0" r="0" b="5715"/>
            <wp:docPr id="3196038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03837" name="Picture 3196038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379085"/>
                    </a:xfrm>
                    <a:prstGeom prst="rect">
                      <a:avLst/>
                    </a:prstGeom>
                  </pic:spPr>
                </pic:pic>
              </a:graphicData>
            </a:graphic>
          </wp:inline>
        </w:drawing>
      </w:r>
    </w:p>
    <w:p w14:paraId="7337344B" w14:textId="27DE1C21" w:rsidR="006B4B9A" w:rsidRDefault="006B4B9A">
      <w:pPr>
        <w:rPr>
          <w:rFonts w:ascii="Arial" w:hAnsi="Arial" w:cs="Arial"/>
        </w:rPr>
      </w:pPr>
      <w:r>
        <w:rPr>
          <w:rFonts w:ascii="Arial" w:hAnsi="Arial" w:cs="Arial"/>
        </w:rPr>
        <w:br w:type="page"/>
      </w:r>
    </w:p>
    <w:p w14:paraId="65672762" w14:textId="392E1A2E" w:rsidR="006B4B9A" w:rsidRDefault="006B4B9A" w:rsidP="006B4B9A">
      <w:pPr>
        <w:rPr>
          <w:rFonts w:ascii="Arial" w:hAnsi="Arial" w:cs="Arial"/>
        </w:rPr>
      </w:pPr>
      <w:r w:rsidRPr="00B45CB0">
        <w:rPr>
          <w:rFonts w:ascii="Arial" w:hAnsi="Arial" w:cs="Arial"/>
        </w:rPr>
        <w:lastRenderedPageBreak/>
        <w:t>Supplemental Figure</w:t>
      </w:r>
      <w:r>
        <w:rPr>
          <w:rFonts w:ascii="Arial" w:hAnsi="Arial" w:cs="Arial"/>
        </w:rPr>
        <w:t xml:space="preserve"> 6</w:t>
      </w:r>
    </w:p>
    <w:p w14:paraId="0EE9F3A2" w14:textId="4592207F" w:rsidR="006B4B9A" w:rsidRDefault="00C05F1C">
      <w:pPr>
        <w:rPr>
          <w:rFonts w:ascii="Arial" w:hAnsi="Arial" w:cs="Arial"/>
        </w:rPr>
      </w:pPr>
      <w:r>
        <w:rPr>
          <w:rFonts w:ascii="Arial" w:hAnsi="Arial" w:cs="Arial"/>
          <w:noProof/>
        </w:rPr>
        <w:drawing>
          <wp:inline distT="0" distB="0" distL="0" distR="0" wp14:anchorId="11F58E1E" wp14:editId="139D4B57">
            <wp:extent cx="5943600" cy="4394835"/>
            <wp:effectExtent l="0" t="0" r="0" b="0"/>
            <wp:docPr id="1182168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68589" name="Picture 11821685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394835"/>
                    </a:xfrm>
                    <a:prstGeom prst="rect">
                      <a:avLst/>
                    </a:prstGeom>
                  </pic:spPr>
                </pic:pic>
              </a:graphicData>
            </a:graphic>
          </wp:inline>
        </w:drawing>
      </w:r>
    </w:p>
    <w:p w14:paraId="3F984794" w14:textId="4FFEC93D" w:rsidR="00F72B93" w:rsidRDefault="00F72B93">
      <w:pPr>
        <w:rPr>
          <w:rFonts w:ascii="Arial" w:hAnsi="Arial" w:cs="Arial"/>
        </w:rPr>
      </w:pPr>
      <w:r>
        <w:rPr>
          <w:rFonts w:ascii="Arial" w:hAnsi="Arial" w:cs="Arial"/>
        </w:rPr>
        <w:br w:type="page"/>
      </w:r>
    </w:p>
    <w:p w14:paraId="6271731D" w14:textId="5C38B613" w:rsidR="00F72B93" w:rsidRDefault="00F72B93" w:rsidP="00F72B93">
      <w:pPr>
        <w:rPr>
          <w:rFonts w:ascii="Arial" w:hAnsi="Arial" w:cs="Arial"/>
        </w:rPr>
      </w:pPr>
      <w:r w:rsidRPr="00B45CB0">
        <w:rPr>
          <w:rFonts w:ascii="Arial" w:hAnsi="Arial" w:cs="Arial"/>
        </w:rPr>
        <w:lastRenderedPageBreak/>
        <w:t>Supplemental Figure</w:t>
      </w:r>
      <w:r>
        <w:rPr>
          <w:rFonts w:ascii="Arial" w:hAnsi="Arial" w:cs="Arial"/>
        </w:rPr>
        <w:t xml:space="preserve"> 7</w:t>
      </w:r>
    </w:p>
    <w:p w14:paraId="7C7B0625" w14:textId="489FEA80" w:rsidR="00F72B93" w:rsidRDefault="00F72B93">
      <w:pPr>
        <w:rPr>
          <w:rFonts w:ascii="Arial" w:hAnsi="Arial" w:cs="Arial"/>
        </w:rPr>
      </w:pPr>
      <w:r>
        <w:rPr>
          <w:rFonts w:ascii="Arial" w:hAnsi="Arial" w:cs="Arial"/>
          <w:noProof/>
        </w:rPr>
        <w:drawing>
          <wp:inline distT="0" distB="0" distL="0" distR="0" wp14:anchorId="39F3FB81" wp14:editId="231397BD">
            <wp:extent cx="5943600" cy="2849880"/>
            <wp:effectExtent l="0" t="0" r="0" b="0"/>
            <wp:docPr id="7333108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10852" name="Picture 73331085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849880"/>
                    </a:xfrm>
                    <a:prstGeom prst="rect">
                      <a:avLst/>
                    </a:prstGeom>
                  </pic:spPr>
                </pic:pic>
              </a:graphicData>
            </a:graphic>
          </wp:inline>
        </w:drawing>
      </w:r>
    </w:p>
    <w:p w14:paraId="1E7B899F" w14:textId="045B5D06" w:rsidR="00FF17B6" w:rsidRDefault="00FF17B6">
      <w:pPr>
        <w:rPr>
          <w:rFonts w:ascii="Arial" w:hAnsi="Arial" w:cs="Arial"/>
        </w:rPr>
      </w:pPr>
      <w:r>
        <w:rPr>
          <w:rFonts w:ascii="Arial" w:hAnsi="Arial" w:cs="Arial"/>
        </w:rPr>
        <w:br w:type="page"/>
      </w:r>
    </w:p>
    <w:p w14:paraId="38EC1947" w14:textId="15668A28" w:rsidR="00FF17B6" w:rsidRDefault="00FF17B6" w:rsidP="00FF17B6">
      <w:pPr>
        <w:rPr>
          <w:rFonts w:ascii="Arial" w:hAnsi="Arial" w:cs="Arial"/>
        </w:rPr>
      </w:pPr>
      <w:r w:rsidRPr="00B45CB0">
        <w:rPr>
          <w:rFonts w:ascii="Arial" w:hAnsi="Arial" w:cs="Arial"/>
        </w:rPr>
        <w:lastRenderedPageBreak/>
        <w:t>Supplemental Figure</w:t>
      </w:r>
      <w:r>
        <w:rPr>
          <w:rFonts w:ascii="Arial" w:hAnsi="Arial" w:cs="Arial"/>
        </w:rPr>
        <w:t xml:space="preserve"> 8</w:t>
      </w:r>
    </w:p>
    <w:p w14:paraId="400C74DD" w14:textId="40A219D8" w:rsidR="00FF17B6" w:rsidRDefault="00FF17B6">
      <w:pPr>
        <w:rPr>
          <w:rFonts w:ascii="Arial" w:hAnsi="Arial" w:cs="Arial"/>
        </w:rPr>
      </w:pPr>
      <w:r>
        <w:rPr>
          <w:rFonts w:ascii="Arial" w:hAnsi="Arial" w:cs="Arial"/>
          <w:noProof/>
        </w:rPr>
        <w:drawing>
          <wp:inline distT="0" distB="0" distL="0" distR="0" wp14:anchorId="25C6460B" wp14:editId="36602FB9">
            <wp:extent cx="5943600" cy="6215380"/>
            <wp:effectExtent l="0" t="0" r="0" b="0"/>
            <wp:docPr id="19675506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50605" name="Picture 19675506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215380"/>
                    </a:xfrm>
                    <a:prstGeom prst="rect">
                      <a:avLst/>
                    </a:prstGeom>
                  </pic:spPr>
                </pic:pic>
              </a:graphicData>
            </a:graphic>
          </wp:inline>
        </w:drawing>
      </w:r>
    </w:p>
    <w:p w14:paraId="55EAD40B" w14:textId="2CD59119" w:rsidR="002F3279" w:rsidRDefault="002F3279">
      <w:pPr>
        <w:rPr>
          <w:rFonts w:ascii="Arial" w:hAnsi="Arial" w:cs="Arial"/>
        </w:rPr>
      </w:pPr>
      <w:r>
        <w:rPr>
          <w:rFonts w:ascii="Arial" w:hAnsi="Arial" w:cs="Arial"/>
        </w:rPr>
        <w:br w:type="page"/>
      </w:r>
    </w:p>
    <w:p w14:paraId="7527448B" w14:textId="2DA4F2CC" w:rsidR="002F3279" w:rsidRDefault="002F3279" w:rsidP="002F3279">
      <w:pPr>
        <w:rPr>
          <w:rFonts w:ascii="Arial" w:hAnsi="Arial" w:cs="Arial"/>
        </w:rPr>
      </w:pPr>
      <w:r w:rsidRPr="00B45CB0">
        <w:rPr>
          <w:rFonts w:ascii="Arial" w:hAnsi="Arial" w:cs="Arial"/>
        </w:rPr>
        <w:lastRenderedPageBreak/>
        <w:t>Supplemental Figure</w:t>
      </w:r>
      <w:r>
        <w:rPr>
          <w:rFonts w:ascii="Arial" w:hAnsi="Arial" w:cs="Arial"/>
        </w:rPr>
        <w:t xml:space="preserve"> 9</w:t>
      </w:r>
    </w:p>
    <w:p w14:paraId="182C4387" w14:textId="6D376179" w:rsidR="002F3279" w:rsidRDefault="002F3279">
      <w:pPr>
        <w:rPr>
          <w:rFonts w:ascii="Arial" w:hAnsi="Arial" w:cs="Arial"/>
          <w:noProof/>
        </w:rPr>
      </w:pPr>
      <w:r>
        <w:rPr>
          <w:rFonts w:ascii="Arial" w:hAnsi="Arial" w:cs="Arial"/>
          <w:noProof/>
        </w:rPr>
        <w:drawing>
          <wp:inline distT="0" distB="0" distL="0" distR="0" wp14:anchorId="00A3471D" wp14:editId="5C585346">
            <wp:extent cx="5943600" cy="5582920"/>
            <wp:effectExtent l="0" t="0" r="0" b="5080"/>
            <wp:docPr id="1154589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8966" name="Picture 1154589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582920"/>
                    </a:xfrm>
                    <a:prstGeom prst="rect">
                      <a:avLst/>
                    </a:prstGeom>
                  </pic:spPr>
                </pic:pic>
              </a:graphicData>
            </a:graphic>
          </wp:inline>
        </w:drawing>
      </w:r>
    </w:p>
    <w:p w14:paraId="2E62A468" w14:textId="1949E8E0" w:rsidR="001C361C" w:rsidRDefault="001C361C">
      <w:pPr>
        <w:rPr>
          <w:rFonts w:ascii="Arial" w:hAnsi="Arial" w:cs="Arial"/>
        </w:rPr>
      </w:pPr>
      <w:r>
        <w:rPr>
          <w:rFonts w:ascii="Arial" w:hAnsi="Arial" w:cs="Arial"/>
        </w:rPr>
        <w:br w:type="page"/>
      </w:r>
    </w:p>
    <w:p w14:paraId="7A49E5C6" w14:textId="5DC744C6" w:rsidR="001C361C" w:rsidRDefault="001C361C" w:rsidP="001C361C">
      <w:pPr>
        <w:rPr>
          <w:rFonts w:ascii="Arial" w:hAnsi="Arial" w:cs="Arial"/>
        </w:rPr>
      </w:pPr>
      <w:r w:rsidRPr="00B45CB0">
        <w:rPr>
          <w:rFonts w:ascii="Arial" w:hAnsi="Arial" w:cs="Arial"/>
        </w:rPr>
        <w:lastRenderedPageBreak/>
        <w:t>Supplemental Figure</w:t>
      </w:r>
      <w:r>
        <w:rPr>
          <w:rFonts w:ascii="Arial" w:hAnsi="Arial" w:cs="Arial"/>
        </w:rPr>
        <w:t xml:space="preserve"> 10</w:t>
      </w:r>
    </w:p>
    <w:p w14:paraId="43778A9A" w14:textId="36489558" w:rsidR="001C361C" w:rsidRDefault="001C361C" w:rsidP="001C361C">
      <w:pPr>
        <w:rPr>
          <w:rFonts w:ascii="Arial" w:hAnsi="Arial" w:cs="Arial"/>
        </w:rPr>
      </w:pPr>
      <w:r>
        <w:rPr>
          <w:rFonts w:ascii="Arial" w:hAnsi="Arial" w:cs="Arial"/>
          <w:noProof/>
        </w:rPr>
        <w:drawing>
          <wp:inline distT="0" distB="0" distL="0" distR="0" wp14:anchorId="19961F46" wp14:editId="28428A6B">
            <wp:extent cx="3429000" cy="7048500"/>
            <wp:effectExtent l="0" t="0" r="0" b="0"/>
            <wp:docPr id="10618681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8178" name="Picture 10618681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29000" cy="7048500"/>
                    </a:xfrm>
                    <a:prstGeom prst="rect">
                      <a:avLst/>
                    </a:prstGeom>
                  </pic:spPr>
                </pic:pic>
              </a:graphicData>
            </a:graphic>
          </wp:inline>
        </w:drawing>
      </w:r>
    </w:p>
    <w:p w14:paraId="37354BF6" w14:textId="29973A0B" w:rsidR="002C1449" w:rsidRDefault="002C1449" w:rsidP="001C361C">
      <w:pPr>
        <w:rPr>
          <w:rFonts w:ascii="Arial" w:hAnsi="Arial" w:cs="Arial"/>
        </w:rPr>
      </w:pPr>
    </w:p>
    <w:p w14:paraId="299A8C85" w14:textId="77777777" w:rsidR="002C1449" w:rsidRDefault="002C1449">
      <w:pPr>
        <w:rPr>
          <w:rFonts w:ascii="Arial" w:hAnsi="Arial" w:cs="Arial"/>
        </w:rPr>
      </w:pPr>
      <w:r>
        <w:rPr>
          <w:rFonts w:ascii="Arial" w:hAnsi="Arial" w:cs="Arial"/>
        </w:rPr>
        <w:br w:type="page"/>
      </w:r>
    </w:p>
    <w:p w14:paraId="06B7E9D0" w14:textId="6198D455" w:rsidR="002C1449" w:rsidRDefault="002C1449" w:rsidP="002C1449">
      <w:pPr>
        <w:rPr>
          <w:rFonts w:ascii="Arial" w:hAnsi="Arial" w:cs="Arial"/>
        </w:rPr>
      </w:pPr>
      <w:r w:rsidRPr="00B45CB0">
        <w:rPr>
          <w:rFonts w:ascii="Arial" w:hAnsi="Arial" w:cs="Arial"/>
        </w:rPr>
        <w:lastRenderedPageBreak/>
        <w:t>Supplemental Figure</w:t>
      </w:r>
      <w:r>
        <w:rPr>
          <w:rFonts w:ascii="Arial" w:hAnsi="Arial" w:cs="Arial"/>
        </w:rPr>
        <w:t xml:space="preserve"> 11</w:t>
      </w:r>
    </w:p>
    <w:p w14:paraId="0168B93E" w14:textId="7FED6A98" w:rsidR="002C1449" w:rsidRDefault="00CF49C6" w:rsidP="001C361C">
      <w:pPr>
        <w:rPr>
          <w:rFonts w:ascii="Arial" w:hAnsi="Arial" w:cs="Arial"/>
        </w:rPr>
      </w:pPr>
      <w:r>
        <w:rPr>
          <w:rFonts w:ascii="Arial" w:hAnsi="Arial" w:cs="Arial"/>
          <w:noProof/>
        </w:rPr>
        <w:drawing>
          <wp:inline distT="0" distB="0" distL="0" distR="0" wp14:anchorId="521F36D7" wp14:editId="16181EBF">
            <wp:extent cx="4721382" cy="6892995"/>
            <wp:effectExtent l="0" t="0" r="3175" b="3175"/>
            <wp:docPr id="14920432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43284" name="Picture 14920432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40003" cy="6920180"/>
                    </a:xfrm>
                    <a:prstGeom prst="rect">
                      <a:avLst/>
                    </a:prstGeom>
                  </pic:spPr>
                </pic:pic>
              </a:graphicData>
            </a:graphic>
          </wp:inline>
        </w:drawing>
      </w:r>
    </w:p>
    <w:p w14:paraId="3AD88C60" w14:textId="208E0C6E" w:rsidR="00667015" w:rsidRDefault="00667015">
      <w:pPr>
        <w:rPr>
          <w:rFonts w:ascii="Arial" w:hAnsi="Arial" w:cs="Arial"/>
        </w:rPr>
      </w:pPr>
      <w:r>
        <w:rPr>
          <w:rFonts w:ascii="Arial" w:hAnsi="Arial" w:cs="Arial"/>
        </w:rPr>
        <w:br w:type="page"/>
      </w:r>
    </w:p>
    <w:p w14:paraId="2C12397D" w14:textId="52344DEB" w:rsidR="00667015" w:rsidRPr="00B45CB0" w:rsidRDefault="00667015" w:rsidP="00667015">
      <w:pPr>
        <w:rPr>
          <w:rFonts w:ascii="Arial" w:hAnsi="Arial" w:cs="Arial"/>
        </w:rPr>
      </w:pPr>
      <w:r w:rsidRPr="00B45CB0">
        <w:rPr>
          <w:rFonts w:ascii="Arial" w:hAnsi="Arial" w:cs="Arial"/>
        </w:rPr>
        <w:lastRenderedPageBreak/>
        <w:t>Supplemental Figure 1</w:t>
      </w:r>
      <w:r>
        <w:rPr>
          <w:rFonts w:ascii="Arial" w:hAnsi="Arial" w:cs="Arial"/>
        </w:rPr>
        <w:t>2</w:t>
      </w:r>
    </w:p>
    <w:p w14:paraId="047F8B5E" w14:textId="28E131D0" w:rsidR="00667015" w:rsidRDefault="00667015" w:rsidP="001C361C">
      <w:pPr>
        <w:rPr>
          <w:rFonts w:ascii="Arial" w:hAnsi="Arial" w:cs="Arial"/>
        </w:rPr>
      </w:pPr>
      <w:r>
        <w:rPr>
          <w:rFonts w:ascii="Arial" w:hAnsi="Arial" w:cs="Arial"/>
          <w:noProof/>
        </w:rPr>
        <w:drawing>
          <wp:inline distT="0" distB="0" distL="0" distR="0" wp14:anchorId="6240AF30" wp14:editId="1E07D29E">
            <wp:extent cx="5943600" cy="3870960"/>
            <wp:effectExtent l="0" t="0" r="0" b="2540"/>
            <wp:docPr id="11822141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14133" name="Picture 118221413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870960"/>
                    </a:xfrm>
                    <a:prstGeom prst="rect">
                      <a:avLst/>
                    </a:prstGeom>
                  </pic:spPr>
                </pic:pic>
              </a:graphicData>
            </a:graphic>
          </wp:inline>
        </w:drawing>
      </w:r>
    </w:p>
    <w:p w14:paraId="412D4DC0" w14:textId="020C88DC" w:rsidR="008A2AD2" w:rsidRDefault="008A2AD2">
      <w:pPr>
        <w:rPr>
          <w:rFonts w:ascii="Arial" w:hAnsi="Arial" w:cs="Arial"/>
        </w:rPr>
      </w:pPr>
      <w:r>
        <w:rPr>
          <w:rFonts w:ascii="Arial" w:hAnsi="Arial" w:cs="Arial"/>
        </w:rPr>
        <w:br w:type="page"/>
      </w:r>
    </w:p>
    <w:p w14:paraId="1445F966" w14:textId="77E36FC8" w:rsidR="008A2AD2" w:rsidRPr="00B45CB0" w:rsidRDefault="008A2AD2" w:rsidP="008A2AD2">
      <w:pPr>
        <w:rPr>
          <w:rFonts w:ascii="Arial" w:hAnsi="Arial" w:cs="Arial"/>
        </w:rPr>
      </w:pPr>
      <w:r w:rsidRPr="00B45CB0">
        <w:rPr>
          <w:rFonts w:ascii="Arial" w:hAnsi="Arial" w:cs="Arial"/>
        </w:rPr>
        <w:lastRenderedPageBreak/>
        <w:t>Supplemental Figure 1</w:t>
      </w:r>
      <w:r>
        <w:rPr>
          <w:rFonts w:ascii="Arial" w:hAnsi="Arial" w:cs="Arial"/>
        </w:rPr>
        <w:t>3</w:t>
      </w:r>
    </w:p>
    <w:p w14:paraId="35EB05B0" w14:textId="3D37AAF1" w:rsidR="008A2AD2" w:rsidRDefault="001A154A" w:rsidP="001C361C">
      <w:pPr>
        <w:rPr>
          <w:rFonts w:ascii="Arial" w:hAnsi="Arial" w:cs="Arial"/>
        </w:rPr>
      </w:pPr>
      <w:r>
        <w:rPr>
          <w:rFonts w:ascii="Arial" w:hAnsi="Arial" w:cs="Arial"/>
          <w:noProof/>
        </w:rPr>
        <w:drawing>
          <wp:inline distT="0" distB="0" distL="0" distR="0" wp14:anchorId="1BA5B486" wp14:editId="6FE1365A">
            <wp:extent cx="5943600" cy="5359400"/>
            <wp:effectExtent l="0" t="0" r="0" b="0"/>
            <wp:docPr id="69416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607" name="Picture 69416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359400"/>
                    </a:xfrm>
                    <a:prstGeom prst="rect">
                      <a:avLst/>
                    </a:prstGeom>
                  </pic:spPr>
                </pic:pic>
              </a:graphicData>
            </a:graphic>
          </wp:inline>
        </w:drawing>
      </w:r>
    </w:p>
    <w:p w14:paraId="00B9DAE7" w14:textId="750F729B" w:rsidR="00EE5C74" w:rsidRDefault="00EE5C74">
      <w:pPr>
        <w:rPr>
          <w:rFonts w:ascii="Arial" w:hAnsi="Arial" w:cs="Arial"/>
        </w:rPr>
      </w:pPr>
      <w:r>
        <w:rPr>
          <w:rFonts w:ascii="Arial" w:hAnsi="Arial" w:cs="Arial"/>
        </w:rPr>
        <w:br w:type="page"/>
      </w:r>
    </w:p>
    <w:p w14:paraId="6555334F" w14:textId="2590E396" w:rsidR="00EE5C74" w:rsidRDefault="00EE5C74" w:rsidP="00EE5C74">
      <w:pPr>
        <w:rPr>
          <w:rFonts w:ascii="Arial" w:hAnsi="Arial" w:cs="Arial"/>
        </w:rPr>
      </w:pPr>
      <w:r w:rsidRPr="00B45CB0">
        <w:rPr>
          <w:rFonts w:ascii="Arial" w:hAnsi="Arial" w:cs="Arial"/>
        </w:rPr>
        <w:lastRenderedPageBreak/>
        <w:t>Supplemental Figure 1</w:t>
      </w:r>
      <w:r>
        <w:rPr>
          <w:rFonts w:ascii="Arial" w:hAnsi="Arial" w:cs="Arial"/>
        </w:rPr>
        <w:t>4</w:t>
      </w:r>
    </w:p>
    <w:p w14:paraId="03AFE7E1" w14:textId="64169534" w:rsidR="00EE5C74" w:rsidRPr="00B45CB0" w:rsidRDefault="0079001E" w:rsidP="00EE5C74">
      <w:pPr>
        <w:rPr>
          <w:rFonts w:ascii="Arial" w:hAnsi="Arial" w:cs="Arial"/>
        </w:rPr>
      </w:pPr>
      <w:r>
        <w:rPr>
          <w:rFonts w:ascii="Arial" w:hAnsi="Arial" w:cs="Arial"/>
          <w:noProof/>
        </w:rPr>
        <w:drawing>
          <wp:inline distT="0" distB="0" distL="0" distR="0" wp14:anchorId="5166C6DA" wp14:editId="66E5A950">
            <wp:extent cx="5943600" cy="2016125"/>
            <wp:effectExtent l="0" t="0" r="0" b="3175"/>
            <wp:docPr id="707246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46711" name="Picture 7072467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016125"/>
                    </a:xfrm>
                    <a:prstGeom prst="rect">
                      <a:avLst/>
                    </a:prstGeom>
                  </pic:spPr>
                </pic:pic>
              </a:graphicData>
            </a:graphic>
          </wp:inline>
        </w:drawing>
      </w:r>
    </w:p>
    <w:p w14:paraId="6CACA855" w14:textId="33B85CEC" w:rsidR="005C2B0E" w:rsidRDefault="005C2B0E">
      <w:pPr>
        <w:rPr>
          <w:rFonts w:ascii="Arial" w:hAnsi="Arial" w:cs="Arial"/>
        </w:rPr>
      </w:pPr>
      <w:r>
        <w:rPr>
          <w:rFonts w:ascii="Arial" w:hAnsi="Arial" w:cs="Arial"/>
        </w:rPr>
        <w:br w:type="page"/>
      </w:r>
    </w:p>
    <w:p w14:paraId="1B5524A3" w14:textId="3F50EB15" w:rsidR="007A721C" w:rsidRDefault="005C2B0E" w:rsidP="005C2B0E">
      <w:pPr>
        <w:rPr>
          <w:rFonts w:ascii="Arial" w:hAnsi="Arial" w:cs="Arial"/>
        </w:rPr>
      </w:pPr>
      <w:r w:rsidRPr="00B45CB0">
        <w:rPr>
          <w:rFonts w:ascii="Arial" w:hAnsi="Arial" w:cs="Arial"/>
        </w:rPr>
        <w:lastRenderedPageBreak/>
        <w:t>Supplemental Figure 1</w:t>
      </w:r>
      <w:r>
        <w:rPr>
          <w:rFonts w:ascii="Arial" w:hAnsi="Arial" w:cs="Arial"/>
        </w:rPr>
        <w:t>5</w:t>
      </w:r>
    </w:p>
    <w:p w14:paraId="0E253A01" w14:textId="6A43E805" w:rsidR="00553776" w:rsidRDefault="00553776" w:rsidP="005C2B0E">
      <w:pPr>
        <w:rPr>
          <w:rFonts w:ascii="Arial" w:hAnsi="Arial" w:cs="Arial"/>
        </w:rPr>
      </w:pPr>
      <w:r>
        <w:rPr>
          <w:rFonts w:ascii="Arial" w:hAnsi="Arial" w:cs="Arial"/>
          <w:noProof/>
        </w:rPr>
        <w:drawing>
          <wp:inline distT="0" distB="0" distL="0" distR="0" wp14:anchorId="4A290133" wp14:editId="221FE542">
            <wp:extent cx="5885180" cy="6789906"/>
            <wp:effectExtent l="0" t="0" r="1270" b="0"/>
            <wp:docPr id="259569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b="17494"/>
                    <a:stretch>
                      <a:fillRect/>
                    </a:stretch>
                  </pic:blipFill>
                  <pic:spPr bwMode="auto">
                    <a:xfrm>
                      <a:off x="0" y="0"/>
                      <a:ext cx="5885180" cy="6789906"/>
                    </a:xfrm>
                    <a:prstGeom prst="rect">
                      <a:avLst/>
                    </a:prstGeom>
                    <a:noFill/>
                    <a:ln>
                      <a:noFill/>
                    </a:ln>
                    <a:extLst>
                      <a:ext uri="{53640926-AAD7-44D8-BBD7-CCE9431645EC}">
                        <a14:shadowObscured xmlns:a14="http://schemas.microsoft.com/office/drawing/2010/main"/>
                      </a:ext>
                    </a:extLst>
                  </pic:spPr>
                </pic:pic>
              </a:graphicData>
            </a:graphic>
          </wp:inline>
        </w:drawing>
      </w:r>
    </w:p>
    <w:p w14:paraId="2E11E7BC" w14:textId="77777777" w:rsidR="00553776" w:rsidRDefault="00553776">
      <w:pPr>
        <w:rPr>
          <w:rFonts w:ascii="Arial" w:hAnsi="Arial" w:cs="Arial"/>
        </w:rPr>
      </w:pPr>
      <w:r>
        <w:rPr>
          <w:rFonts w:ascii="Arial" w:hAnsi="Arial" w:cs="Arial"/>
        </w:rPr>
        <w:br w:type="page"/>
      </w:r>
    </w:p>
    <w:p w14:paraId="205F5308" w14:textId="49CF3ADC" w:rsidR="006B7D30" w:rsidRDefault="006B7D30" w:rsidP="005C2B0E">
      <w:pPr>
        <w:rPr>
          <w:rFonts w:ascii="Arial" w:hAnsi="Arial" w:cs="Arial"/>
        </w:rPr>
      </w:pPr>
      <w:r>
        <w:rPr>
          <w:rFonts w:ascii="Arial" w:hAnsi="Arial" w:cs="Arial"/>
        </w:rPr>
        <w:lastRenderedPageBreak/>
        <w:t>Supplemental Figure 16</w:t>
      </w:r>
    </w:p>
    <w:p w14:paraId="1529CA47" w14:textId="1C4C7B14" w:rsidR="006B7D30" w:rsidRDefault="006B7D30" w:rsidP="005C2B0E">
      <w:pPr>
        <w:rPr>
          <w:rFonts w:ascii="Arial" w:hAnsi="Arial" w:cs="Arial"/>
        </w:rPr>
      </w:pPr>
      <w:r>
        <w:rPr>
          <w:rFonts w:ascii="Arial" w:hAnsi="Arial" w:cs="Arial"/>
          <w:noProof/>
        </w:rPr>
        <w:drawing>
          <wp:inline distT="0" distB="0" distL="0" distR="0" wp14:anchorId="7CE4EA12" wp14:editId="0F8F0E84">
            <wp:extent cx="5184775" cy="3132307"/>
            <wp:effectExtent l="0" t="0" r="0" b="0"/>
            <wp:docPr id="1700611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r="12626" b="3600"/>
                    <a:stretch>
                      <a:fillRect/>
                    </a:stretch>
                  </pic:blipFill>
                  <pic:spPr bwMode="auto">
                    <a:xfrm>
                      <a:off x="0" y="0"/>
                      <a:ext cx="5184843" cy="3132348"/>
                    </a:xfrm>
                    <a:prstGeom prst="rect">
                      <a:avLst/>
                    </a:prstGeom>
                    <a:noFill/>
                    <a:ln>
                      <a:noFill/>
                    </a:ln>
                    <a:extLst>
                      <a:ext uri="{53640926-AAD7-44D8-BBD7-CCE9431645EC}">
                        <a14:shadowObscured xmlns:a14="http://schemas.microsoft.com/office/drawing/2010/main"/>
                      </a:ext>
                    </a:extLst>
                  </pic:spPr>
                </pic:pic>
              </a:graphicData>
            </a:graphic>
          </wp:inline>
        </w:drawing>
      </w:r>
    </w:p>
    <w:p w14:paraId="3E10AF6E" w14:textId="2489D5A9" w:rsidR="006B7D30" w:rsidRDefault="006B7D30">
      <w:pPr>
        <w:rPr>
          <w:rFonts w:ascii="Arial" w:hAnsi="Arial" w:cs="Arial"/>
        </w:rPr>
      </w:pPr>
      <w:r>
        <w:rPr>
          <w:rFonts w:ascii="Arial" w:hAnsi="Arial" w:cs="Arial"/>
        </w:rPr>
        <w:br w:type="page"/>
      </w:r>
    </w:p>
    <w:p w14:paraId="42D19304" w14:textId="45B00672" w:rsidR="00736261" w:rsidRDefault="006B7D30" w:rsidP="001C361C">
      <w:pPr>
        <w:rPr>
          <w:rFonts w:ascii="Arial" w:hAnsi="Arial" w:cs="Arial"/>
        </w:rPr>
      </w:pPr>
      <w:r>
        <w:rPr>
          <w:rFonts w:ascii="Arial" w:hAnsi="Arial" w:cs="Arial"/>
        </w:rPr>
        <w:lastRenderedPageBreak/>
        <w:t>Supplemental Figure 17</w:t>
      </w:r>
    </w:p>
    <w:p w14:paraId="79A7497D" w14:textId="43D6811B" w:rsidR="00736261" w:rsidRDefault="00616196">
      <w:pPr>
        <w:rPr>
          <w:rFonts w:ascii="Arial" w:hAnsi="Arial" w:cs="Arial"/>
        </w:rPr>
      </w:pPr>
      <w:r>
        <w:rPr>
          <w:rFonts w:ascii="Arial" w:hAnsi="Arial" w:cs="Arial"/>
          <w:noProof/>
        </w:rPr>
        <w:drawing>
          <wp:inline distT="0" distB="0" distL="0" distR="0" wp14:anchorId="1723B23E" wp14:editId="1156C6E2">
            <wp:extent cx="5943600" cy="5127625"/>
            <wp:effectExtent l="0" t="0" r="0" b="3175"/>
            <wp:docPr id="6741919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91933" name="Picture 67419193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127625"/>
                    </a:xfrm>
                    <a:prstGeom prst="rect">
                      <a:avLst/>
                    </a:prstGeom>
                  </pic:spPr>
                </pic:pic>
              </a:graphicData>
            </a:graphic>
          </wp:inline>
        </w:drawing>
      </w:r>
      <w:r w:rsidR="00736261">
        <w:rPr>
          <w:rFonts w:ascii="Arial" w:hAnsi="Arial" w:cs="Arial"/>
        </w:rPr>
        <w:br w:type="page"/>
      </w:r>
    </w:p>
    <w:p w14:paraId="63730AE2" w14:textId="7E21CC2A" w:rsidR="00736261" w:rsidRDefault="00736261" w:rsidP="00736261">
      <w:pPr>
        <w:tabs>
          <w:tab w:val="left" w:pos="483"/>
        </w:tabs>
        <w:rPr>
          <w:rFonts w:ascii="Arial" w:hAnsi="Arial" w:cs="Arial"/>
        </w:rPr>
      </w:pPr>
      <w:r w:rsidRPr="00B45CB0">
        <w:rPr>
          <w:rFonts w:ascii="Arial" w:hAnsi="Arial" w:cs="Arial"/>
        </w:rPr>
        <w:lastRenderedPageBreak/>
        <w:t xml:space="preserve">Supplemental Figure </w:t>
      </w:r>
      <w:r w:rsidR="006B7D30">
        <w:rPr>
          <w:rFonts w:ascii="Arial" w:hAnsi="Arial" w:cs="Arial"/>
        </w:rPr>
        <w:t>18</w:t>
      </w:r>
    </w:p>
    <w:p w14:paraId="554FD2B8" w14:textId="1EBD94AD" w:rsidR="00736261" w:rsidRDefault="003F1E71" w:rsidP="00736261">
      <w:pPr>
        <w:tabs>
          <w:tab w:val="left" w:pos="483"/>
        </w:tabs>
        <w:rPr>
          <w:rFonts w:ascii="Arial" w:hAnsi="Arial" w:cs="Arial"/>
        </w:rPr>
      </w:pPr>
      <w:r>
        <w:rPr>
          <w:rFonts w:ascii="Arial" w:hAnsi="Arial" w:cs="Arial"/>
          <w:noProof/>
        </w:rPr>
        <w:drawing>
          <wp:inline distT="0" distB="0" distL="0" distR="0" wp14:anchorId="69FD66CB" wp14:editId="1A8E79DC">
            <wp:extent cx="4780845" cy="7171267"/>
            <wp:effectExtent l="0" t="0" r="0" b="4445"/>
            <wp:docPr id="21211447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44736" name="Picture 212114473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83471" cy="7175206"/>
                    </a:xfrm>
                    <a:prstGeom prst="rect">
                      <a:avLst/>
                    </a:prstGeom>
                  </pic:spPr>
                </pic:pic>
              </a:graphicData>
            </a:graphic>
          </wp:inline>
        </w:drawing>
      </w:r>
    </w:p>
    <w:p w14:paraId="77B4B761" w14:textId="4F756CE6" w:rsidR="00736261" w:rsidRDefault="00736261">
      <w:pPr>
        <w:rPr>
          <w:rFonts w:ascii="Arial" w:hAnsi="Arial" w:cs="Arial"/>
        </w:rPr>
      </w:pPr>
    </w:p>
    <w:sectPr w:rsidR="00736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CB0"/>
    <w:rsid w:val="00014E8F"/>
    <w:rsid w:val="00031F4B"/>
    <w:rsid w:val="00057162"/>
    <w:rsid w:val="00066F96"/>
    <w:rsid w:val="00072F9F"/>
    <w:rsid w:val="000A46D2"/>
    <w:rsid w:val="000C3922"/>
    <w:rsid w:val="000D5670"/>
    <w:rsid w:val="000D634F"/>
    <w:rsid w:val="000D6D94"/>
    <w:rsid w:val="000F30A4"/>
    <w:rsid w:val="00130E6F"/>
    <w:rsid w:val="00133FF6"/>
    <w:rsid w:val="00175D9E"/>
    <w:rsid w:val="001A154A"/>
    <w:rsid w:val="001C361C"/>
    <w:rsid w:val="001E66E7"/>
    <w:rsid w:val="001F280D"/>
    <w:rsid w:val="002A3D62"/>
    <w:rsid w:val="002B138F"/>
    <w:rsid w:val="002C1449"/>
    <w:rsid w:val="002D7397"/>
    <w:rsid w:val="002F3279"/>
    <w:rsid w:val="002F47BE"/>
    <w:rsid w:val="0030356E"/>
    <w:rsid w:val="00355683"/>
    <w:rsid w:val="00376AA1"/>
    <w:rsid w:val="003B4EE6"/>
    <w:rsid w:val="003B610C"/>
    <w:rsid w:val="003F1E71"/>
    <w:rsid w:val="003F3E64"/>
    <w:rsid w:val="00422B54"/>
    <w:rsid w:val="00465FAE"/>
    <w:rsid w:val="00470531"/>
    <w:rsid w:val="00474CEA"/>
    <w:rsid w:val="004E7355"/>
    <w:rsid w:val="004F37E6"/>
    <w:rsid w:val="00522826"/>
    <w:rsid w:val="00522EFC"/>
    <w:rsid w:val="005251C6"/>
    <w:rsid w:val="00553776"/>
    <w:rsid w:val="00557AF5"/>
    <w:rsid w:val="005776A7"/>
    <w:rsid w:val="00597DAD"/>
    <w:rsid w:val="005A571A"/>
    <w:rsid w:val="005B2D47"/>
    <w:rsid w:val="005C2B0E"/>
    <w:rsid w:val="005D041E"/>
    <w:rsid w:val="005D1207"/>
    <w:rsid w:val="005E36DE"/>
    <w:rsid w:val="005F3084"/>
    <w:rsid w:val="00616196"/>
    <w:rsid w:val="006330D0"/>
    <w:rsid w:val="00643329"/>
    <w:rsid w:val="00663DB5"/>
    <w:rsid w:val="00667015"/>
    <w:rsid w:val="006757E0"/>
    <w:rsid w:val="00691BAE"/>
    <w:rsid w:val="006B4B9A"/>
    <w:rsid w:val="006B7D30"/>
    <w:rsid w:val="006D2296"/>
    <w:rsid w:val="006E1CF4"/>
    <w:rsid w:val="00720655"/>
    <w:rsid w:val="00736261"/>
    <w:rsid w:val="007535B0"/>
    <w:rsid w:val="0076648D"/>
    <w:rsid w:val="0077464E"/>
    <w:rsid w:val="0079001E"/>
    <w:rsid w:val="007940AF"/>
    <w:rsid w:val="007966C4"/>
    <w:rsid w:val="007A721C"/>
    <w:rsid w:val="007C366D"/>
    <w:rsid w:val="007F3B9E"/>
    <w:rsid w:val="007F776C"/>
    <w:rsid w:val="0089306D"/>
    <w:rsid w:val="008A2AD2"/>
    <w:rsid w:val="008F65A9"/>
    <w:rsid w:val="00900D92"/>
    <w:rsid w:val="00936494"/>
    <w:rsid w:val="00977A26"/>
    <w:rsid w:val="00984EC8"/>
    <w:rsid w:val="00A20385"/>
    <w:rsid w:val="00A325CD"/>
    <w:rsid w:val="00A850B1"/>
    <w:rsid w:val="00AA1E48"/>
    <w:rsid w:val="00AD3D8F"/>
    <w:rsid w:val="00B1057D"/>
    <w:rsid w:val="00B40D83"/>
    <w:rsid w:val="00B45CB0"/>
    <w:rsid w:val="00B54A1E"/>
    <w:rsid w:val="00B765BA"/>
    <w:rsid w:val="00B96C4A"/>
    <w:rsid w:val="00BC3D9A"/>
    <w:rsid w:val="00BC53E6"/>
    <w:rsid w:val="00BE4D04"/>
    <w:rsid w:val="00BF4020"/>
    <w:rsid w:val="00C05F1C"/>
    <w:rsid w:val="00C06EDB"/>
    <w:rsid w:val="00C11DA6"/>
    <w:rsid w:val="00C4170E"/>
    <w:rsid w:val="00C56E33"/>
    <w:rsid w:val="00CC2D0F"/>
    <w:rsid w:val="00CF42F7"/>
    <w:rsid w:val="00CF49C6"/>
    <w:rsid w:val="00D61BCA"/>
    <w:rsid w:val="00D641AD"/>
    <w:rsid w:val="00D71AEA"/>
    <w:rsid w:val="00D81420"/>
    <w:rsid w:val="00DE1C76"/>
    <w:rsid w:val="00E04FC3"/>
    <w:rsid w:val="00E1322C"/>
    <w:rsid w:val="00E526D0"/>
    <w:rsid w:val="00E76357"/>
    <w:rsid w:val="00EB0FAC"/>
    <w:rsid w:val="00EE5C74"/>
    <w:rsid w:val="00F01DC1"/>
    <w:rsid w:val="00F72AC8"/>
    <w:rsid w:val="00F72B93"/>
    <w:rsid w:val="00F9701D"/>
    <w:rsid w:val="00FE1738"/>
    <w:rsid w:val="00FF17B6"/>
    <w:rsid w:val="00FF2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E8A0"/>
  <w15:chartTrackingRefBased/>
  <w15:docId w15:val="{6321C046-B111-1A43-8E9C-DDF58D6E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CB0"/>
    <w:rPr>
      <w:rFonts w:eastAsiaTheme="majorEastAsia" w:cstheme="majorBidi"/>
      <w:color w:val="272727" w:themeColor="text1" w:themeTint="D8"/>
    </w:rPr>
  </w:style>
  <w:style w:type="paragraph" w:styleId="Title">
    <w:name w:val="Title"/>
    <w:basedOn w:val="Normal"/>
    <w:next w:val="Normal"/>
    <w:link w:val="TitleChar"/>
    <w:uiPriority w:val="10"/>
    <w:qFormat/>
    <w:rsid w:val="00B45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CB0"/>
    <w:pPr>
      <w:spacing w:before="160"/>
      <w:jc w:val="center"/>
    </w:pPr>
    <w:rPr>
      <w:i/>
      <w:iCs/>
      <w:color w:val="404040" w:themeColor="text1" w:themeTint="BF"/>
    </w:rPr>
  </w:style>
  <w:style w:type="character" w:customStyle="1" w:styleId="QuoteChar">
    <w:name w:val="Quote Char"/>
    <w:basedOn w:val="DefaultParagraphFont"/>
    <w:link w:val="Quote"/>
    <w:uiPriority w:val="29"/>
    <w:rsid w:val="00B45CB0"/>
    <w:rPr>
      <w:i/>
      <w:iCs/>
      <w:color w:val="404040" w:themeColor="text1" w:themeTint="BF"/>
    </w:rPr>
  </w:style>
  <w:style w:type="paragraph" w:styleId="ListParagraph">
    <w:name w:val="List Paragraph"/>
    <w:basedOn w:val="Normal"/>
    <w:uiPriority w:val="34"/>
    <w:qFormat/>
    <w:rsid w:val="00B45CB0"/>
    <w:pPr>
      <w:ind w:left="720"/>
      <w:contextualSpacing/>
    </w:pPr>
  </w:style>
  <w:style w:type="character" w:styleId="IntenseEmphasis">
    <w:name w:val="Intense Emphasis"/>
    <w:basedOn w:val="DefaultParagraphFont"/>
    <w:uiPriority w:val="21"/>
    <w:qFormat/>
    <w:rsid w:val="00B45CB0"/>
    <w:rPr>
      <w:i/>
      <w:iCs/>
      <w:color w:val="0F4761" w:themeColor="accent1" w:themeShade="BF"/>
    </w:rPr>
  </w:style>
  <w:style w:type="paragraph" w:styleId="IntenseQuote">
    <w:name w:val="Intense Quote"/>
    <w:basedOn w:val="Normal"/>
    <w:next w:val="Normal"/>
    <w:link w:val="IntenseQuoteChar"/>
    <w:uiPriority w:val="30"/>
    <w:qFormat/>
    <w:rsid w:val="00B45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CB0"/>
    <w:rPr>
      <w:i/>
      <w:iCs/>
      <w:color w:val="0F4761" w:themeColor="accent1" w:themeShade="BF"/>
    </w:rPr>
  </w:style>
  <w:style w:type="character" w:styleId="IntenseReference">
    <w:name w:val="Intense Reference"/>
    <w:basedOn w:val="DefaultParagraphFont"/>
    <w:uiPriority w:val="32"/>
    <w:qFormat/>
    <w:rsid w:val="00B45CB0"/>
    <w:rPr>
      <w:b/>
      <w:bCs/>
      <w:smallCaps/>
      <w:color w:val="0F4761" w:themeColor="accent1" w:themeShade="BF"/>
      <w:spacing w:val="5"/>
    </w:rPr>
  </w:style>
  <w:style w:type="character" w:styleId="Strong">
    <w:name w:val="Strong"/>
    <w:basedOn w:val="DefaultParagraphFont"/>
    <w:uiPriority w:val="22"/>
    <w:qFormat/>
    <w:rsid w:val="00B45CB0"/>
    <w:rPr>
      <w:b/>
      <w:bCs/>
    </w:rPr>
  </w:style>
  <w:style w:type="character" w:styleId="CommentReference">
    <w:name w:val="annotation reference"/>
    <w:basedOn w:val="DefaultParagraphFont"/>
    <w:uiPriority w:val="99"/>
    <w:semiHidden/>
    <w:unhideWhenUsed/>
    <w:rsid w:val="005C2B0E"/>
    <w:rPr>
      <w:sz w:val="16"/>
      <w:szCs w:val="16"/>
    </w:rPr>
  </w:style>
  <w:style w:type="paragraph" w:styleId="CommentText">
    <w:name w:val="annotation text"/>
    <w:basedOn w:val="Normal"/>
    <w:link w:val="CommentTextChar"/>
    <w:uiPriority w:val="99"/>
    <w:unhideWhenUsed/>
    <w:rsid w:val="005C2B0E"/>
    <w:pPr>
      <w:spacing w:line="240" w:lineRule="auto"/>
    </w:pPr>
    <w:rPr>
      <w:sz w:val="20"/>
      <w:szCs w:val="20"/>
    </w:rPr>
  </w:style>
  <w:style w:type="character" w:customStyle="1" w:styleId="CommentTextChar">
    <w:name w:val="Comment Text Char"/>
    <w:basedOn w:val="DefaultParagraphFont"/>
    <w:link w:val="CommentText"/>
    <w:uiPriority w:val="99"/>
    <w:rsid w:val="005C2B0E"/>
    <w:rPr>
      <w:sz w:val="20"/>
      <w:szCs w:val="20"/>
    </w:rPr>
  </w:style>
  <w:style w:type="paragraph" w:styleId="CommentSubject">
    <w:name w:val="annotation subject"/>
    <w:basedOn w:val="CommentText"/>
    <w:next w:val="CommentText"/>
    <w:link w:val="CommentSubjectChar"/>
    <w:uiPriority w:val="99"/>
    <w:semiHidden/>
    <w:unhideWhenUsed/>
    <w:rsid w:val="005C2B0E"/>
    <w:rPr>
      <w:b/>
      <w:bCs/>
    </w:rPr>
  </w:style>
  <w:style w:type="character" w:customStyle="1" w:styleId="CommentSubjectChar">
    <w:name w:val="Comment Subject Char"/>
    <w:basedOn w:val="CommentTextChar"/>
    <w:link w:val="CommentSubject"/>
    <w:uiPriority w:val="99"/>
    <w:semiHidden/>
    <w:rsid w:val="005C2B0E"/>
    <w:rPr>
      <w:b/>
      <w:bCs/>
      <w:sz w:val="20"/>
      <w:szCs w:val="20"/>
    </w:rPr>
  </w:style>
  <w:style w:type="paragraph" w:styleId="Revision">
    <w:name w:val="Revision"/>
    <w:hidden/>
    <w:uiPriority w:val="99"/>
    <w:semiHidden/>
    <w:rsid w:val="00133FF6"/>
    <w:pPr>
      <w:spacing w:after="0" w:line="240" w:lineRule="auto"/>
    </w:pPr>
  </w:style>
  <w:style w:type="table" w:styleId="TableGrid">
    <w:name w:val="Table Grid"/>
    <w:basedOn w:val="TableNormal"/>
    <w:uiPriority w:val="39"/>
    <w:rsid w:val="00E1322C"/>
    <w:pPr>
      <w:spacing w:after="0" w:line="240" w:lineRule="auto"/>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17009a6-20de-461a-8894-0312a395cac9}" enabled="0" method="" siteId="{717009a6-20de-461a-8894-0312a395cac9}" removed="1"/>
</clbl:labelList>
</file>

<file path=docProps/app.xml><?xml version="1.0" encoding="utf-8"?>
<Properties xmlns="http://schemas.openxmlformats.org/officeDocument/2006/extended-properties" xmlns:vt="http://schemas.openxmlformats.org/officeDocument/2006/docPropsVTypes">
  <Template>Normal.dotm</Template>
  <TotalTime>273</TotalTime>
  <Pages>24</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Bing</dc:creator>
  <cp:keywords/>
  <dc:description/>
  <cp:lastModifiedBy>Ma, Bing</cp:lastModifiedBy>
  <cp:revision>102</cp:revision>
  <dcterms:created xsi:type="dcterms:W3CDTF">2026-07-11T21:00:00Z</dcterms:created>
  <dcterms:modified xsi:type="dcterms:W3CDTF">2026-09-12T14:51:00Z</dcterms:modified>
</cp:coreProperties>
</file>