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C09F1" w:rsidRPr="00A9440E" w:rsidRDefault="007C09F1" w:rsidP="007C09F1">
      <w:pPr>
        <w:spacing w:line="360" w:lineRule="auto"/>
        <w:rPr>
          <w:b/>
          <w:bCs/>
        </w:rPr>
      </w:pPr>
      <w:r w:rsidRPr="00A9440E">
        <w:rPr>
          <w:b/>
          <w:bCs/>
        </w:rPr>
        <w:t>Supplementary Methods</w:t>
      </w:r>
    </w:p>
    <w:p w:rsidR="007C09F1" w:rsidRPr="00A9440E" w:rsidRDefault="007C09F1" w:rsidP="007C09F1">
      <w:pPr>
        <w:spacing w:line="360" w:lineRule="auto"/>
        <w:rPr>
          <w:b/>
          <w:bCs/>
        </w:rPr>
      </w:pPr>
      <w:r w:rsidRPr="00A9440E">
        <w:rPr>
          <w:b/>
          <w:bCs/>
        </w:rPr>
        <w:t>S1. Derivation of integer weights and diagnosis of weight instability</w:t>
      </w:r>
    </w:p>
    <w:p w:rsidR="007C09F1" w:rsidRDefault="007C09F1" w:rsidP="007C09F1">
      <w:pPr>
        <w:spacing w:line="360" w:lineRule="auto"/>
        <w:jc w:val="both"/>
      </w:pPr>
      <w:r>
        <w:t>Let βj denote the coefficient for predictor j, and let βmin denote the smallest absolute coefficient among the retained predictors. The integer weight for predictor j was calculated as:</w:t>
      </w:r>
    </w:p>
    <w:p w:rsidR="007C09F1" w:rsidRDefault="007C09F1" w:rsidP="007C09F1">
      <w:pPr>
        <w:spacing w:line="360" w:lineRule="auto"/>
      </w:pPr>
      <w:proofErr w:type="spellStart"/>
      <w:r>
        <w:t>wj</w:t>
      </w:r>
      <w:proofErr w:type="spellEnd"/>
      <w:r>
        <w:t xml:space="preserve"> = </w:t>
      </w:r>
      <w:proofErr w:type="gramStart"/>
      <w:r>
        <w:t>round(</w:t>
      </w:r>
      <w:proofErr w:type="gramEnd"/>
      <w:r>
        <w:t>βj / βmin).</w:t>
      </w:r>
    </w:p>
    <w:p w:rsidR="007C09F1" w:rsidRDefault="007C09F1" w:rsidP="007C09F1">
      <w:pPr>
        <w:spacing w:line="360" w:lineRule="auto"/>
        <w:jc w:val="both"/>
      </w:pPr>
      <w:r>
        <w:t>Across the 100 cross validation folds, the median value of βmin was 0.246 (IQR, 0.150 to 0.390), with a minimum of 0.017. The predictor defining βmin was white cell count in 81 folds and protein in 19 folds; it was never lymphocyte percentage or the protein to glucose ratio. Among the 10 folds with the smallest values of βmin, 9 also ranked among the 10 folds with the most extreme resulting integer weights.</w:t>
      </w:r>
    </w:p>
    <w:p w:rsidR="007C09F1" w:rsidRPr="00A9440E" w:rsidRDefault="007C09F1" w:rsidP="007C09F1">
      <w:pPr>
        <w:spacing w:line="360" w:lineRule="auto"/>
        <w:rPr>
          <w:b/>
          <w:bCs/>
        </w:rPr>
      </w:pPr>
      <w:r w:rsidRPr="00A9440E">
        <w:rPr>
          <w:b/>
          <w:bCs/>
        </w:rPr>
        <w:t>S2. Imputation and cross validation procedure</w:t>
      </w:r>
    </w:p>
    <w:p w:rsidR="007C09F1" w:rsidRDefault="007C09F1" w:rsidP="007C09F1">
      <w:pPr>
        <w:spacing w:line="360" w:lineRule="auto"/>
        <w:jc w:val="both"/>
      </w:pPr>
      <w:r>
        <w:t xml:space="preserve">Missing values were handled using chained equations with scikit </w:t>
      </w:r>
      <w:proofErr w:type="spellStart"/>
      <w:r>
        <w:t>learn’s</w:t>
      </w:r>
      <w:proofErr w:type="spellEnd"/>
      <w:r>
        <w:t xml:space="preserve"> </w:t>
      </w:r>
      <w:proofErr w:type="spellStart"/>
      <w:r>
        <w:t>IterativeImputer</w:t>
      </w:r>
      <w:proofErr w:type="spellEnd"/>
      <w:r>
        <w:t xml:space="preserve">, posterior sampling, and the default </w:t>
      </w:r>
      <w:proofErr w:type="spellStart"/>
      <w:r>
        <w:t>BayesianRidge</w:t>
      </w:r>
      <w:proofErr w:type="spellEnd"/>
      <w:r>
        <w:t xml:space="preserve"> estimator. Forty imputed datasets were generated, with up to 15 iterations per imputation. Estimates were pooled using Rubin’s rules (19) in conjunction with bootstrap resampling, with 2000 bootstrap resamples stratified by meningitis mimic group and applied consistently across models to preserve pairing for comparative analyses, following the general approach described by </w:t>
      </w:r>
      <w:proofErr w:type="spellStart"/>
      <w:r>
        <w:t>Schomaker</w:t>
      </w:r>
      <w:proofErr w:type="spellEnd"/>
      <w:r>
        <w:t xml:space="preserve"> and </w:t>
      </w:r>
      <w:proofErr w:type="spellStart"/>
      <w:r>
        <w:t>Heumann</w:t>
      </w:r>
      <w:proofErr w:type="spellEnd"/>
      <w:r>
        <w:t xml:space="preserve"> (20).</w:t>
      </w:r>
    </w:p>
    <w:p w:rsidR="007C09F1" w:rsidRDefault="007C09F1" w:rsidP="007C09F1">
      <w:pPr>
        <w:spacing w:line="360" w:lineRule="auto"/>
        <w:jc w:val="both"/>
      </w:pPr>
      <w:r>
        <w:t>For the categorical score, the final category assigned to each predictor was defined as the modal category across the 40 imputed datasets. Among the 27 Peruvian patients with at least one missing predictor, 26 (96%) had at least one predictor for which the assigned category was not consistent across all imputations.</w:t>
      </w:r>
    </w:p>
    <w:p w:rsidR="007C09F1" w:rsidRPr="00A9440E" w:rsidRDefault="007C09F1" w:rsidP="007C09F1">
      <w:pPr>
        <w:spacing w:line="360" w:lineRule="auto"/>
        <w:rPr>
          <w:b/>
          <w:bCs/>
        </w:rPr>
      </w:pPr>
      <w:r w:rsidRPr="00A9440E">
        <w:rPr>
          <w:b/>
          <w:bCs/>
        </w:rPr>
        <w:t>S3. Sample size for external validation</w:t>
      </w:r>
    </w:p>
    <w:p w:rsidR="007C09F1" w:rsidRDefault="007C09F1" w:rsidP="007C09F1">
      <w:pPr>
        <w:spacing w:line="360" w:lineRule="auto"/>
        <w:jc w:val="both"/>
      </w:pPr>
      <w:r>
        <w:t>Following the approach of Riley et al. (21), and using the observed outcome prevalence (0.392) together with the observed distribution of the Core model’s linear predictor, the estimated sample size required for external validation was 581 participants. The calibration in the large criterion was the binding constraint. Only 102 participants were available in the Peruvian cohort. This estimate was reproduced directly using the study’s sample size script, which applied the Hanley McNeil variance formula for the C statistic criterion and standard closed form variance formulas for the calibration slope and calibration in the large criteria. The resulting sample size was consistent across independent calculation checks.</w:t>
      </w:r>
    </w:p>
    <w:p w:rsidR="007C09F1" w:rsidRPr="00A9440E" w:rsidRDefault="007C09F1" w:rsidP="007C09F1">
      <w:pPr>
        <w:spacing w:line="360" w:lineRule="auto"/>
        <w:rPr>
          <w:b/>
          <w:bCs/>
        </w:rPr>
      </w:pPr>
      <w:r w:rsidRPr="00A9440E">
        <w:rPr>
          <w:b/>
          <w:bCs/>
        </w:rPr>
        <w:t>S4. Linearity assessment</w:t>
      </w:r>
    </w:p>
    <w:p w:rsidR="007C09F1" w:rsidRDefault="007C09F1" w:rsidP="007C09F1">
      <w:pPr>
        <w:spacing w:line="360" w:lineRule="auto"/>
        <w:jc w:val="both"/>
      </w:pPr>
      <w:r>
        <w:lastRenderedPageBreak/>
        <w:t>For each continuous Core predictor, the association with the logit of TBM status was assessed in the Iranian cohort using two complementary approaches: (</w:t>
      </w:r>
      <w:proofErr w:type="spellStart"/>
      <w:r>
        <w:t>i</w:t>
      </w:r>
      <w:proofErr w:type="spellEnd"/>
      <w:r>
        <w:t>) the Box Tidwell test and (ii) a likelihood ratio test comparing a linear specification with a 3 degree of freedom B spline specification. Both analyses were univariate and did not adjust for the other predictors.</w:t>
      </w:r>
    </w:p>
    <w:p w:rsidR="007C09F1" w:rsidRPr="00A9440E" w:rsidRDefault="007C09F1" w:rsidP="007C09F1">
      <w:pPr>
        <w:spacing w:line="360" w:lineRule="auto"/>
        <w:rPr>
          <w:b/>
          <w:bCs/>
        </w:rPr>
      </w:pPr>
      <w:r w:rsidRPr="00A9440E">
        <w:rPr>
          <w:b/>
          <w:bCs/>
        </w:rPr>
        <w:t>S5. Minimum development sample size (Riley et al. criteria)</w:t>
      </w:r>
    </w:p>
    <w:p w:rsidR="007C09F1" w:rsidRDefault="007C09F1" w:rsidP="007C09F1">
      <w:pPr>
        <w:spacing w:line="360" w:lineRule="auto"/>
        <w:jc w:val="both"/>
      </w:pPr>
      <w:r>
        <w:t xml:space="preserve">Using the </w:t>
      </w:r>
      <w:proofErr w:type="spellStart"/>
      <w:r>
        <w:t>pmsampsize</w:t>
      </w:r>
      <w:proofErr w:type="spellEnd"/>
      <w:r>
        <w:t xml:space="preserve"> package in R, with an anticipated C statistic of 0.822, four model parameters, and an outcome prevalence of 0.4964, the corresponding Cox Snell R² was 0.2974 and the </w:t>
      </w:r>
      <w:proofErr w:type="spellStart"/>
      <w:r>
        <w:t>Nagelkerke</w:t>
      </w:r>
      <w:proofErr w:type="spellEnd"/>
      <w:r>
        <w:t xml:space="preserve"> R² was 0.397. Criterion 1, targeting a global shrinkage factor of at least 0.9, yielded a required sample size of 100. Criterion 2, targeting a small difference between the apparent and adjusted R², yielded a required sample size of 88. Criterion 3, targeting precise estimation of the overall outcome risk, yielded a required sample size of 385 and was therefore the binding criterion. The final recommended sample size was 385 participants, corresponding to approximately 192 expected events and an events per parameter value of 47.78 (17).</w:t>
      </w:r>
    </w:p>
    <w:p w:rsidR="007C09F1" w:rsidRPr="00A9440E" w:rsidRDefault="007C09F1" w:rsidP="007C09F1">
      <w:pPr>
        <w:spacing w:line="360" w:lineRule="auto"/>
        <w:rPr>
          <w:b/>
          <w:bCs/>
        </w:rPr>
      </w:pPr>
      <w:r w:rsidRPr="00A9440E">
        <w:rPr>
          <w:b/>
          <w:bCs/>
        </w:rPr>
        <w:t>S6. Comparison with a traditional clinical rule, and an illustrative two step algorithm</w:t>
      </w:r>
    </w:p>
    <w:p w:rsidR="007C09F1" w:rsidRDefault="007C09F1" w:rsidP="007C09F1">
      <w:pPr>
        <w:spacing w:line="360" w:lineRule="auto"/>
        <w:jc w:val="both"/>
      </w:pPr>
      <w:r>
        <w:t>The Marais case definition (6) was used to define the study outcome and therefore could not be independently evaluated as a diagnostic rule against the same outcome. The Thwaites diagnostic rule (7) incorporates age, peripheral blood white cell count, duration of illness, CSF white cell count, and CSF neutrophil percentage, with the following point assignments: age ≥36 years, +2; blood WBC ≥15,000 cells/µL, +4; illness duration ≥6 days, −5; CSF WBC ≥900 cells/µL, +3; and CSF neutrophil percentage ≥75%, +4. A total score ≤4 indicates TBM. The Iranian dataset, including both cleaned and raw versions, contained only age, CSF white cell count, and CSF neutrophil percentage among these five variables. We therefore evaluated a partial reconstruction restricted to these three available variables, using the original published thresholds without refitting. This partial rule yielded an apparent AUC of 0.648 (95% CI, 0.564 to 0.731) among 135 complete cases.</w:t>
      </w:r>
    </w:p>
    <w:p w:rsidR="007C09F1" w:rsidRDefault="007C09F1" w:rsidP="007C09F1">
      <w:pPr>
        <w:spacing w:line="360" w:lineRule="auto"/>
        <w:jc w:val="both"/>
      </w:pPr>
      <w:r>
        <w:t xml:space="preserve">As a purely illustrative and exploratory exercise, we also combined the locked categorical score with a secondary model based on log protein and CSF neutrophil percentage for patients whose categorical score fell within an “indeterminate” zone. For this demonstration, scores of 10 to 16 inclusive were defined as indeterminate, with scores &lt;10 classified as rule out and scores ≥17 as rule in. These thresholds were fixed by the study team solely for demonstration and were not derived through formal threshold optimization, an established clinical rule, or an independent </w:t>
      </w:r>
      <w:r>
        <w:lastRenderedPageBreak/>
        <w:t xml:space="preserve">dataset. This distinction is important because the resulting procedure should not be interpreted as a candidate deployable algorithm. In the TBM versus </w:t>
      </w:r>
      <w:proofErr w:type="spellStart"/>
      <w:r>
        <w:t>neurobrucellosis</w:t>
      </w:r>
      <w:proofErr w:type="spellEnd"/>
      <w:r>
        <w:t xml:space="preserve"> subgroup (n=90: 69 TBM and 21 </w:t>
      </w:r>
      <w:proofErr w:type="spellStart"/>
      <w:r>
        <w:t>neurobrucellosis</w:t>
      </w:r>
      <w:proofErr w:type="spellEnd"/>
      <w:r>
        <w:t>), the illustrative procedure classified 4 patients as rule out, 46 as rule in, and 40 as indeterminate, with a nested cross validated AUC of 0.654 (SD, 0.007). This analysis is reported only in the Supplementary Methods as a proof of concept that a two-step approach is technically feasible. It does not provide evidence supporting the selected thresholds for clinical use. </w:t>
      </w:r>
    </w:p>
    <w:p w:rsidR="00D43F9C" w:rsidRDefault="00D43F9C"/>
    <w:sectPr w:rsidR="00D43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20B0604020202020204"/>
    <w:charset w:val="B2"/>
    <w:family w:val="auto"/>
    <w:pitch w:val="variable"/>
    <w:sig w:usb0="00002001"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9F1"/>
    <w:rsid w:val="0000298F"/>
    <w:rsid w:val="00016CF7"/>
    <w:rsid w:val="0004079D"/>
    <w:rsid w:val="0004642A"/>
    <w:rsid w:val="00046614"/>
    <w:rsid w:val="000472CD"/>
    <w:rsid w:val="000626DC"/>
    <w:rsid w:val="0006347B"/>
    <w:rsid w:val="00071B1F"/>
    <w:rsid w:val="00077911"/>
    <w:rsid w:val="00086042"/>
    <w:rsid w:val="000A4F34"/>
    <w:rsid w:val="000A66EF"/>
    <w:rsid w:val="000B271E"/>
    <w:rsid w:val="000B5970"/>
    <w:rsid w:val="000C24C0"/>
    <w:rsid w:val="000C25B4"/>
    <w:rsid w:val="000C2D77"/>
    <w:rsid w:val="000C7EB4"/>
    <w:rsid w:val="000E1345"/>
    <w:rsid w:val="000E32B8"/>
    <w:rsid w:val="000E6A3C"/>
    <w:rsid w:val="00101EF9"/>
    <w:rsid w:val="00113E29"/>
    <w:rsid w:val="0015036F"/>
    <w:rsid w:val="00154A2F"/>
    <w:rsid w:val="00160E62"/>
    <w:rsid w:val="0016449B"/>
    <w:rsid w:val="001710FB"/>
    <w:rsid w:val="00175262"/>
    <w:rsid w:val="00187AFC"/>
    <w:rsid w:val="00190DAA"/>
    <w:rsid w:val="001932E2"/>
    <w:rsid w:val="001A0DC1"/>
    <w:rsid w:val="001B424B"/>
    <w:rsid w:val="001B7D27"/>
    <w:rsid w:val="001E0995"/>
    <w:rsid w:val="001F1D9D"/>
    <w:rsid w:val="0020401A"/>
    <w:rsid w:val="00216402"/>
    <w:rsid w:val="00241CED"/>
    <w:rsid w:val="00251CE0"/>
    <w:rsid w:val="00253B37"/>
    <w:rsid w:val="002548BF"/>
    <w:rsid w:val="00262566"/>
    <w:rsid w:val="00271A53"/>
    <w:rsid w:val="0027220D"/>
    <w:rsid w:val="002754B1"/>
    <w:rsid w:val="002A03DC"/>
    <w:rsid w:val="002A0B03"/>
    <w:rsid w:val="002A2F1E"/>
    <w:rsid w:val="002C0DD4"/>
    <w:rsid w:val="002C0FE6"/>
    <w:rsid w:val="002C29FB"/>
    <w:rsid w:val="002C4956"/>
    <w:rsid w:val="002D175C"/>
    <w:rsid w:val="002E23A1"/>
    <w:rsid w:val="002E471A"/>
    <w:rsid w:val="002E645D"/>
    <w:rsid w:val="002F71BD"/>
    <w:rsid w:val="00310E5D"/>
    <w:rsid w:val="00322058"/>
    <w:rsid w:val="00334EA9"/>
    <w:rsid w:val="00353E14"/>
    <w:rsid w:val="00356413"/>
    <w:rsid w:val="00360741"/>
    <w:rsid w:val="003615E1"/>
    <w:rsid w:val="00380A5C"/>
    <w:rsid w:val="00380CF6"/>
    <w:rsid w:val="003829F9"/>
    <w:rsid w:val="00386518"/>
    <w:rsid w:val="00387548"/>
    <w:rsid w:val="00396532"/>
    <w:rsid w:val="00397E20"/>
    <w:rsid w:val="003B3645"/>
    <w:rsid w:val="003D0CF7"/>
    <w:rsid w:val="003E5ADC"/>
    <w:rsid w:val="003F34D4"/>
    <w:rsid w:val="004024DB"/>
    <w:rsid w:val="0041765B"/>
    <w:rsid w:val="004253BE"/>
    <w:rsid w:val="00443750"/>
    <w:rsid w:val="004650AB"/>
    <w:rsid w:val="004672A3"/>
    <w:rsid w:val="0048382B"/>
    <w:rsid w:val="00485929"/>
    <w:rsid w:val="004A6CCC"/>
    <w:rsid w:val="004B0157"/>
    <w:rsid w:val="004B041E"/>
    <w:rsid w:val="004B38BD"/>
    <w:rsid w:val="004B49B0"/>
    <w:rsid w:val="004D091E"/>
    <w:rsid w:val="004D3637"/>
    <w:rsid w:val="004F2CBC"/>
    <w:rsid w:val="004F75F1"/>
    <w:rsid w:val="005057D3"/>
    <w:rsid w:val="00534CCA"/>
    <w:rsid w:val="00544625"/>
    <w:rsid w:val="00545A7D"/>
    <w:rsid w:val="00566CF3"/>
    <w:rsid w:val="00576362"/>
    <w:rsid w:val="005841E8"/>
    <w:rsid w:val="00590680"/>
    <w:rsid w:val="005A592D"/>
    <w:rsid w:val="005A6829"/>
    <w:rsid w:val="005B2566"/>
    <w:rsid w:val="005C71EB"/>
    <w:rsid w:val="005D00FE"/>
    <w:rsid w:val="005D4D82"/>
    <w:rsid w:val="005E1299"/>
    <w:rsid w:val="005E28A7"/>
    <w:rsid w:val="005F243E"/>
    <w:rsid w:val="006017E5"/>
    <w:rsid w:val="00657E31"/>
    <w:rsid w:val="00661066"/>
    <w:rsid w:val="00667812"/>
    <w:rsid w:val="0067163F"/>
    <w:rsid w:val="00676E74"/>
    <w:rsid w:val="006840EB"/>
    <w:rsid w:val="006953DD"/>
    <w:rsid w:val="006A7CD5"/>
    <w:rsid w:val="006C15BB"/>
    <w:rsid w:val="006C1E02"/>
    <w:rsid w:val="006C7052"/>
    <w:rsid w:val="006D35AC"/>
    <w:rsid w:val="006D7664"/>
    <w:rsid w:val="007100F1"/>
    <w:rsid w:val="00726ED2"/>
    <w:rsid w:val="00733779"/>
    <w:rsid w:val="00746820"/>
    <w:rsid w:val="007534CD"/>
    <w:rsid w:val="007C09F1"/>
    <w:rsid w:val="007C4315"/>
    <w:rsid w:val="007E7264"/>
    <w:rsid w:val="007F15E5"/>
    <w:rsid w:val="007F3D3A"/>
    <w:rsid w:val="00804469"/>
    <w:rsid w:val="00811F5C"/>
    <w:rsid w:val="008167A0"/>
    <w:rsid w:val="00824678"/>
    <w:rsid w:val="00842705"/>
    <w:rsid w:val="00851D25"/>
    <w:rsid w:val="00852621"/>
    <w:rsid w:val="00864900"/>
    <w:rsid w:val="00875586"/>
    <w:rsid w:val="00876FF9"/>
    <w:rsid w:val="0088063D"/>
    <w:rsid w:val="00897847"/>
    <w:rsid w:val="008A71F7"/>
    <w:rsid w:val="008B4CA0"/>
    <w:rsid w:val="008C1389"/>
    <w:rsid w:val="008C3749"/>
    <w:rsid w:val="008D0C34"/>
    <w:rsid w:val="008D5447"/>
    <w:rsid w:val="008E25F4"/>
    <w:rsid w:val="00903D19"/>
    <w:rsid w:val="009051EA"/>
    <w:rsid w:val="0090614B"/>
    <w:rsid w:val="00910687"/>
    <w:rsid w:val="0092321D"/>
    <w:rsid w:val="009257D7"/>
    <w:rsid w:val="00931707"/>
    <w:rsid w:val="00943B19"/>
    <w:rsid w:val="00955D7D"/>
    <w:rsid w:val="00961BF9"/>
    <w:rsid w:val="0097518C"/>
    <w:rsid w:val="0098421B"/>
    <w:rsid w:val="009936B3"/>
    <w:rsid w:val="00995321"/>
    <w:rsid w:val="009A3A9D"/>
    <w:rsid w:val="009C632D"/>
    <w:rsid w:val="009F3C03"/>
    <w:rsid w:val="009F5651"/>
    <w:rsid w:val="009F5A42"/>
    <w:rsid w:val="00A036B6"/>
    <w:rsid w:val="00A122F4"/>
    <w:rsid w:val="00A22B69"/>
    <w:rsid w:val="00A37172"/>
    <w:rsid w:val="00A37CD9"/>
    <w:rsid w:val="00A727EC"/>
    <w:rsid w:val="00A74DB0"/>
    <w:rsid w:val="00A76FF4"/>
    <w:rsid w:val="00A80169"/>
    <w:rsid w:val="00A84018"/>
    <w:rsid w:val="00AB3506"/>
    <w:rsid w:val="00AC0B4E"/>
    <w:rsid w:val="00AC4627"/>
    <w:rsid w:val="00AC70EE"/>
    <w:rsid w:val="00AC7232"/>
    <w:rsid w:val="00AE4AE1"/>
    <w:rsid w:val="00AF649F"/>
    <w:rsid w:val="00AF662B"/>
    <w:rsid w:val="00B025AA"/>
    <w:rsid w:val="00B1301F"/>
    <w:rsid w:val="00B20E70"/>
    <w:rsid w:val="00B24DEA"/>
    <w:rsid w:val="00B24E81"/>
    <w:rsid w:val="00B25E43"/>
    <w:rsid w:val="00B31DCA"/>
    <w:rsid w:val="00B40DD9"/>
    <w:rsid w:val="00B43AD0"/>
    <w:rsid w:val="00B50A5C"/>
    <w:rsid w:val="00B7296E"/>
    <w:rsid w:val="00B76E7A"/>
    <w:rsid w:val="00B817DF"/>
    <w:rsid w:val="00B84716"/>
    <w:rsid w:val="00B92CCA"/>
    <w:rsid w:val="00BA37D3"/>
    <w:rsid w:val="00BA4092"/>
    <w:rsid w:val="00BB2233"/>
    <w:rsid w:val="00BB5A12"/>
    <w:rsid w:val="00BB6216"/>
    <w:rsid w:val="00BD1E17"/>
    <w:rsid w:val="00BD739D"/>
    <w:rsid w:val="00BF7055"/>
    <w:rsid w:val="00C07AD0"/>
    <w:rsid w:val="00C224A9"/>
    <w:rsid w:val="00C25091"/>
    <w:rsid w:val="00C42B7D"/>
    <w:rsid w:val="00C70203"/>
    <w:rsid w:val="00C73A42"/>
    <w:rsid w:val="00C74A22"/>
    <w:rsid w:val="00C81B5C"/>
    <w:rsid w:val="00CB5369"/>
    <w:rsid w:val="00CC1A09"/>
    <w:rsid w:val="00CC27C2"/>
    <w:rsid w:val="00CE5900"/>
    <w:rsid w:val="00D11DAC"/>
    <w:rsid w:val="00D121C1"/>
    <w:rsid w:val="00D27438"/>
    <w:rsid w:val="00D43F9C"/>
    <w:rsid w:val="00D466BE"/>
    <w:rsid w:val="00D46B66"/>
    <w:rsid w:val="00D47D64"/>
    <w:rsid w:val="00D52348"/>
    <w:rsid w:val="00D601D6"/>
    <w:rsid w:val="00D82199"/>
    <w:rsid w:val="00D908AB"/>
    <w:rsid w:val="00DA0938"/>
    <w:rsid w:val="00DC25A1"/>
    <w:rsid w:val="00DE5688"/>
    <w:rsid w:val="00E13256"/>
    <w:rsid w:val="00E2042F"/>
    <w:rsid w:val="00E20BF7"/>
    <w:rsid w:val="00E22FE4"/>
    <w:rsid w:val="00E419E0"/>
    <w:rsid w:val="00E44948"/>
    <w:rsid w:val="00E46DF0"/>
    <w:rsid w:val="00E571E2"/>
    <w:rsid w:val="00E610AD"/>
    <w:rsid w:val="00E615D5"/>
    <w:rsid w:val="00E76100"/>
    <w:rsid w:val="00E96385"/>
    <w:rsid w:val="00EA4C9B"/>
    <w:rsid w:val="00EA709A"/>
    <w:rsid w:val="00ED35E9"/>
    <w:rsid w:val="00ED7CA5"/>
    <w:rsid w:val="00EE122D"/>
    <w:rsid w:val="00EF3B2A"/>
    <w:rsid w:val="00F062D1"/>
    <w:rsid w:val="00F217B1"/>
    <w:rsid w:val="00F312E2"/>
    <w:rsid w:val="00F4309D"/>
    <w:rsid w:val="00F65ECE"/>
    <w:rsid w:val="00F77FC4"/>
    <w:rsid w:val="00F80351"/>
    <w:rsid w:val="00F92299"/>
    <w:rsid w:val="00F97B08"/>
    <w:rsid w:val="00FD274A"/>
    <w:rsid w:val="00FE0C3A"/>
    <w:rsid w:val="00FE4076"/>
    <w:rsid w:val="00FF40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78A6D45-E0A1-FC4F-97A3-929D95934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Arial"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9F1"/>
    <w:rPr>
      <w:rFonts w:ascii="Times New Roman" w:eastAsia="Times New Roman" w:hAnsi="Times New Roman" w:cs="Times New Roman"/>
    </w:rPr>
  </w:style>
  <w:style w:type="paragraph" w:styleId="Heading1">
    <w:name w:val="heading 1"/>
    <w:basedOn w:val="Normal"/>
    <w:link w:val="Heading1Char"/>
    <w:autoRedefine/>
    <w:uiPriority w:val="9"/>
    <w:qFormat/>
    <w:rsid w:val="0015036F"/>
    <w:pPr>
      <w:spacing w:before="100" w:beforeAutospacing="1" w:after="100" w:afterAutospacing="1" w:line="360" w:lineRule="auto"/>
      <w:outlineLvl w:val="0"/>
    </w:pPr>
    <w:rPr>
      <w:rFonts w:asciiTheme="majorBidi" w:eastAsia="Arial" w:hAnsiTheme="majorBidi"/>
      <w:b/>
      <w:bCs/>
      <w:kern w:val="36"/>
      <w:sz w:val="2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36F"/>
    <w:rPr>
      <w:rFonts w:ascii="Times New Roman" w:hAnsi="Times New Roman" w:cs="Times New Roman"/>
      <w:b/>
      <w:bCs/>
      <w:kern w:val="36"/>
      <w:sz w:val="28"/>
      <w:szCs w:val="48"/>
    </w:rPr>
  </w:style>
  <w:style w:type="paragraph" w:customStyle="1" w:styleId="Style1">
    <w:name w:val="Style1"/>
    <w:basedOn w:val="Normal"/>
    <w:link w:val="Style1Char"/>
    <w:autoRedefine/>
    <w:qFormat/>
    <w:rsid w:val="00BD1E17"/>
    <w:pPr>
      <w:bidi/>
      <w:spacing w:after="160" w:line="259" w:lineRule="auto"/>
    </w:pPr>
    <w:rPr>
      <w:rFonts w:asciiTheme="majorBidi" w:eastAsia="Arial" w:hAnsiTheme="majorBidi" w:cs="B Nazanin"/>
      <w:sz w:val="32"/>
      <w:szCs w:val="32"/>
      <w:lang w:bidi="fa-IR"/>
    </w:rPr>
  </w:style>
  <w:style w:type="character" w:customStyle="1" w:styleId="Style1Char">
    <w:name w:val="Style1 Char"/>
    <w:link w:val="Style1"/>
    <w:rsid w:val="00BD1E17"/>
    <w:rPr>
      <w:rFonts w:ascii="Times New Roman" w:hAnsi="Times New Roman" w:cs="B Nazanin"/>
      <w:sz w:val="32"/>
      <w:szCs w:val="32"/>
      <w:lang w:bidi="fa-IR"/>
    </w:rPr>
  </w:style>
  <w:style w:type="paragraph" w:styleId="ListParagraph">
    <w:name w:val="List Paragraph"/>
    <w:qFormat/>
    <w:rsid w:val="00BA4092"/>
    <w:pPr>
      <w:spacing w:line="360" w:lineRule="auto"/>
    </w:pPr>
    <w:rPr>
      <w:rFonts w:ascii="Times New Roman" w:hAnsi="Times New Roman" w:cs="B Nazanin"/>
      <w:sz w:val="28"/>
      <w:szCs w:val="28"/>
      <w:rtl/>
    </w:rPr>
  </w:style>
  <w:style w:type="paragraph" w:customStyle="1" w:styleId="Styletable">
    <w:name w:val="Styletable"/>
    <w:basedOn w:val="Normal"/>
    <w:autoRedefine/>
    <w:qFormat/>
    <w:rsid w:val="008167A0"/>
    <w:pPr>
      <w:bidi/>
    </w:pPr>
    <w:rPr>
      <w:rFonts w:cs="B Nazani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865</Words>
  <Characters>4931</Characters>
  <Application>Microsoft Office Word</Application>
  <DocSecurity>0</DocSecurity>
  <Lines>41</Lines>
  <Paragraphs>11</Paragraphs>
  <ScaleCrop>false</ScaleCrop>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2026-10-05T19:17:00Z</dcterms:created>
  <dcterms:modified xsi:type="dcterms:W3CDTF">2026-10-05T19:17:00Z</dcterms:modified>
</cp:coreProperties>
</file>