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160" w:line="480" w:lineRule="auto"/>
      </w:pPr>
      <w:r>
        <w:rPr>
          <w:rFonts w:cstheme="majorBidi"/>
          <w:b/>
          <w:bCs/>
          <w:sz w:val="28"/>
          <w:szCs w:val="28"/>
        </w:rPr>
        <w:t xml:space="preserve">Supplementary Information</w:t>
      </w:r>
    </w:p>
    <w:p>
      <w:pPr>
        <w:spacing w:before="0" w:after="160" w:line="480" w:lineRule="auto"/>
      </w:pPr>
      <w:r>
        <w:rPr>
          <w:rFonts w:cstheme="majorBidi"/>
          <w:b/>
          <w:bCs/>
          <w:sz w:val="24"/>
          <w:szCs w:val="24"/>
        </w:rPr>
        <w:t xml:space="preserve">Mind the Gap: Autoimmune versus Infectious Encephalitis in Children. A Retrospective Cohort Study from a Tertiary Centre, Riyadh, Saudi Arabia (2020–2026)</w:t>
      </w:r>
    </w:p>
    <w:p>
      <w:pPr>
        <w:spacing w:before="0" w:after="160" w:line="480" w:lineRule="auto"/>
      </w:pPr>
      <w:r>
        <w:rPr>
          <w:rFonts w:cstheme="majorBidi"/>
          <w:sz w:val="24"/>
          <w:szCs w:val="24"/>
        </w:rPr>
        <w:t xml:space="preserve">Contents: Table S1 – Diagnostic pathway; Table S2 – Multivariable pre-diagnostic discrimination model; Table S3 – Sensitivity analyses; Figure S1 – Study flow diagram; Figure S2 – Annual case numbers; Figure S3 – Age at presentation; Figure S4 – Adjusted odds ratios from the primary model; Figure S5 – ROC curves of the primary and LASSO models; Figure S6 – Consistency of associations across analytical approaches; Figure S7 – Proposed institutional pathway.</w:t>
      </w:r>
    </w:p>
    <w:p>
      <w:pPr>
        <w:spacing w:before="0" w:after="160" w:line="480" w:lineRule="auto"/>
      </w:pPr>
      <w:r>
        <w:rPr>
          <w:rFonts w:cstheme="majorBidi"/>
          <w:sz w:val="24"/>
          <w:szCs w:val="24"/>
        </w:rPr>
        <w:t xml:space="preserve">Abbreviations used throughout: AE, autoimmune encephalitis; IE, infectious encephalitis; CSF, cerebrospinal fluid; KFMC, King Fahad Medical City; ROC, receiver operating characteristic; LASSO, least absolute shrinkage and selection operator; IQR, interquartile range.</w:t>
      </w:r>
    </w:p>
    <w:p w14:paraId="6EC05EA2" w14:textId="77777777" w:rsidR="00C662CB" w:rsidRDefault="00000000">
      <w:pPr>
        <w:pStyle w:val="Heading3"/>
        <w:spacing w:before="240" w:after="80" w:line="480" w:lineRule="auto"/>
        <w:rPr>
          <w:rFonts w:asciiTheme="majorBidi" w:hAnsiTheme="majorBidi" w:cstheme="majorBidi"/>
        </w:rPr>
      </w:pPr>
      <w:r>
        <w:rPr>
          <w:rFonts w:cstheme="majorBidi"/>
        </w:rPr>
        <w:t xml:space="preserve">Table S1: Diagnostic pathway — AE (n=70) vs IE (n=122)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6"/>
        <w:gridCol w:w="2071"/>
        <w:gridCol w:w="2073"/>
        <w:gridCol w:w="1123"/>
        <w:gridCol w:w="1217"/>
      </w:tblGrid>
      <w:tr w:rsidR="00C662CB" w14:paraId="489864AB" w14:textId="77777777">
        <w:trPr>
          <w:cantSplit/>
          <w:tblHeader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FB6B7A" w14:textId="77777777" w:rsidR="00C662CB" w:rsidRDefault="0000000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5726A0" w14:textId="77777777" w:rsidR="00C662CB" w:rsidRDefault="0000000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AE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7192E7" w14:textId="77777777" w:rsidR="00C662CB" w:rsidRDefault="0000000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IE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1D8C65" w14:textId="77777777" w:rsidR="00C662CB" w:rsidRDefault="0000000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9FEEC9" w14:textId="77777777" w:rsidR="00C662CB" w:rsidRDefault="00000000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Missing, n</w:t>
            </w: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br/>
              <w:t>(AE/IE)</w:t>
            </w:r>
          </w:p>
        </w:tc>
      </w:tr>
      <w:tr w:rsidR="00C662CB" w14:paraId="220E86BA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195AD12F" w14:textId="77777777" w:rsidR="00C662CB" w:rsidRDefault="00000000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cstheme="majorBidi"/>
                <w:b/>
                <w:bCs/>
                <w:sz w:val="22"/>
                <w:szCs w:val="22"/>
              </w:rPr>
              <w:t>Healthcare visits before correct diagnosis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4C17C27A" w14:textId="77777777" w:rsidR="00C662CB" w:rsidRDefault="00C66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468CAA52" w14:textId="77777777" w:rsidR="00C662CB" w:rsidRDefault="00C66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1D6EEA20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0.094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43189B67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10/19</w:t>
            </w:r>
          </w:p>
        </w:tc>
      </w:tr>
      <w:tr w:rsidR="00C662CB" w14:paraId="68D79633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22534BEA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70940847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27 (45.0%)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7A0E7570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62 (60.2%)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17BC4E63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2E17F9D1" w14:textId="77777777" w:rsidR="00C662CB" w:rsidRDefault="00C662CB"/>
        </w:tc>
      </w:tr>
      <w:tr w:rsidR="00C662CB" w14:paraId="06E7259D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31AA031C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2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246282E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26 (43.3%)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388052D7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33 (32.0%)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2DF6CBB0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FF0E0A6" w14:textId="77777777" w:rsidR="00C662CB" w:rsidRDefault="00C662CB"/>
        </w:tc>
      </w:tr>
      <w:tr w:rsidR="00C662CB" w14:paraId="484D9631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C9A9B53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3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0245AE33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5 (8.3%)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4638957F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8 (7.8%)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03CC011C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44533CBA" w14:textId="77777777" w:rsidR="00C662CB" w:rsidRDefault="00C662CB"/>
        </w:tc>
      </w:tr>
      <w:tr w:rsidR="00C662CB" w14:paraId="657F8219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387C1D8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≥4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A2478D2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2 (3.3%)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143C0C13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0 (0.0%)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5EA7EB13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AF21E41" w14:textId="77777777" w:rsidR="00C662CB" w:rsidRDefault="00C662CB"/>
        </w:tc>
      </w:tr>
      <w:tr w:rsidR="00C662CB" w14:paraId="5FEB14CC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ED4DE" w14:textId="77777777" w:rsidR="00C662CB" w:rsidRDefault="00000000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cstheme="majorBidi"/>
                <w:b/>
                <w:bCs/>
                <w:sz w:val="22"/>
                <w:szCs w:val="22"/>
              </w:rPr>
              <w:t>Time from onset to correct diagnosis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9360B" w14:textId="77777777" w:rsidR="00C662CB" w:rsidRDefault="00C66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B2553" w14:textId="77777777" w:rsidR="00C662CB" w:rsidRDefault="00C66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DF7C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&lt;0.001***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551D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13/16</w:t>
            </w:r>
          </w:p>
        </w:tc>
      </w:tr>
      <w:tr w:rsidR="00C662CB" w14:paraId="3CF02F8E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9B917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&lt;1 week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7F2C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10 (17.5%)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19055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68 (64.2%)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ABC16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E5C1A" w14:textId="77777777" w:rsidR="00C662CB" w:rsidRDefault="00C662CB"/>
        </w:tc>
      </w:tr>
      <w:tr w:rsidR="00C662CB" w14:paraId="52FE5B2D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D39D1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1–2 weeks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001F5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15 (26.3%)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7F795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27 (25.5%)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1F854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8941" w14:textId="77777777" w:rsidR="00C662CB" w:rsidRDefault="00C662CB"/>
        </w:tc>
      </w:tr>
      <w:tr w:rsidR="00C662CB" w14:paraId="7C1C8961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CC204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2–4 weeks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BFD0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13 (22.8%)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A566C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7 (6.6%)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23F21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CC347" w14:textId="77777777" w:rsidR="00C662CB" w:rsidRDefault="00C662CB"/>
        </w:tc>
      </w:tr>
      <w:tr w:rsidR="00C662CB" w14:paraId="2AE8C349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F418D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1–3 months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AD0B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10 (17.5%)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54B59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3 (2.8%)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872B2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4D694" w14:textId="77777777" w:rsidR="00C662CB" w:rsidRDefault="00C662CB"/>
        </w:tc>
      </w:tr>
      <w:tr w:rsidR="00C662CB" w14:paraId="3166697C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880FD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&gt;3 months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94FF6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9 (15.8%)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D7958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 (0.9%)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EAE1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37F45" w14:textId="77777777" w:rsidR="00C662CB" w:rsidRDefault="00C662CB"/>
        </w:tc>
      </w:tr>
      <w:tr w:rsidR="00C662CB" w14:paraId="5A44294A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40E997C8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Diagnostic delay &gt;2 weeks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5C70B669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20 (30.8%)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B12C36B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14 (12.3%)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49DFC194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0.005**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28121F36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5/8</w:t>
            </w:r>
          </w:p>
        </w:tc>
      </w:tr>
      <w:tr w:rsidR="00C662CB" w14:paraId="40D060A8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0F173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Any misdiagnosis before correct diagnosis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B7C07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19 (29.7%)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1FBAD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27 (24.1%)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B3D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0.527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8043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6/10</w:t>
            </w:r>
          </w:p>
        </w:tc>
      </w:tr>
      <w:tr w:rsidR="00C662CB" w14:paraId="5AEF535E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1518F077" w14:textId="77777777" w:rsidR="00C662CB" w:rsidRDefault="00000000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cstheme="majorBidi"/>
                <w:b/>
                <w:bCs/>
                <w:sz w:val="22"/>
                <w:szCs w:val="22"/>
              </w:rPr>
              <w:t>Immunotherapy started before antibody result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78CDBA20" w14:textId="77777777" w:rsidR="00C662CB" w:rsidRDefault="00C66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076A66F9" w14:textId="77777777" w:rsidR="00C662CB" w:rsidRDefault="00C66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17FD0FFD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&lt;0.001***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25B12DB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0/0</w:t>
            </w:r>
          </w:p>
        </w:tc>
      </w:tr>
      <w:tr w:rsidR="00C662CB" w14:paraId="3EFF3CDC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2A5E27FF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Yes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79313C39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50 (71.4%)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70E047B2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3 (2.5%)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72B7491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0923D717" w14:textId="77777777" w:rsidR="00C662CB" w:rsidRDefault="00C662CB"/>
        </w:tc>
      </w:tr>
      <w:tr w:rsidR="00C662CB" w14:paraId="15110EC1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0CEA3E7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No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7272C8E7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12 (17.1%)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38924D04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8 (6.6%)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5FA1591C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4BE46C06" w14:textId="77777777" w:rsidR="00C662CB" w:rsidRDefault="00C662CB"/>
        </w:tc>
      </w:tr>
      <w:tr w:rsidR="00C662CB" w14:paraId="241C5B5A" w14:textId="77777777">
        <w:trPr>
          <w:cantSplit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4A6FBD28" w14:textId="77777777" w:rsidR="00C662CB" w:rsidRDefault="00000000">
            <w:pPr>
              <w:ind w:left="26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Not applicable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3BB88677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8 (11.4%)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310B6264" w14:textId="77777777" w:rsidR="00C662CB" w:rsidRDefault="00000000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cstheme="majorBidi"/>
                <w:sz w:val="22"/>
                <w:szCs w:val="22"/>
              </w:rPr>
              <w:t>111 (91.0%)</w:t>
            </w: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1CCA6408" w14:textId="77777777" w:rsidR="00C662CB" w:rsidRDefault="00C662CB"/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1B6C483F" w14:textId="77777777" w:rsidR="00C662CB" w:rsidRDefault="00C662CB"/>
        </w:tc>
      </w:tr>
    </w:tbl>
    <w:p w14:paraId="6EE94397" w14:textId="77777777" w:rsidR="00C662CB" w:rsidRDefault="00000000">
      <w:pPr>
        <w:spacing w:before="80" w:after="26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color w:val="555555"/>
          <w:sz w:val="24"/>
          <w:szCs w:val="24"/>
        </w:rPr>
        <w:t>Immunotherapy before antibody result is shown for both groups descriptively; it is clinically meaningful chiefly in AE, where it reflects empirical treatment ahead of serology.</w:t>
      </w:r>
    </w:p>
    <w:p w14:paraId="1DF3334C" w14:textId="77777777" w:rsidR="00C662CB" w:rsidRDefault="00000000">
      <w:pPr>
        <w:pStyle w:val="Heading3"/>
        <w:pageBreakBefore/>
        <w:spacing w:before="240" w:after="80" w:line="480" w:lineRule="auto"/>
        <w:rPr>
          <w:rFonts w:asciiTheme="majorBidi" w:hAnsiTheme="majorBidi" w:cstheme="majorBidi"/>
        </w:rPr>
      </w:pPr>
      <w:r>
        <w:rPr>
          <w:rFonts w:cstheme="majorBidi"/>
        </w:rPr>
        <w:t xml:space="preserve">Table S2: Multivariable logistic regression, pre-diagnostic discrimination of AE vs IE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800"/>
        <w:gridCol w:w="2201"/>
        <w:gridCol w:w="1759"/>
      </w:tblGrid>
      <w:tr w:rsidR="00C662CB" w14:paraId="5ED25552" w14:textId="77777777">
        <w:trPr>
          <w:cantSplit/>
          <w:tblHeader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03A249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757C6C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OR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331406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95% CI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940D63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p</w:t>
            </w:r>
          </w:p>
        </w:tc>
      </w:tr>
      <w:tr w:rsidR="00C662CB" w14:paraId="2D46500B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1A22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Age, years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7610B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1.53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2C2E8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1.20–1.95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C04F0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&lt;0.001</w:t>
            </w:r>
          </w:p>
        </w:tc>
      </w:tr>
      <w:tr w:rsidR="00C662CB" w14:paraId="26956BBC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7D797C33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Subacute/insidious onset (vs acute/hyper-acute)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389EB84C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0.90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3C111A8B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0.15–5.54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773425A7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0.912</w:t>
            </w:r>
          </w:p>
        </w:tc>
      </w:tr>
      <w:tr w:rsidR="00C662CB" w14:paraId="284312ED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CCB5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Fever ≥38.0°C at/within 72 h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42B8B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0.40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73FF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0.08–2.03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EB41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0.270</w:t>
            </w:r>
          </w:p>
        </w:tc>
      </w:tr>
      <w:tr w:rsidR="00C662CB" w14:paraId="3EFA9ED8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3039E0AC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Any psychiatric/behavioural symptom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376CE068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4.88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6E9B8EA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0.98–24.18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2F67DF9F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0.052</w:t>
            </w:r>
          </w:p>
        </w:tc>
      </w:tr>
      <w:tr w:rsidR="00C662CB" w14:paraId="61229ABF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C9445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CSF pleocytosis (WBC ≥5 cells/mm³)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0DFB4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0.01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2BE8E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0.00–0.18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50FFA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0.001</w:t>
            </w:r>
          </w:p>
        </w:tc>
      </w:tr>
      <w:tr w:rsidR="00C662CB" w14:paraId="4DFE818B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079782AF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MRI abnormal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5A7D1943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3.19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0C3F0732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0.56–18.04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903B332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0.190</w:t>
            </w:r>
          </w:p>
        </w:tc>
      </w:tr>
      <w:tr w:rsidR="00C662CB" w14:paraId="137320CD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C9F6B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EEG abnormal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9141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2.13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D4C18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0.46–9.92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D1AA0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0.335</w:t>
            </w:r>
          </w:p>
        </w:tc>
      </w:tr>
    </w:tbl>
    <w:p w14:paraId="42BE268C" w14:textId="77777777" w:rsidR="00C662CB" w:rsidRDefault="00000000">
      <w:pPr>
        <w:spacing w:before="10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sz w:val="24"/>
          <w:szCs w:val="24"/>
        </w:rPr>
        <w:t>Complete-case model, n=129 (47 AE / 82 IE) of 192 eligible. AUROC=0.970. Hosmer–Lemeshow χ²=3.83, p=0.87. LASSO-penalised sensitivity model (5-fold CV) retained 6 of 7 variables (dropping only onset tempo) with a similar AUROC (0.971).</w:t>
      </w:r>
    </w:p>
    <w:p w14:paraId="13D9AD0B" w14:textId="77777777" w:rsidR="00C662CB" w:rsidRDefault="00000000">
      <w:pPr>
        <w:spacing w:before="80" w:after="26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color w:val="555555"/>
          <w:sz w:val="24"/>
          <w:szCs w:val="24"/>
        </w:rPr>
        <w:t>Abbreviations: OR, odds ratio; CI, confidence interval; AUROC, area under the receiver operating characteristic curve; LASSO, least absolute shrinkage and selection operator; CV, cross-validation; EPV, events per variable. EPV (AE class) = 47/7 = 6.7, below the conventional threshold of 10; complete-case analysis excludes 63/192 patients (33%) with missing data on at least one candidate variable. Working-memory deficit and CSF Gram stain/culture positivity were excluded because of complete separation, and movement disorder because of low frequency.</w:t>
      </w:r>
    </w:p>
    <w:p w14:paraId="6D558753" w14:textId="77777777" w:rsidR="00C662CB" w:rsidRDefault="00000000">
      <w:pPr>
        <w:pStyle w:val="Heading3"/>
        <w:pageBreakBefore/>
        <w:spacing w:before="240" w:after="80" w:line="480" w:lineRule="auto"/>
        <w:rPr>
          <w:rFonts w:asciiTheme="majorBidi" w:hAnsiTheme="majorBidi" w:cstheme="majorBidi"/>
        </w:rPr>
      </w:pPr>
      <w:r>
        <w:rPr>
          <w:rFonts w:cstheme="majorBidi"/>
        </w:rPr>
        <w:t xml:space="preserve">Table S3: Sensitivity analyses: multiple imputation and pre-specified subgroup restrictions</w:t>
      </w:r>
    </w:p>
    <w:p w14:paraId="05357D15" w14:textId="77777777" w:rsidR="00C662CB" w:rsidRDefault="00000000">
      <w:pPr>
        <w:spacing w:after="6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b/>
          <w:bCs/>
          <w:sz w:val="24"/>
          <w:szCs w:val="24"/>
        </w:rPr>
        <w:t>(a) Multiple imputation (MICE, M=20, Rubin's rules; median of eight runs) — full sample, n=192 (70 AE / 122 IE):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800"/>
        <w:gridCol w:w="2201"/>
        <w:gridCol w:w="1759"/>
      </w:tblGrid>
      <w:tr w:rsidR="00C662CB" w14:paraId="544E819E" w14:textId="77777777">
        <w:trPr>
          <w:cantSplit/>
          <w:tblHeader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0C40E7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22D98D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OR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00C4F9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95% CI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915AA0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p</w:t>
            </w:r>
          </w:p>
        </w:tc>
      </w:tr>
      <w:tr w:rsidR="00C662CB" w14:paraId="72263619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F6DE7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Age, years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81926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1.40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9A5AB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1.19–1.66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542F2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&lt;0.001*</w:t>
            </w:r>
          </w:p>
        </w:tc>
      </w:tr>
      <w:tr w:rsidR="00C662CB" w14:paraId="3753D7FE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3EF64469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Subacute/insidious onset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08AB3635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1.11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2B4B3C5D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0.29–4.24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00577C9A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0.881</w:t>
            </w:r>
          </w:p>
        </w:tc>
      </w:tr>
      <w:tr w:rsidR="00C662CB" w14:paraId="7E3C1836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0005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Fever ≥38.0°C at/within 72 h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79263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0.22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C040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0.06–0.78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71A64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0.019*</w:t>
            </w:r>
          </w:p>
        </w:tc>
      </w:tr>
      <w:tr w:rsidR="00C662CB" w14:paraId="7F5B74D6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279BE0F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Any psychiatric/behavioural symptom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737D3BC2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3.96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266A7A6A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0.99–15.88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5DE6EE93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0.052</w:t>
            </w:r>
          </w:p>
        </w:tc>
      </w:tr>
      <w:tr w:rsidR="00C662CB" w14:paraId="0A7D378B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241C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CSF pleocytosis (WBC ≥5)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3571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0.06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AFFDA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0.01–0.33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12D4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0.002*</w:t>
            </w:r>
          </w:p>
        </w:tc>
      </w:tr>
      <w:tr w:rsidR="00C662CB" w14:paraId="4D1A1199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00C891E3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MRI abnormal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29916265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2.52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4978879F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0.66–9.63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2FF7B651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0.176</w:t>
            </w:r>
          </w:p>
        </w:tc>
      </w:tr>
      <w:tr w:rsidR="00C662CB" w14:paraId="3B3D6C07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020E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EEG abnormal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CD5F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2.20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479C6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0.67–7.25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0669D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0.196</w:t>
            </w:r>
          </w:p>
        </w:tc>
      </w:tr>
    </w:tbl>
    <w:p w14:paraId="3E661DF6" w14:textId="77777777" w:rsidR="00C662CB" w:rsidRDefault="00000000">
      <w:pPr>
        <w:spacing w:before="80" w:after="26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color w:val="555555"/>
          <w:sz w:val="24"/>
          <w:szCs w:val="24"/>
        </w:rPr>
        <w:t>Age and CSF pleocytosis remained significant and fever reached significance; psychiatric or behavioural symptoms remained borderline (p=0.045–0.060 across eight imputation runs).</w:t>
      </w:r>
    </w:p>
    <w:p w14:paraId="6E9842E7" w14:textId="77777777" w:rsidR="00C662CB" w:rsidRDefault="00000000">
      <w:pPr>
        <w:spacing w:before="160" w:after="6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b/>
          <w:bCs/>
          <w:sz w:val="24"/>
          <w:szCs w:val="24"/>
        </w:rPr>
        <w:t>(b) Definite AE vs Confirmed IE only (reduced 2-variable model — the full model was not stable at this n):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800"/>
        <w:gridCol w:w="2201"/>
        <w:gridCol w:w="1759"/>
      </w:tblGrid>
      <w:tr w:rsidR="00C662CB" w14:paraId="5D765B1B" w14:textId="77777777">
        <w:trPr>
          <w:cantSplit/>
          <w:tblHeader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4B7E45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37FBB4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OR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BFEBAD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95% CI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C12A09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p</w:t>
            </w:r>
          </w:p>
        </w:tc>
      </w:tr>
      <w:tr w:rsidR="00C662CB" w14:paraId="74723F64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211B9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Age, years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EA3CD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1.55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EAECA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1.21–1.99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44183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&lt;0.001*</w:t>
            </w:r>
          </w:p>
        </w:tc>
      </w:tr>
      <w:tr w:rsidR="00C662CB" w14:paraId="175669C4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5DF6C275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CSF pleocytosis (WBC ≥5)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5E8EE854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0.03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2B73D8F3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0.00–0.22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1656B47A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&lt;0.001*</w:t>
            </w:r>
          </w:p>
        </w:tc>
      </w:tr>
    </w:tbl>
    <w:p w14:paraId="69243594" w14:textId="77777777" w:rsidR="00C662CB" w:rsidRDefault="00000000">
      <w:pPr>
        <w:spacing w:before="80" w:after="26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color w:val="555555"/>
          <w:sz w:val="24"/>
          <w:szCs w:val="24"/>
        </w:rPr>
        <w:t>n=66 (28 definite AE, 38 confirmed IE). AUROC 0.951.</w:t>
      </w:r>
    </w:p>
    <w:p w14:paraId="2D286381" w14:textId="77777777" w:rsidR="00C662CB" w:rsidRDefault="00000000">
      <w:pPr>
        <w:spacing w:before="160" w:after="6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b/>
          <w:bCs/>
          <w:sz w:val="24"/>
          <w:szCs w:val="24"/>
        </w:rPr>
        <w:lastRenderedPageBreak/>
        <w:t>(c) Autoimmune panel performed only (reduced 2-variable model):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800"/>
        <w:gridCol w:w="2201"/>
        <w:gridCol w:w="1759"/>
      </w:tblGrid>
      <w:tr w:rsidR="00C662CB" w14:paraId="7E72A033" w14:textId="77777777">
        <w:trPr>
          <w:cantSplit/>
          <w:tblHeader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7E258E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737C52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OR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75376B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95% CI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DC032C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b/>
                <w:bCs/>
                <w:color w:val="000000"/>
                <w:sz w:val="24"/>
                <w:szCs w:val="24"/>
              </w:rPr>
              <w:t>p</w:t>
            </w:r>
          </w:p>
        </w:tc>
      </w:tr>
      <w:tr w:rsidR="00C662CB" w14:paraId="5F83BFA2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8AFFA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Age, years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3CF94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1.37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F3EB9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1.07–1.76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36DE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0.014*</w:t>
            </w:r>
          </w:p>
        </w:tc>
      </w:tr>
      <w:tr w:rsidR="00C662CB" w14:paraId="437A3ACC" w14:textId="77777777">
        <w:trPr>
          <w:cantSplit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5C5B93A6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CSF pleocytosis (WBC ≥5)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403C336D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0.05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608DBA8E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0.01–0.39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FB"/>
            <w:vAlign w:val="center"/>
          </w:tcPr>
          <w:p w14:paraId="383AD13F" w14:textId="77777777" w:rsidR="00C662CB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cstheme="majorBidi"/>
                <w:sz w:val="24"/>
                <w:szCs w:val="24"/>
              </w:rPr>
              <w:t>0.004*</w:t>
            </w:r>
          </w:p>
        </w:tc>
      </w:tr>
    </w:tbl>
    <w:p w14:paraId="432E86F1" w14:textId="77777777" w:rsidR="00C662CB" w:rsidRDefault="00000000">
      <w:pPr>
        <w:spacing w:before="80" w:after="26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color w:val="555555"/>
          <w:sz w:val="24"/>
          <w:szCs w:val="24"/>
        </w:rPr>
        <w:t>n=67 (59 AE, 8 IE); the small IE denominator limits the weight of this analysis.</w:t>
      </w:r>
    </w:p>
    <w:p w14:paraId="6AFB956E" w14:textId="77777777" w:rsidR="00C662CB" w:rsidRDefault="00000000">
      <w:pPr>
        <w:spacing w:before="160" w:after="6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b/>
          <w:bCs/>
          <w:sz w:val="24"/>
          <w:szCs w:val="24"/>
        </w:rPr>
        <w:t>(d) LP performed only:</w:t>
      </w:r>
    </w:p>
    <w:p w14:paraId="50A07A8C" w14:textId="77777777" w:rsidR="00C662CB" w:rsidRDefault="00000000">
      <w:pPr>
        <w:spacing w:before="80" w:after="26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color w:val="555555"/>
          <w:sz w:val="24"/>
          <w:szCs w:val="24"/>
        </w:rPr>
        <w:t>Identical to the primary complete-case sample (n=129); reported for completeness as pre-specified.</w:t>
      </w:r>
    </w:p>
    <w:p w14:paraId="378A21C1" w14:textId="77777777" w:rsidR="00720C73" w:rsidRDefault="00000000">
      <w:pPr>
        <w:spacing w:before="80" w:after="260" w:line="480" w:lineRule="auto"/>
      </w:pPr>
      <w:r>
        <w:rPr>
          <w:rFonts w:cstheme="majorBidi"/>
          <w:i/>
          <w:iCs/>
          <w:color w:val="555555"/>
          <w:sz w:val="24"/>
          <w:szCs w:val="24"/>
        </w:rPr>
        <w:t>*p&lt;0.05. Abbreviations: OR, odds ratio; CI, confidence interval; MICE, multiple imputation by chained equations; WBC, white cell count; LP, lumbar puncture.</w:t>
      </w:r>
    </w:p>
    <w:p w14:paraId="3CFD6113" w14:textId="77777777" w:rsidR="00C662CB" w:rsidRDefault="00000000">
      <w:pPr>
        <w:pageBreakBefore/>
        <w:spacing w:before="20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1108E82E" wp14:editId="1DBFEF40">
            <wp:extent cx="3840480" cy="48501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485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1EEFE" w14:textId="77777777" w:rsidR="00C662CB" w:rsidRDefault="00000000">
      <w:pPr>
        <w:spacing w:after="24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sz w:val="24"/>
          <w:szCs w:val="24"/>
        </w:rPr>
        <w:t xml:space="preserve">Figure S1: Study flow diagram: case identification, data cleaning, and derivation of the AE, IE, and AE–IE continuum groups.</w:t>
      </w:r>
    </w:p>
    <w:p w14:paraId="06DAEC27" w14:textId="77777777" w:rsidR="00C662CB" w:rsidRDefault="00000000">
      <w:pPr>
        <w:pageBreakBefore/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4A291D" wp14:editId="23182696">
            <wp:extent cx="5486400" cy="3505200"/>
            <wp:effectExtent l="0" t="0" r="0" b="0"/>
            <wp:docPr id="2" name="Picture 500555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0055573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23849" w14:textId="77777777" w:rsidR="00C662CB" w:rsidRDefault="00000000">
      <w:pPr>
        <w:spacing w:after="24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sz w:val="24"/>
          <w:szCs w:val="24"/>
        </w:rPr>
        <w:t xml:space="preserve">Figure S2: Annual number of pure AE and pure IE cases by year of hospital admission (2020–2026), restricted to the mutually exclusive n=192 classification used throughout Results; the 22 AE–IE continuum cases and 11 cases excluded from the AE–IE classification are not shown. 2026 reflects a partial year of data collection (admissions through 31 July 2026 only) and was excluded from trend testing. Negative-binomial regression on 2020–2025 showed no statistically significant year-on-year trend for either group (p&gt;0.05; see Results). Totals across the full period (122 IE, 70 AE) match Table 1.</w:t>
      </w:r>
    </w:p>
    <w:p w14:paraId="11DBD2D8" w14:textId="77777777" w:rsidR="00C662CB" w:rsidRDefault="00000000">
      <w:pPr>
        <w:pageBreakBefore/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08D154B" wp14:editId="6F76BF0D">
            <wp:extent cx="4206240" cy="3816985"/>
            <wp:effectExtent l="0" t="0" r="0" b="0"/>
            <wp:docPr id="3" name="Picture 964725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96472561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381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45042" w14:textId="77777777" w:rsidR="00C662CB" w:rsidRDefault="00000000">
      <w:pPr>
        <w:spacing w:after="24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sz w:val="24"/>
          <w:szCs w:val="24"/>
        </w:rPr>
        <w:t xml:space="preserve">Figure S3: Age at presentation, AE vs IE. Box plots show the median and IQR, with whiskers extending to 1.5 times the IQR; individual patients are overlaid as jittered points.</w:t>
      </w:r>
    </w:p>
    <w:p w14:paraId="6A33AF77" w14:textId="77777777" w:rsidR="00C662CB" w:rsidRDefault="00000000">
      <w:pPr>
        <w:pageBreakBefore/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9C3FC4C" wp14:editId="7EB2BD02">
            <wp:extent cx="5486400" cy="2978150"/>
            <wp:effectExtent l="0" t="0" r="0" b="0"/>
            <wp:docPr id="8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F5B52" w14:textId="77777777" w:rsidR="00C662CB" w:rsidRDefault="00000000">
      <w:pPr>
        <w:spacing w:after="24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sz w:val="24"/>
          <w:szCs w:val="24"/>
        </w:rPr>
        <w:t xml:space="preserve">Figure S4: Adjusted odds ratios (95% CI) from the primary multivariable pre-diagnostic discrimination model (n=129: 47 AE, 82 IE).</w:t>
      </w:r>
    </w:p>
    <w:p w14:paraId="12566C46" w14:textId="77777777" w:rsidR="00C662CB" w:rsidRDefault="00000000">
      <w:pPr>
        <w:pageBreakBefore/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F9425F7" wp14:editId="318155C4">
            <wp:extent cx="3840480" cy="3693160"/>
            <wp:effectExtent l="0" t="0" r="0" b="0"/>
            <wp:docPr id="7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369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46C9C" w14:textId="77777777" w:rsidR="00C662CB" w:rsidRDefault="00000000">
      <w:pPr>
        <w:spacing w:after="24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sz w:val="24"/>
          <w:szCs w:val="24"/>
        </w:rPr>
        <w:t xml:space="preserve">Figure S5: Receiver operating characteristic curves for the primary multivariable model and the LASSO-penalised sensitivity model (n=129: 47 AE, 82 IE).</w:t>
      </w:r>
    </w:p>
    <w:p w14:paraId="0877E0F1" w14:textId="77777777" w:rsidR="00C662CB" w:rsidRDefault="00000000">
      <w:pPr>
        <w:pageBreakBefore/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8C49A3" wp14:editId="55F1CC0E">
            <wp:extent cx="5486400" cy="2103120"/>
            <wp:effectExtent l="0" t="0" r="0" b="0"/>
            <wp:docPr id="4" name="Picture 103690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0369064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D37B1" w14:textId="77777777" w:rsidR="00C662CB" w:rsidRDefault="00000000">
      <w:pPr>
        <w:spacing w:after="24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sz w:val="24"/>
          <w:szCs w:val="24"/>
        </w:rPr>
        <w:t xml:space="preserve">Figure S6: Consistency of associations with AE across analytical approaches. Odds ratios (95% CI, log scale) for age, psychiatric or behavioural symptoms, and CSF pleocytosis in the primary complete-case model, multiple imputation, restriction to definite AE and confirmed IE, restriction to children in whom the autoimmune panel was sent, the reduced three-variable score model, and children aged 2 years or older with and without adjustment for age. Filled markers, p&lt;0.05; open markers, p≥0.05. Psychiatric or behavioural symptoms were not included in the two restricted two-variable models, and age was not included in the unadjusted model in children aged 2 years or older.</w:t>
      </w:r>
    </w:p>
    <w:p w14:paraId="08D187A9" w14:textId="77777777" w:rsidR="00C662CB" w:rsidRDefault="00000000">
      <w:pPr>
        <w:pageBreakBefore/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2DB27E0" wp14:editId="6C958820">
            <wp:extent cx="4000500" cy="5462691"/>
            <wp:effectExtent l="0" t="0" r="0" b="0"/>
            <wp:docPr id="6" name="Picture 500555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0055573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546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E237A" w14:textId="77777777" w:rsidR="00C662CB" w:rsidRDefault="00000000">
      <w:pPr>
        <w:spacing w:after="24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cstheme="majorBidi"/>
          <w:i/>
          <w:iCs/>
          <w:sz w:val="24"/>
          <w:szCs w:val="24"/>
        </w:rPr>
        <w:t xml:space="preserve">Figure S7: Proposed institutional pathway for triage from the Emergency Department and the timing of empirical immunotherapy, based on the KFMC AE-IE Score, this cohort’s diagnostic-pathway findings (Table S1), and Graus/Cellucci criteria. Not yet validated; presented as a hypothesis-generating proposal for prospective evaluation.</w:t>
      </w:r>
    </w:p>
    <w:sectPr w:rsidR="00C662CB">
      <w:footerReference w:type="even" r:id="rId14"/>
      <w:footerReference w:type="default" r:id="rId15"/>
      <w:footerReference w:type="first" r:id="rId16"/>
      <w:pgSz w:w="12240" w:h="15840"/>
      <w:pgMar w:top="900" w:right="1080" w:bottom="900" w:left="1080" w:header="0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286B0" w14:textId="77777777" w:rsidR="00966D67" w:rsidRDefault="00966D67">
      <w:r>
        <w:separator/>
      </w:r>
    </w:p>
  </w:endnote>
  <w:endnote w:type="continuationSeparator" w:id="0">
    <w:p w14:paraId="774E3096" w14:textId="77777777" w:rsidR="00966D67" w:rsidRDefault="00966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4BC4B" w14:textId="77777777" w:rsidR="00C662CB" w:rsidRDefault="00C662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8040D" w14:textId="77777777" w:rsidR="00C662CB" w:rsidRDefault="0000000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912E6" w14:textId="77777777" w:rsidR="00C662CB" w:rsidRDefault="0000000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0C808" w14:textId="77777777" w:rsidR="00966D67" w:rsidRDefault="00966D67">
      <w:r>
        <w:separator/>
      </w:r>
    </w:p>
  </w:footnote>
  <w:footnote w:type="continuationSeparator" w:id="0">
    <w:p w14:paraId="5BC1CDD1" w14:textId="77777777" w:rsidR="00966D67" w:rsidRDefault="00966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2CB"/>
    <w:rsid w:val="001F5091"/>
    <w:rsid w:val="003B755A"/>
    <w:rsid w:val="004C1B7E"/>
    <w:rsid w:val="004F466A"/>
    <w:rsid w:val="00537CD9"/>
    <w:rsid w:val="00720C73"/>
    <w:rsid w:val="007335A7"/>
    <w:rsid w:val="007F5E8D"/>
    <w:rsid w:val="00837B37"/>
    <w:rsid w:val="00874F42"/>
    <w:rsid w:val="00966D67"/>
    <w:rsid w:val="00A41566"/>
    <w:rsid w:val="00A54CCD"/>
    <w:rsid w:val="00B1017E"/>
    <w:rsid w:val="00B112C9"/>
    <w:rsid w:val="00BF74D8"/>
    <w:rsid w:val="00C338C3"/>
    <w:rsid w:val="00C662CB"/>
    <w:rsid w:val="00DC1238"/>
    <w:rsid w:val="00EC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3C9CA"/>
  <w15:docId w15:val="{F7CF1A97-12BE-4E82-923E-F77BF2A6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paragraph" w:styleId="FootnoteText">
    <w:name w:val="footnote text"/>
    <w:link w:val="FootnoteTextChar"/>
    <w:uiPriority w:val="99"/>
    <w:semiHidden/>
    <w:unhideWhenUsed/>
  </w:style>
  <w:style w:type="paragraph" w:styleId="EndnoteText">
    <w:name w:val="endnote text"/>
    <w:link w:val="EndnoteTextChar"/>
    <w:uiPriority w:val="99"/>
    <w:semiHidden/>
    <w:unhideWhenUsed/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9750</Words>
  <Characters>55580</Characters>
  <Application>Microsoft Office Word</Application>
  <DocSecurity>0</DocSecurity>
  <Lines>463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Faten Al Kateb</cp:lastModifiedBy>
  <cp:revision>2</cp:revision>
  <dcterms:created xsi:type="dcterms:W3CDTF">2026-10-01T20:57:00Z</dcterms:created>
  <dcterms:modified xsi:type="dcterms:W3CDTF">2026-10-01T20:57:00Z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1f1e7779-bffe-4e3c-8aa1-87a283c8316e</vt:lpwstr>
  </property>
</Properties>
</file>