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552F5" w14:textId="77777777" w:rsidR="00392F21" w:rsidRDefault="00000000">
      <w:pPr>
        <w:pStyle w:val="Heading1"/>
        <w:pageBreakBefore w:val="0"/>
      </w:pPr>
      <w:r>
        <w:t>Additional file 1. Legal and institutional source locators</w:t>
      </w:r>
    </w:p>
    <w:p w14:paraId="7FDC6867" w14:textId="77777777" w:rsidR="00392F21" w:rsidRDefault="00000000">
      <w:r>
        <w:t>The following locators identify the passages supporting the doctrinal and institutional illustrations. They are a traceability aid for a conceptual paper, rather than a coded corpus. Judgment paragraph numbers refer to the judgment itself; Briginshaw and Calvin page numbers refer to the cited law reports. The OIA's current disciplinary webpage still links to the October 2018 PDF as of 5 October 2026. The AI casework note supplements that framework. Current university pages are not used to reconstruct the rules governing the OIA's July 2025 cases.</w:t>
      </w:r>
    </w:p>
    <w:tbl>
      <w:tblPr>
        <w:tblW w:w="0" w:type="auto"/>
        <w:jc w:val="center"/>
        <w:tblBorders>
          <w:top w:val="single" w:sz="4" w:space="0" w:color="C5C5C5"/>
          <w:left w:val="single" w:sz="4" w:space="0" w:color="C5C5C5"/>
          <w:bottom w:val="single" w:sz="4" w:space="0" w:color="C5C5C5"/>
          <w:right w:val="single" w:sz="4" w:space="0" w:color="C5C5C5"/>
          <w:insideH w:val="single" w:sz="4" w:space="0" w:color="C5C5C5"/>
          <w:insideV w:val="single" w:sz="4" w:space="0" w:color="C5C5C5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6768"/>
      </w:tblGrid>
      <w:tr w:rsidR="00392F21" w14:paraId="3985BFCB" w14:textId="77777777">
        <w:trPr>
          <w:cantSplit/>
          <w:tblHeader/>
          <w:jc w:val="center"/>
        </w:trPr>
        <w:tc>
          <w:tcPr>
            <w:tcW w:w="2880" w:type="dxa"/>
            <w:shd w:val="clear" w:color="auto" w:fill="E9E9E9"/>
            <w:vAlign w:val="center"/>
          </w:tcPr>
          <w:p w14:paraId="459E3632" w14:textId="77777777" w:rsidR="00392F21" w:rsidRDefault="00000000">
            <w:pPr>
              <w:spacing w:before="100" w:line="264" w:lineRule="auto"/>
            </w:pPr>
            <w:r>
              <w:rPr>
                <w:b/>
                <w:sz w:val="21"/>
              </w:rPr>
              <w:t>Source</w:t>
            </w:r>
          </w:p>
        </w:tc>
        <w:tc>
          <w:tcPr>
            <w:tcW w:w="6768" w:type="dxa"/>
            <w:shd w:val="clear" w:color="auto" w:fill="E9E9E9"/>
            <w:vAlign w:val="center"/>
          </w:tcPr>
          <w:p w14:paraId="619202E4" w14:textId="77777777" w:rsidR="00392F21" w:rsidRDefault="00000000">
            <w:pPr>
              <w:spacing w:before="100" w:line="264" w:lineRule="auto"/>
            </w:pPr>
            <w:r>
              <w:rPr>
                <w:b/>
                <w:sz w:val="21"/>
              </w:rPr>
              <w:t>Relevant locator and function</w:t>
            </w:r>
          </w:p>
        </w:tc>
      </w:tr>
      <w:tr w:rsidR="00392F21" w14:paraId="4F293FFB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5B1B95DA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Briginshaw; Re B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4C50B47F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Briginshaw, 60 CLR 336, 361–363 (Dixon J); Re B, paras. 13–15, 70–73; Evidence Act 1995 (Cth), s. 140(2). Standard of proof, cogency, and contextual probability.</w:t>
            </w:r>
          </w:p>
        </w:tc>
      </w:tr>
      <w:tr w:rsidR="00392F21" w14:paraId="7DDBD955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7C8863D6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Clark; Higher Education Act 2004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176AF8EA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Clark, paras. 12–13, 38; Act, s. 12(2). Contract, academic judgment, and OIA jurisdiction.</w:t>
            </w:r>
          </w:p>
        </w:tc>
      </w:tr>
      <w:tr w:rsidR="00392F21" w14:paraId="0F684196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762D9826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Tang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4E32D6D3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Paras. 3, 89. Limits of the statutory review route and the issues left undecided.</w:t>
            </w:r>
          </w:p>
        </w:tc>
      </w:tr>
      <w:tr w:rsidR="00392F21" w14:paraId="47C11A12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2DA8BE4E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SZBEL; MZAPC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3D99939F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SZBEL, paras. 32–35; MZAPC, paras. 37–39. Knowledge of decisive issues and materiality in their statutory contexts.</w:t>
            </w:r>
          </w:p>
        </w:tc>
      </w:tr>
      <w:tr w:rsidR="00392F21" w14:paraId="38BBD169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5612002D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Osborn; Calvin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0B9D9DCF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Osborn, paras. 67–71; Calvin, [1980] AC 574, 592–593. Participation and context-sensitive repair through appeal.</w:t>
            </w:r>
          </w:p>
        </w:tc>
      </w:tr>
      <w:tr w:rsidR="00392F21" w14:paraId="1357F690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185D805D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Higher Education Standards Framework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561233BE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Compilation F2026C00804, ss. 7–8; Part A, standards 2.4 and 5.2. Complaint processes, integrity, and staged application of amendments.</w:t>
            </w:r>
          </w:p>
        </w:tc>
      </w:tr>
      <w:tr w:rsidR="00392F21" w14:paraId="356C2294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309AB36D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OIA disciplinary framework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39E23085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October 2018 PDF, paras. 10–11 and 44–47. Burden, civil standard, and the boundary of academic judgment.</w:t>
            </w:r>
          </w:p>
        </w:tc>
      </w:tr>
      <w:tr w:rsidR="00392F21" w14:paraId="604759FC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10774D74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OIA AI casework note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4BE30BC5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Notifying students; Investigating alleged breaches; Decision making and record keeping. Allegation, disclosure, provider responsibility, and reasons.</w:t>
            </w:r>
          </w:p>
        </w:tc>
      </w:tr>
      <w:tr w:rsidR="00392F21" w14:paraId="6674D7AB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2C53F516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OIA CS072501; CS072503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2BEE0CFC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July 2025 published summaries, accounts of evidential consideration, response, reasons, policy application, and complaint outcome.</w:t>
            </w:r>
          </w:p>
        </w:tc>
      </w:tr>
      <w:tr w:rsidR="00392F21" w14:paraId="1DBF774B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2B8296D6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Oxford; University College London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4BE14FCE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Oxford policy, assessment-setter requirements 1, 4–6 and update 27 October 2025; UCL guidance, Using GenAI to support learning and Guidance. Detector position and assessment-brief authority.</w:t>
            </w:r>
          </w:p>
        </w:tc>
      </w:tr>
      <w:tr w:rsidR="00392F21" w14:paraId="51D50D68" w14:textId="77777777">
        <w:trPr>
          <w:cantSplit/>
          <w:jc w:val="center"/>
        </w:trPr>
        <w:tc>
          <w:tcPr>
            <w:tcW w:w="2880" w:type="dxa"/>
            <w:shd w:val="clear" w:color="auto" w:fill="FFFFFF"/>
            <w:vAlign w:val="center"/>
          </w:tcPr>
          <w:p w14:paraId="55502979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Sydney guidance and two-lane FAQ</w:t>
            </w:r>
          </w:p>
        </w:tc>
        <w:tc>
          <w:tcPr>
            <w:tcW w:w="6768" w:type="dxa"/>
            <w:shd w:val="clear" w:color="auto" w:fill="FFFFFF"/>
            <w:vAlign w:val="center"/>
          </w:tcPr>
          <w:p w14:paraId="7F53EDC1" w14:textId="77777777" w:rsidR="00392F21" w:rsidRDefault="00000000">
            <w:pPr>
              <w:spacing w:before="100" w:line="264" w:lineRule="auto"/>
            </w:pPr>
            <w:r>
              <w:rPr>
                <w:sz w:val="21"/>
              </w:rPr>
              <w:t>Student guidance, When you can and cannot use AI, Acknowledging AI use, Best practices, Detecting generative AI use; FAQ opening table and clarifications. Secure/open assessment and process records.</w:t>
            </w:r>
          </w:p>
        </w:tc>
      </w:tr>
    </w:tbl>
    <w:sectPr w:rsidR="00392F21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76B9E" w14:textId="77777777" w:rsidR="00CE326F" w:rsidRDefault="00CE326F">
      <w:pPr>
        <w:spacing w:after="0" w:line="240" w:lineRule="auto"/>
      </w:pPr>
      <w:r>
        <w:separator/>
      </w:r>
    </w:p>
  </w:endnote>
  <w:endnote w:type="continuationSeparator" w:id="0">
    <w:p w14:paraId="323A9C25" w14:textId="77777777" w:rsidR="00CE326F" w:rsidRDefault="00CE3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9957" w14:textId="77777777" w:rsidR="00392F21" w:rsidRDefault="00000000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D525D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82CC1" w14:textId="77777777" w:rsidR="00CE326F" w:rsidRDefault="00CE326F">
      <w:pPr>
        <w:spacing w:after="0" w:line="240" w:lineRule="auto"/>
      </w:pPr>
      <w:r>
        <w:separator/>
      </w:r>
    </w:p>
  </w:footnote>
  <w:footnote w:type="continuationSeparator" w:id="0">
    <w:p w14:paraId="65F9338F" w14:textId="77777777" w:rsidR="00CE326F" w:rsidRDefault="00CE3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1115947">
    <w:abstractNumId w:val="8"/>
  </w:num>
  <w:num w:numId="2" w16cid:durableId="1768575667">
    <w:abstractNumId w:val="6"/>
  </w:num>
  <w:num w:numId="3" w16cid:durableId="476992664">
    <w:abstractNumId w:val="5"/>
  </w:num>
  <w:num w:numId="4" w16cid:durableId="359597923">
    <w:abstractNumId w:val="4"/>
  </w:num>
  <w:num w:numId="5" w16cid:durableId="19864542">
    <w:abstractNumId w:val="7"/>
  </w:num>
  <w:num w:numId="6" w16cid:durableId="577708879">
    <w:abstractNumId w:val="3"/>
  </w:num>
  <w:num w:numId="7" w16cid:durableId="533731444">
    <w:abstractNumId w:val="2"/>
  </w:num>
  <w:num w:numId="8" w16cid:durableId="233130724">
    <w:abstractNumId w:val="1"/>
  </w:num>
  <w:num w:numId="9" w16cid:durableId="1360205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2F21"/>
    <w:rsid w:val="00AA1D8D"/>
    <w:rsid w:val="00AD0680"/>
    <w:rsid w:val="00B47730"/>
    <w:rsid w:val="00CB0664"/>
    <w:rsid w:val="00CE326F"/>
    <w:rsid w:val="00D525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B07AEE"/>
  <w14:defaultImageDpi w14:val="300"/>
  <w15:docId w15:val="{8FAB232A-73DF-406D-ADFB-0950F8FD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spacing w:line="240" w:lineRule="auto"/>
    </w:pPr>
    <w:rPr>
      <w:b/>
      <w:bCs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7659</Words>
  <Characters>51547</Characters>
  <Application>Microsoft Office Word</Application>
  <DocSecurity>0</DocSecurity>
  <Lines>805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</dc:title>
  <dc:subject/>
  <dc:creator/>
  <cp:keywords/>
  <dc:description/>
  <cp:lastModifiedBy/>
  <cp:revision>2</cp:revision>
  <dcterms:created xsi:type="dcterms:W3CDTF">2026-10-05T08:25:00Z</dcterms:created>
  <dcterms:modified xsi:type="dcterms:W3CDTF">2026-10-05T08:25:00Z</dcterms:modified>
  <cp:category/>
</cp:coreProperties>
</file>