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Information</w:t>
      </w:r>
    </w:p>
    <w:p>
      <w:r>
        <w:t>Buyer and seller value from optional automated bargaining in electronic commerce</w:t>
      </w:r>
    </w:p>
    <w:p>
      <w:r>
        <w:t>Bankatesh Choudhary and Meenakshi Sharma</w:t>
      </w:r>
    </w:p>
    <w:p>
      <w:pPr>
        <w:pStyle w:val="Heading1"/>
      </w:pPr>
      <w:r>
        <w:t>Scope and interpretation</w:t>
      </w:r>
    </w:p>
    <w:p>
      <w:r>
        <w:t>This supplement documents the numerical checks supporting a conditional model of buyer and seller value. Positive average reference outcomes coexist with adverse product contexts and structural settings. All outcomes below are simulated or analytically computed unless explicitly identified as supporting public-data analyses. None is an observed retail treatment effect.</w:t>
      </w:r>
    </w:p>
    <w:p>
      <w:r>
        <w:t>The primary configuration has exogenous uptake 0.5, fallback 0.5, acceptance coefficient 0.25 and separate buyer and seller costs of 0.005 listing-price units per attempted round. Unsuccessful negotiations remain in every original-opportunity denominator. The independent inferential units are 193 product contexts; 80 opportunities and five frozen learned seeds are averaged within each product. Values are normalised, not profit percentages.</w:t>
      </w:r>
    </w:p>
    <w:p>
      <w:r>
        <w:t>Supplementary Tables S1–S5 give the stress settings, all acceptance cells, seed variation, category influence and fresh structural results. Supplementary Data 1 supplies exact CSV/JSON values, product distributions and figure coordinates. Numerical means are not rounded before analysis; this document rounds only for presentation.</w:t>
      </w:r>
    </w:p>
    <w:p>
      <w:r>
        <w:br w:type="page"/>
      </w:r>
    </w:p>
    <w:p>
      <w:pPr>
        <w:pStyle w:val="Caption"/>
        <w:keepNext/>
        <w:keepLines/>
      </w:pPr>
      <w:r>
        <w:rPr>
          <w:b/>
        </w:rPr>
        <w:t xml:space="preserve">Supplementary Table S1 </w:t>
      </w:r>
      <w:r>
        <w:t>Structural sensitivity settings</w:t>
      </w:r>
    </w:p>
    <w:tbl>
      <w:tblPr>
        <w:tblW w:type="auto" w:w="0"/>
        <w:tblLayout w:type="fixed"/>
        <w:tblLook w:firstColumn="1" w:firstRow="1" w:lastColumn="0" w:lastRow="0" w:noHBand="0" w:noVBand="1" w:val="04A0"/>
      </w:tblPr>
      <w:tblGrid>
        <w:gridCol w:w="3024"/>
        <w:gridCol w:w="1728"/>
        <w:gridCol w:w="4320"/>
      </w:tblGrid>
      <w:tr>
        <w:trPr>
          <w:cantSplit/>
          <w:tblHeader/>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left"/>
            </w:pPr>
            <w:r>
              <w:rPr>
                <w:b/>
                <w:sz w:val="21"/>
              </w:rPr>
              <w:t>Setting</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Floor multiplier</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Value distribution</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 replay</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0.8</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Uniform [0.60, 1.15]</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floor</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0.65</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Uniform [0.60, 1.15]</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0.95</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Uniform [0.60, 1.15]</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values</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0.8</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Uniform [0.50, 1.05]</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values</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0.8</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Uniform [0.70, 1.25]</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skew</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0.8</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Beta(2,5) scaled [0.60, 1.15]</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skew</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0.8</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Beta(5,2) scaled [0.60, 1.15]</w:t>
            </w:r>
          </w:p>
        </w:tc>
      </w:tr>
      <w:tr>
        <w:trPr>
          <w:cantSplit/>
        </w:trPr>
        <w:tc>
          <w:tcPr>
            <w:tcW w:type="dxa" w:w="302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 lower values</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0.95</w:t>
            </w:r>
          </w:p>
        </w:tc>
        <w:tc>
          <w:tcPr>
            <w:tcW w:type="dxa" w:w="43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Uniform [0.50, 1.05]</w:t>
            </w:r>
          </w:p>
        </w:tc>
      </w:tr>
    </w:tbl>
    <w:p>
      <w:pPr>
        <w:spacing w:line="276" w:lineRule="auto"/>
      </w:pPr>
      <w:r>
        <w:rPr>
          <w:sz w:val="20"/>
        </w:rPr>
        <w:t>Note. Eight settings were fixed in the local 5 October 2026 extension protocol before the new runs, after earlier outcomes had already been inspected. Each uses 193 products × 80 matched opportunities, four policy families and five frozen seeds for each learned family. The floor is clipped to [0.20, 0.95] and rounded upward to cents. Values are synthetic listing-price ratios. These are stipulated stress settings, not estimated distributions.</w:t>
      </w:r>
    </w:p>
    <w:p>
      <w:r>
        <w:br w:type="page"/>
      </w:r>
    </w:p>
    <w:p>
      <w:pPr>
        <w:pStyle w:val="Caption"/>
        <w:keepNext/>
        <w:keepLines/>
      </w:pPr>
      <w:r>
        <w:rPr>
          <w:b/>
        </w:rPr>
        <w:t xml:space="preserve">Supplementary Table S2 </w:t>
      </w:r>
      <w:r>
        <w:t>Acceptance sensitivity for all policy and environment settings</w:t>
      </w:r>
    </w:p>
    <w:tbl>
      <w:tblPr>
        <w:tblW w:type="auto" w:w="0"/>
        <w:tblLayout w:type="fixed"/>
        <w:tblLook w:firstColumn="1" w:firstRow="1" w:lastColumn="0" w:lastRow="0" w:noHBand="0" w:noVBand="1" w:val="04A0"/>
      </w:tblPr>
      <w:tblGrid>
        <w:gridCol w:w="1872"/>
        <w:gridCol w:w="1800"/>
        <w:gridCol w:w="2700"/>
        <w:gridCol w:w="2700"/>
      </w:tblGrid>
      <w:tr>
        <w:trPr>
          <w:cantSplit/>
          <w:tblHeader/>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left"/>
            </w:pPr>
            <w:r>
              <w:rPr>
                <w:b/>
                <w:sz w:val="21"/>
              </w:rPr>
              <w:t>Environment and acceptance</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Policy</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Seller increment [95% interval]</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Buyer increment [95% interval]</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0.0152 [0.0109, 0.0197]</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0.0024 [0.0007, 0.0042]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0.0133 [0.0091, 0.0176]</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0.0043 [0.0021, 0.0066]</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0.0116 [0.0078, 0.0157]</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0.0016 [0.0005, 0.0028]</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0.0110 [0.0073, 0.0150]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0.0010 [−⁠0.0000, 0.0021]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0.0144 [0.0102, 0.0189]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0.0039 [0.0021, 0.0057]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0.0114 [0.0073, 0.0158]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0.0075 [0.0052, 0.0099]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0.0098 [0.0060, 0.0139]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0.0049 [0.0038, 0.0061]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0.0081 [0.0044, 0.0120]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0.0060 [0.0049, 0.0071]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0.0153 [0.0111, 0.0198]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0.0044 [0.0027, 0.0062]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0.0125 [0.0083, 0.0169]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0.0086 [0.0064, 0.0109]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0.0115 [0.0075, 0.0157]</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0.0058 [0.0047, 0.0070]</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0.0088 [0.0049, 0.0130]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0.0090 [0.0080, 0.0100]</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0.0260 [0.0212, 0.0309]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−⁠0.0006 [−⁠0.0018, 0.0007]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0.0229 [0.0181, 0.0279]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0.0040 [0.0024, 0.0057]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0.0230 [0.0186, 0.0276]</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0.0005 [−⁠0.0002, 0.0012]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0.0149 [0.0106, 0.0196]</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0.0096 [0.0089, 0.0103]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−⁠0.0192 [−⁠0.0220, −⁠0.0158]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−⁠0.0032 [−⁠0.0061, −⁠0.0002]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−⁠0.0164 [−⁠0.0196, −⁠0.0128]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0.0040 [0.0004, 0.0077]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−⁠0.0214 [−⁠0.0234, −⁠0.0191]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−⁠0.0026 [−⁠0.0045, −⁠0.0006]</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−⁠0.0220 [−⁠0.0238, −⁠0.0199]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−⁠0.0038 [−⁠0.0057, −⁠0.0019]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−⁠0.0175 [−⁠0.0205, −⁠0.0140]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0.0012 [−⁠0.0018, 0.0043]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−⁠0.0150 [−⁠0.0183, −⁠0.0112]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0.0103 [0.0063, 0.0143]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−⁠0.0176 [−⁠0.0200, −⁠0.0150]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0.0036 [0.0014, 0.0058]</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−⁠0.0174 [−⁠0.0197, −⁠0.0148]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0.0037 [0.0016, 0.0057]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−⁠0.0125 [−⁠0.0158, −⁠0.0089]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0.0047 [0.0019, 0.0076]</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−⁠0.0084 [−⁠0.0120, −⁠0.0042]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0.0145 [0.0110, 0.0180]</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−⁠0.0079 [−⁠0.0110, −⁠0.0045]</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0.0066 [0.0049, 0.0084]</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−⁠0.0068 [−⁠0.0100, −⁠0.0032]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0.0102 [0.0086, 0.0120]</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0.0146 [0.0105, 0.0190]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0.0015 [−⁠0.0000, 0.0031]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0.0193 [0.0149, 0.0239]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0.0076 [0.0056, 0.0097]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0.0221 [0.0178, 0.0266]</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0.0014 [0.0005, 0.0022]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0.0170 [0.0125, 0.0217]</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0.0107 [0.0099, 0.0114]</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0.0073 [0.0026, 0.0125]</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−⁠0.0087 [−⁠0.0095, −⁠0.0079]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0.0086 [0.0035, 0.0142]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−⁠0.0075 [−⁠0.0086, −⁠0.0064]</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0.0029 [−⁠0.0009, 0.0070]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−⁠0.0101 [−⁠0.0105, −⁠0.0097]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0.0021 [−⁠0.0015, 0.0060]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−⁠0.0104 [−⁠0.0107, −⁠0.0100]</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0.0073 [0.0026, 0.0124]</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−⁠0.0086 [−⁠0.0094, −⁠0.0078]</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0.0085 [0.0034, 0.0140]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−⁠0.0072 [−⁠0.0083, −⁠0.0061]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0.0029 [−⁠0.0009, 0.0069]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−⁠0.0100 [−⁠0.0104, −⁠0.0096]</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0.25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0.0020 [−⁠0.0015, 0.0059]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−⁠0.0102 [−⁠0.0106, −⁠0.0098]</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0.0074 [0.0027, 0.0126]</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−⁠0.0086 [−⁠0.0094, −⁠0.0077]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0.0086 [0.0035, 0.0142]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−⁠0.0071 [−⁠0.0082, −⁠0.0059]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0.0030 [−⁠0.0008, 0.0071]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−⁠0.0099 [−⁠0.0103, −⁠0.0095]</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0.5</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0.0022 [−⁠0.0014, 0.0061]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−⁠0.0101 [−⁠0.0105, −⁠0.0097]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0.0078 [0.0030, 0.0131]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−⁠0.0087 [−⁠0.0095, −⁠0.0079]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0.0093 [0.0040, 0.0151]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−⁠0.0074 [−⁠0.0084, −⁠0.0063]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0.0038 [−⁠0.0002, 0.0080]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−⁠0.0103 [−⁠0.0106, −⁠0.0099]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a = 1</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0.0033 [−⁠0.0005, 0.0075]</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−⁠0.0105 [−⁠0.0107, −⁠0.0102]</w:t>
            </w:r>
          </w:p>
        </w:tc>
      </w:tr>
    </w:tbl>
    <w:p>
      <w:pPr>
        <w:spacing w:line="276" w:lineRule="auto"/>
      </w:pPr>
      <w:r>
        <w:rPr>
          <w:sz w:val="20"/>
        </w:rPr>
        <w:t>Note. Uptake and fallback 0.5; separate participant costs 0.005 per round. Listing-price units per original opportunity. Marginal 95% percentile intervals use 2,000 paired resamples of 193 products, averaging 80 opportunities and fixed learner seeds within product. No simultaneous coverage or confirmatory multiple-testing claim is intended. The machine-readable version is S2_acceptance_intervals.csv in Supplementary Data 1.</w:t>
      </w:r>
    </w:p>
    <w:p>
      <w:r>
        <w:br w:type="page"/>
      </w:r>
    </w:p>
    <w:p>
      <w:pPr>
        <w:pStyle w:val="Caption"/>
        <w:keepNext/>
        <w:keepLines/>
      </w:pPr>
      <w:r>
        <w:rPr>
          <w:b/>
        </w:rPr>
        <w:t xml:space="preserve">Supplementary Table S3 </w:t>
      </w:r>
      <w:r>
        <w:t>Seed-specific mean outcomes</w:t>
      </w:r>
    </w:p>
    <w:tbl>
      <w:tblPr>
        <w:tblW w:type="auto" w:w="0"/>
        <w:tblLayout w:type="fixed"/>
        <w:tblLook w:firstColumn="1" w:firstRow="1" w:lastColumn="0" w:lastRow="0" w:noHBand="0" w:noVBand="1" w:val="04A0"/>
      </w:tblPr>
      <w:tblGrid>
        <w:gridCol w:w="2520"/>
        <w:gridCol w:w="936"/>
        <w:gridCol w:w="1944"/>
        <w:gridCol w:w="1944"/>
        <w:gridCol w:w="1728"/>
      </w:tblGrid>
      <w:tr>
        <w:trPr>
          <w:cantSplit/>
          <w:tblHeader/>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left"/>
            </w:pPr>
            <w:r>
              <w:rPr>
                <w:b/>
                <w:sz w:val="21"/>
              </w:rPr>
              <w:t>Environment and policy</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Seeds</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Seller range</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Buyer range</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Positive seller; buyer</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Time concession</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0.0098 to 0.0098</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0.0049 to 0.0049</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1/1; 1/1</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Buyer responsive</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0.0081 to 0.0081</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0.0060 to 0.0060</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1/1; 1/1</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Full-state FQI</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0.0141 to 0.0148</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0.0032 to 0.0045</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5/5; 5/5</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Clock-only FQI</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0.0105 to 0.0119</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0.0065 to 0.0085</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5/5; 5/5</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Time concession</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−⁠0.0176 to −⁠0.0176</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0.0036 to 0.0036</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0/1; 1/1</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Buyer responsive</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−⁠0.0174 to −⁠0.0174</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0.0037 to 0.0037</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0/1; 1/1</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Full-state FQI</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−⁠0.0185 to −⁠0.0170</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−⁠0.0022 to 0.0040</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0/5; 3/5</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Clock-only FQI</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−⁠0.0153 to −⁠0.0145</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0.0094 to 0.0113</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0/5; 5/5</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Time concession</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0.0029 to 0.0029</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−⁠0.0100 to −⁠0.0100</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1/1; 0/1</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Buyer responsive</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0.0020 to 0.0020</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−⁠0.0102 to −⁠0.0102</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1/1; 0/1</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Full-state FQI</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0.0070 to 0.0076</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−⁠0.0088 to −⁠0.0083</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5/5; 0/5</w:t>
            </w:r>
          </w:p>
        </w:tc>
      </w:tr>
      <w:tr>
        <w:trPr>
          <w:cantSplit/>
        </w:trPr>
        <w:tc>
          <w:tcPr>
            <w:tcW w:type="dxa" w:w="252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Clock-only FQI</w:t>
            </w:r>
          </w:p>
        </w:tc>
        <w:tc>
          <w:tcPr>
            <w:tcW w:type="dxa" w:w="93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0.0080 to 0.0088</w:t>
            </w:r>
          </w:p>
        </w:tc>
        <w:tc>
          <w:tcPr>
            <w:tcW w:type="dxa" w:w="194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−⁠0.0075 to −⁠0.0070</w:t>
            </w:r>
          </w:p>
        </w:tc>
        <w:tc>
          <w:tcPr>
            <w:tcW w:type="dxa" w:w="1728"/>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5/5; 0/5</w:t>
            </w:r>
          </w:p>
        </w:tc>
      </w:tr>
    </w:tbl>
    <w:p>
      <w:pPr>
        <w:spacing w:line="276" w:lineRule="auto"/>
      </w:pPr>
      <w:r>
        <w:rPr>
          <w:sz w:val="20"/>
        </w:rPr>
        <w:t>Note. Ranges are descriptive across fixed seeds, not confidence intervals over a seed population. Rules have one deterministic instance. Means use all 193 products and primary accounting settings. Seed-level values, including joint increments, are in seed_means.csv.</w:t>
      </w:r>
    </w:p>
    <w:p>
      <w:r>
        <w:br w:type="page"/>
      </w:r>
    </w:p>
    <w:p>
      <w:pPr>
        <w:pStyle w:val="Caption"/>
        <w:keepNext/>
        <w:keepLines/>
      </w:pPr>
      <w:r>
        <w:rPr>
          <w:b/>
        </w:rPr>
        <w:t xml:space="preserve">Supplementary Table S4 </w:t>
      </w:r>
      <w:r>
        <w:t>Leave-one-category-out sensitivity</w:t>
      </w:r>
    </w:p>
    <w:tbl>
      <w:tblPr>
        <w:tblW w:type="auto" w:w="0"/>
        <w:tblLayout w:type="fixed"/>
        <w:tblLook w:firstColumn="1" w:firstRow="1" w:lastColumn="0" w:lastRow="0" w:noHBand="0" w:noVBand="1" w:val="04A0"/>
      </w:tblPr>
      <w:tblGrid>
        <w:gridCol w:w="2304"/>
        <w:gridCol w:w="1152"/>
        <w:gridCol w:w="2016"/>
        <w:gridCol w:w="2016"/>
        <w:gridCol w:w="1584"/>
      </w:tblGrid>
      <w:tr>
        <w:trPr>
          <w:cantSplit/>
          <w:tblHeader/>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left"/>
            </w:pPr>
            <w:r>
              <w:rPr>
                <w:b/>
                <w:sz w:val="21"/>
              </w:rPr>
              <w:t>Environment and policy</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Deletions</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Seller range</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Buyer range</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Products retained</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Time concession</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0.0079 to 0.0136</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0.0042 to 0.0059</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Buyer responsive</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0.0063 to 0.0118</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0.0053 to 0.0068</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Full-state FQI</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0.0121 to 0.0183</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0.0028 to 0.0056</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w:t>
              <w:br/>
              <w:t>Clock-only FQI</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0.0092 to 0.0154</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0.0059 to 0.0095</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Time concession</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−⁠0.0183 to −⁠0.0156</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0.0021 to 0.0057</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Buyer responsive</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−⁠0.0182 to −⁠0.0153</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0.0022 to 0.0055</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Full-state FQI</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−⁠0.0187 to −⁠0.0145</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−⁠0.0019 to 0.0042</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Stubborn offers</w:t>
              <w:br/>
              <w:t>Clock-only FQI</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−⁠0.0162 to −⁠0.0120</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0.0068 to 0.0140</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Time concession</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0.0013 to 0.0067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−⁠0.0102 to −⁠0.0096</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Buyer responsive</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0.0007 to 0.0058</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−⁠0.0104 to −⁠0.0098</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Full-state FQI</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0.0044 to 0.0121</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−⁠0.0092 to −⁠0.0078</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r>
        <w:trPr>
          <w:cantSplit/>
        </w:trPr>
        <w:tc>
          <w:tcPr>
            <w:tcW w:type="dxa" w:w="230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 valuations</w:t>
              <w:br/>
              <w:t>Clock-only FQI</w:t>
            </w:r>
          </w:p>
        </w:tc>
        <w:tc>
          <w:tcPr>
            <w:tcW w:type="dxa" w:w="115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17</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0.0058 to 0.0138</w:t>
            </w:r>
          </w:p>
        </w:tc>
        <w:tc>
          <w:tcPr>
            <w:tcW w:type="dxa" w:w="2016"/>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−⁠0.0080 to −⁠0.0062</w:t>
            </w:r>
          </w:p>
        </w:tc>
        <w:tc>
          <w:tcPr>
            <w:tcW w:type="dxa" w:w="1584"/>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130–192</w:t>
            </w:r>
          </w:p>
        </w:tc>
      </w:tr>
    </w:tbl>
    <w:p>
      <w:pPr>
        <w:spacing w:line="276" w:lineRule="auto"/>
      </w:pPr>
      <w:r>
        <w:rPr>
          <w:sz w:val="20"/>
        </w:rPr>
        <w:t>Note. Each row summarises deletion of each represented evaluation category, one at a time. Products retain equal weights in each reduced sample; seeds and repetitions are first averaged within product. This measures category influence on the existing evaluation, not unseen-category transfer, independent replication or retraining. All deletion results are in leave_category_out.csv.</w:t>
      </w:r>
    </w:p>
    <w:p>
      <w:r>
        <w:br w:type="page"/>
      </w:r>
    </w:p>
    <w:p>
      <w:pPr>
        <w:pStyle w:val="Caption"/>
        <w:keepNext/>
        <w:keepLines/>
      </w:pPr>
      <w:r>
        <w:rPr>
          <w:b/>
        </w:rPr>
        <w:t xml:space="preserve">Supplementary Table S5 </w:t>
      </w:r>
      <w:r>
        <w:t>Fresh structural simulations of frozen policies</w:t>
      </w:r>
    </w:p>
    <w:tbl>
      <w:tblPr>
        <w:tblW w:type="auto" w:w="0"/>
        <w:tblLayout w:type="fixed"/>
        <w:tblLook w:firstColumn="1" w:firstRow="1" w:lastColumn="0" w:lastRow="0" w:noHBand="0" w:noVBand="1" w:val="04A0"/>
      </w:tblPr>
      <w:tblGrid>
        <w:gridCol w:w="1872"/>
        <w:gridCol w:w="1800"/>
        <w:gridCol w:w="2700"/>
        <w:gridCol w:w="2700"/>
      </w:tblGrid>
      <w:tr>
        <w:trPr>
          <w:cantSplit/>
          <w:tblHeader/>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left"/>
            </w:pPr>
            <w:r>
              <w:rPr>
                <w:b/>
                <w:sz w:val="21"/>
              </w:rPr>
              <w:t>Setting</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Policy</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Seller increment [95% interval]</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shd w:fill="EDEFF1"/>
            <w:vAlign w:val="center"/>
          </w:tcPr>
          <w:p>
            <w:pPr>
              <w:keepNext/>
              <w:spacing w:line="259" w:lineRule="auto" w:after="0"/>
              <w:jc w:val="center"/>
            </w:pPr>
            <w:r>
              <w:rPr>
                <w:b/>
                <w:sz w:val="21"/>
              </w:rPr>
              <w:t>Buyer increment [95% interval]</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 replay</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0.0098 [0.0060, 0.0139]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0.0049 [0.0038, 0.0061]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 replay</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0.0081 [0.0044, 0.0120]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0.0060 [0.0049, 0.0071]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 replay</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0.0144 [0.0102, 0.0189]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0.0039 [0.0021, 0.0057]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Reference replay</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0.0114 [0.0073, 0.0158]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0.0075 [0.0052, 0.0099]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0.0318 [0.0278, 0.0361]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0.0132 [0.0123, 0.0142]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0.0298 [0.0258, 0.0340]</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0.0135 [0.0126, 0.0145]</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0.0387 [0.0342, 0.0433]</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0.0151 [0.0135, 0.0169]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0.0349 [0.0305, 0.0395]</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0.0233 [0.0215, 0.0251]</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−⁠0.0013 [−⁠0.0043, 0.0023]</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−⁠0.0027 [−⁠0.0041, −⁠0.0014]</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−⁠0.0026 [−⁠0.0056, 0.0008]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−⁠0.0012 [−⁠0.0025, 0.0000]</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0.0009 [−⁠0.0025, 0.0048]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−⁠0.0040 [−⁠0.0056, −⁠0.0022]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−⁠0.0002 [−⁠0.0035, 0.0035]</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−⁠0.0018 [−⁠0.0040, 0.0003]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0.0164 [0.0122, 0.0209]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−⁠0.0014 [−⁠0.0023, −⁠0.0005]</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0.0155 [0.0115, 0.0199]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−⁠0.0014 [−⁠0.0022, −⁠0.0005]</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0.0204 [0.0158, 0.0255]</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−⁠0.0014 [−⁠0.0028, 0.0000]</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0.0190 [0.0142, 0.0243]</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0.0010 [−⁠0.0008, 0.0029]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0.0028 [−⁠0.0004, 0.0063]</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0.0109 [0.0095, 0.0123]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0.0007 [−⁠0.0025, 0.0042]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0.0132 [0.0119, 0.0145]</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0.0075 [0.0043, 0.0109]</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0.0082 [0.0061, 0.0103]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0.0032 [0.0002, 0.0062]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0.0131 [0.0104, 0.0159]</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0.0146 [0.0095, 0.0201]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−⁠0.0072 [−⁠0.0079, −⁠0.0065]</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0.0136 [0.0087, 0.0188]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−⁠0.0075 [−⁠0.0081, −⁠0.0068]</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0.0205 [0.0142, 0.0272]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−⁠0.0056 [−⁠0.0069, −⁠0.0044]</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Lower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0.0198 [0.0136, 0.0266]</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−⁠0.0039 [−⁠0.0054, −⁠0.0022]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0.0078 [0.0047, 0.0111]</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0.0180 [0.0162, 0.0197]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0.0063 [0.0031, 0.0097]</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0.0198 [0.0183, 0.0214]</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0.0114 [0.0087, 0.0142]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0.0142 [0.0118, 0.0167]</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skew</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0.0062 [0.0038, 0.0088]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0.0195 [0.0163, 0.0228]</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 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Time concession</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0.0024 [−⁠0.0012, 0.0063]</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−⁠0.0064 [−⁠0.0073, −⁠0.0055]</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 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Buyer responsive</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0.0019 [−⁠0.0016, 0.0058]</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−⁠0.0061 [−⁠0.0070, −⁠0.0052]</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 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Full-state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0.0039 [−⁠0.0002, 0.0082]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−⁠0.0066 [−⁠0.0078, −⁠0.0053]</w:t>
            </w:r>
          </w:p>
        </w:tc>
      </w:tr>
      <w:tr>
        <w:trPr>
          <w:cantSplit/>
        </w:trPr>
        <w:tc>
          <w:tcPr>
            <w:tcW w:type="dxa" w:w="1872"/>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left"/>
            </w:pPr>
            <w:r>
              <w:rPr>
                <w:b w:val="0"/>
                <w:sz w:val="21"/>
              </w:rPr>
              <w:t>Higher floor lower values</w:t>
            </w:r>
          </w:p>
        </w:tc>
        <w:tc>
          <w:tcPr>
            <w:tcW w:type="dxa" w:w="18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Clock-only FQI</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0.0037 [−⁠0.0004, 0.0082]</w:t>
            </w:r>
          </w:p>
        </w:tc>
        <w:tc>
          <w:tcPr>
            <w:tcW w:type="dxa" w:w="2700"/>
            <w:tcMar>
              <w:top w:w="85" w:type="dxa"/>
              <w:bottom w:w="85" w:type="dxa"/>
              <w:left w:w="85" w:type="dxa"/>
              <w:right w:w="85" w:type="dxa"/>
            </w:tcMar>
            <w:tcBorders>
              <w:top w:val="single" w:sz="4" w:color="D9D9D9"/>
              <w:bottom w:val="single" w:sz="4" w:color="D9D9D9"/>
              <w:left w:val="single" w:sz="4" w:color="D9D9D9"/>
              <w:right w:val="single" w:sz="4" w:color="D9D9D9"/>
            </w:tcBorders>
            <w:vAlign w:val="center"/>
          </w:tcPr>
          <w:p>
            <w:pPr>
              <w:keepNext w:val="0"/>
              <w:spacing w:line="259" w:lineRule="auto" w:after="0"/>
              <w:jc w:val="center"/>
            </w:pPr>
            <w:r>
              <w:rPr>
                <w:b w:val="0"/>
                <w:sz w:val="21"/>
              </w:rPr>
              <w:t>−⁠0.0052 [−⁠0.0067, −⁠0.0036]</w:t>
            </w:r>
          </w:p>
        </w:tc>
      </w:tr>
    </w:tbl>
    <w:p>
      <w:pPr>
        <w:spacing w:line="276" w:lineRule="auto"/>
      </w:pPr>
      <w:r>
        <w:rPr>
          <w:sz w:val="20"/>
        </w:rPr>
        <w:t>Note. Complete trajectories were regenerated for every setting. Original random ranks, initial empirical bid draws before capping, deadlines, types and abandonment uniforms are matched. Private value distributions and/or proxy floors change as specified in Supplementary Table S1. Accounting settings and bootstrap procedure match Supplementary Table S2. All 32 cells are retained. 1,482,240 executions include 185,280 reference replays. They do not increase the number of independently observed humans or product clusters.</w:t>
      </w:r>
    </w:p>
    <w:p>
      <w:r>
        <w:br w:type="page"/>
      </w:r>
    </w:p>
    <w:p>
      <w:pPr>
        <w:pStyle w:val="Heading1"/>
      </w:pPr>
      <w:r>
        <w:t>Supplementary Methods</w:t>
      </w:r>
    </w:p>
    <w:p>
      <w:pPr>
        <w:pStyle w:val="Heading2"/>
      </w:pPr>
      <w:r>
        <w:t>Accounting and feasibility</w:t>
      </w:r>
    </w:p>
    <w:p>
      <w:r>
        <w:t>The executable model computes separate seller and buyer gross gains relative to checkout, eligible failed-sale recovery and expected attempted rounds. Increment equals the gain without fallback plus fallback probability times recoverable surplus minus the participant-specific round cost times expected attempted rounds. The independent route oracle instead reconstructs purchase probabilities, receipts, proxy expenditure and customer value. The equality of these implementations is checked on every new trajectory. A cost ceiling divides the mean gross increment at a stated fallback by mean attempted rounds. Figure 5 classifies point estimates with independently variable seller and buyer costs; a positive mean for both parties does not imply every opportunity improves.</w:t>
      </w:r>
    </w:p>
    <w:p>
      <w:pPr>
        <w:pStyle w:val="Heading2"/>
      </w:pPr>
      <w:r>
        <w:t>Uncertainty and robustness</w:t>
      </w:r>
    </w:p>
    <w:p>
      <w:r>
        <w:t>The product bootstrap uses 2,000 paired resamples with random seed 20261002. It averages five fixed learned seeds within product rather than treating seeds as independent customers. Boundary intervals are pointwise marginal intervals at 101 fallback probabilities. No simultaneous confidence region is claimed for the colour map, no product-selection rule is fitted, and no familywise significance claim is made. Seed ranges and category-deletion ranges are descriptive; 10th percentiles, medians, 90th percentiles and negative-product counts are retained in product_distribution.csv.</w:t>
      </w:r>
    </w:p>
    <w:p>
      <w:pPr>
        <w:pStyle w:val="Heading2"/>
      </w:pPr>
      <w:r>
        <w:t>Structural regeneration</w:t>
      </w:r>
    </w:p>
    <w:p>
      <w:r>
        <w:t>The 5 October 2026 protocol changes proxy floor factors and valuation distributions while holding trained policies fixed. The original hashed per-product random stream generates a uniform valuation rank, an empirical opening draw, a deadline and abandonment uniforms for each opportunity. Uniform shifts map the rank into a new support; beta shapes use inverse-CDF mapping on the reference support. The empirical opening is then capped at 0.9 times the newly drawn value. Offers, acceptance, abandonment, prices and rounds are recomputed. Merely reweighting old outcomes would be invalid because changed floors and values affect actions and stopping.</w:t>
      </w:r>
    </w:p>
    <w:p>
      <w:pPr>
        <w:pStyle w:val="Heading2"/>
      </w:pPr>
      <w:r>
        <w:t>Verification</w:t>
      </w:r>
    </w:p>
    <w:p>
      <w:r>
        <w:t>All reference trajectories agree with canonical outcomes to absolute tolerance 10⁻¹², including learned seeds. Bounds, cents projection, failure-price missingness and seller-plus-buyer surplus conservation pass for all 1,482,240 new executions. The independent receipt-based route oracle agrees for every row. All ten model checkpoint hashes remain unchanged. These are same-team numerical checks, not independent external validation. Earlier integration and accounting tests are included in the computational archive with their original dates.</w:t>
      </w:r>
    </w:p>
    <w:p>
      <w:pPr>
        <w:pStyle w:val="Heading2"/>
      </w:pPr>
      <w:r>
        <w:t>Code and data access</w:t>
      </w:r>
    </w:p>
    <w:p>
      <w:r>
        <w:t>Supplementary Data 1 contains the numerical tables needed to inspect the reported results without loading model binaries. The companion reviewer code archive preserves repository-relative directories and provides analysis and figure commands, recorded versions and SHA256 manifests. The full local author archive additionally retains restricted source derivatives for preservation; it must not be publicly deposited until applicable rights are confirmed. The shareable archive omits raw dialogue text and original-source numerical Craigslist tables. Acquisition and transformation scripts document reconstruction from upstream sources; that step requires separately obtained source data and is not described as an already verified independent replay.</w:t>
      </w:r>
    </w:p>
    <w:p>
      <w:pPr>
        <w:pStyle w:val="Heading2"/>
      </w:pPr>
      <w:r>
        <w:t>Why these algorithms and checks are relevant</w:t>
      </w:r>
    </w:p>
    <w:p>
      <w:r>
        <w:t>A time-concession rule is an interpretable clock-driven comparator. A buyer-responsive rule tests whether direct bid response helps. Full-state fitted Q iteration approximates a seller reward policy from simulated interactions; its clock-only counterpart controls for the contribution of additional public offer-history features under the same budget. No learner receives private customer values, deadlines or behavioural labels. The checkout counterfactual tests channel value rather than imitation accuracy. Product distributions test whether average gains hide adverse contexts; structural reruns test dependence on unobserved costs and values. These choices do not identify real customer preferences or establish the complete BM3IL architecture.</w:t>
      </w:r>
    </w:p>
    <w:p>
      <w:pPr>
        <w:pStyle w:val="Heading2"/>
      </w:pPr>
      <w:r>
        <w:t>Source permissions and participant data</w:t>
      </w:r>
    </w:p>
    <w:p>
      <w:r>
        <w:t>AmazonHistoryPrice is distributed with an Apache 2.0 repository licence; CaSiNo supplies a CC BY 4.0 licence. Notices and source attribution are retained for their numerical derivatives. The CoCoA software repository has an MIT licence, but this alone does not establish redistribution rights for the separately hosted Craigslist corpus. Raw utterances, personal identifiers, unused demographic and personality fields are not supplied. CaSiNo’s original publication reports institutional review and informed consent; no new participant consent or institutional exemption for this secondary analysis is claimed. All six figures are original renderings of this study’s numerical outputs or workflow; no third-party figure is reproduced.</w:t>
      </w:r>
    </w:p>
    <w:p>
      <w:pPr>
        <w:pStyle w:val="Heading1"/>
      </w:pPr>
      <w:r>
        <w:t>Numerical file index</w:t>
      </w:r>
    </w:p>
    <w:p>
      <w:r>
        <w:t>S2_acceptance_intervals.csv: marginal product-bootstrap results across all acceptance settings; source of Supplementary Table S2 and Figure 4.</w:t>
      </w:r>
    </w:p>
    <w:p>
      <w:r>
        <w:t>product_outcomes.csv and product_distribution.csv: all 193 product means and distribution summaries for each primary policy/environment; source of Figure 6 and Table 6.</w:t>
      </w:r>
    </w:p>
    <w:p>
      <w:r>
        <w:t>seed_means.csv and leave_category_out.csv: source of Supplementary Tables S3–S4 and Table 6.</w:t>
      </w:r>
    </w:p>
    <w:p>
      <w:r>
        <w:t>cost_boundaries.csv: marginal seller and buyer cost thresholds and intervals at 101 fallback probabilities, for all four policies and three environments; source of Figure 5.</w:t>
      </w:r>
    </w:p>
    <w:p>
      <w:r>
        <w:t>structural_intervals.csv, structural_product_outcomes.csv and structural_manifest.csv: all new structural outputs and trajectory-file hashes; source of Supplementary Table S5.</w:t>
      </w:r>
    </w:p>
    <w:p>
      <w:r>
        <w:t>original_analysis/: original primary intervals, grid, paired contrasts, decomposition, crossings and finite-set descriptive loss. These support Tables 4–5 and Figures 2–4.</w:t>
      </w:r>
    </w:p>
    <w:p>
      <w:r>
        <w:t>figure_data/: exact plotted coordinates for Figures 2–6. protocol.json and structural_verification.json document the extension and checks. README.txt specifies units, missingness and denominator rules.</w:t>
      </w:r>
    </w:p>
    <w:sectPr w:rsidR="00FC693F" w:rsidRPr="0006063C" w:rsidSect="00034616">
      <w:footerReference w:type="default" r:id="rId9"/>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instrText>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pPr>
    <w:rPr>
      <w:rFonts w:ascii="Times New Roman" w:hAnsi="Times New Roman"/>
      <w:color w:val="000000"/>
      <w:sz w:val="24"/>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264" w:lineRule="auto"/>
      <w:outlineLvl w:val="0"/>
    </w:pPr>
    <w:rPr>
      <w:rFonts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20" w:line="264" w:lineRule="auto"/>
      <w:outlineLvl w:val="2"/>
    </w:pPr>
    <w:rPr>
      <w:rFonts w:ascii="Times New Roman" w:hAnsi="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64" w:lineRule="auto" w:before="0"/>
      <w:contextualSpacing/>
    </w:pPr>
    <w:rPr>
      <w:rFonts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imes New Roman" w:hAnsi="Times New Roman"/>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76" w:lineRule="auto"/>
    </w:pPr>
    <w:rPr>
      <w:rFonts w:ascii="Times New Roman" w:hAnsi="Times New Roman"/>
      <w:b w:val="0"/>
      <w:bCs/>
      <w:i w:val="0"/>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
    <w:name w:val="Text"/>
    <w:basedOn w:val="Normal"/>
    <w:pPr>
      <w:widowControl/>
      <w:spacing w:line="276" w:lineRule="auto" w:after="140"/>
    </w:pPr>
    <w:rPr>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Conditional buyer and seller value from optional automated bargaining</dc:subject>
  <dc:creator>Bankatesh Choudhary; Meenakshi Sharma</dc:creator>
  <cp:keywords>electronic commerce; automated bargaining; checkout; participant value</cp:keywords>
  <dc:description/>
  <cp:lastModifiedBy/>
  <cp:revision>1</cp:revision>
  <dcterms:created xsi:type="dcterms:W3CDTF">2013-12-23T23:15:00Z</dcterms:created>
  <dcterms:modified xsi:type="dcterms:W3CDTF">2013-12-23T23:15:00Z</dcterms:modified>
  <cp:category/>
</cp:coreProperties>
</file>