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14069" w14:textId="2559EECF" w:rsidR="00902CB1" w:rsidRPr="00F01F42" w:rsidRDefault="00902CB1" w:rsidP="00F01F42">
      <w:pPr>
        <w:jc w:val="center"/>
        <w:rPr>
          <w:rFonts w:asciiTheme="majorBidi" w:hAnsiTheme="majorBidi" w:cstheme="majorBidi"/>
          <w:b/>
          <w:bCs/>
          <w:sz w:val="28"/>
          <w:szCs w:val="28"/>
        </w:rPr>
      </w:pPr>
      <w:r w:rsidRPr="00F01F42">
        <w:rPr>
          <w:rFonts w:asciiTheme="majorBidi" w:hAnsiTheme="majorBidi" w:cstheme="majorBidi"/>
          <w:b/>
          <w:bCs/>
          <w:sz w:val="28"/>
          <w:szCs w:val="28"/>
        </w:rPr>
        <w:t>Supplementary materials</w:t>
      </w:r>
    </w:p>
    <w:p w14:paraId="65E0C9EB" w14:textId="14FB3947" w:rsidR="00902CB1" w:rsidRPr="00DB18E5" w:rsidRDefault="00902CB1" w:rsidP="004711D4">
      <w:pPr>
        <w:spacing w:before="100" w:beforeAutospacing="1" w:after="100" w:afterAutospacing="1" w:line="240" w:lineRule="auto"/>
        <w:rPr>
          <w:rFonts w:asciiTheme="majorBidi" w:hAnsiTheme="majorBidi" w:cstheme="majorBidi"/>
          <w:bCs/>
        </w:rPr>
      </w:pPr>
      <w:r w:rsidRPr="00DB18E5">
        <w:rPr>
          <w:rFonts w:asciiTheme="majorBidi" w:hAnsiTheme="majorBidi" w:cstheme="majorBidi"/>
        </w:rPr>
        <w:t xml:space="preserve">Title: </w:t>
      </w:r>
      <w:r w:rsidR="004711D4" w:rsidRPr="004711D4">
        <w:rPr>
          <w:rFonts w:ascii="Times New Roman" w:eastAsia="Times New Roman" w:hAnsi="Times New Roman" w:cs="Times New Roman"/>
          <w:b/>
          <w:bCs/>
        </w:rPr>
        <w:t>Safety and efficacy of Glucagon-Like Peptide 1 Receptor Agonist and Sodium Glucose Transporter 2 inhibitor on major limb adverse events and mortality in peripheral artery disease and diabetes</w:t>
      </w:r>
    </w:p>
    <w:p w14:paraId="7BAF2B09" w14:textId="255E4412" w:rsidR="00902CB1" w:rsidRPr="002C505C" w:rsidRDefault="00902CB1" w:rsidP="004D2A15">
      <w:pPr>
        <w:pStyle w:val="MDPI13authornames"/>
        <w:spacing w:line="276" w:lineRule="auto"/>
        <w:rPr>
          <w:rFonts w:asciiTheme="majorBidi" w:hAnsiTheme="majorBidi" w:cstheme="majorBidi"/>
          <w:b w:val="0"/>
          <w:bCs/>
          <w:color w:val="000000" w:themeColor="text1"/>
          <w:sz w:val="24"/>
          <w:szCs w:val="24"/>
          <w:rtl/>
          <w:lang w:bidi="ar-SA"/>
        </w:rPr>
      </w:pPr>
      <w:r w:rsidRPr="002C505C">
        <w:rPr>
          <w:rFonts w:asciiTheme="majorBidi" w:hAnsiTheme="majorBidi" w:cstheme="majorBidi"/>
          <w:sz w:val="24"/>
          <w:szCs w:val="24"/>
        </w:rPr>
        <w:t xml:space="preserve">Authors: </w:t>
      </w:r>
      <w:proofErr w:type="spellStart"/>
      <w:r w:rsidR="00F01F42" w:rsidRPr="002C505C">
        <w:rPr>
          <w:rFonts w:asciiTheme="majorBidi" w:hAnsiTheme="majorBidi" w:cstheme="majorBidi"/>
          <w:sz w:val="24"/>
          <w:szCs w:val="24"/>
        </w:rPr>
        <w:t>Haitham</w:t>
      </w:r>
      <w:proofErr w:type="spellEnd"/>
      <w:r w:rsidR="00F01F42" w:rsidRPr="002C505C">
        <w:rPr>
          <w:rFonts w:asciiTheme="majorBidi" w:hAnsiTheme="majorBidi" w:cstheme="majorBidi"/>
          <w:sz w:val="24"/>
          <w:szCs w:val="24"/>
        </w:rPr>
        <w:t xml:space="preserve"> Abu Khadija, </w:t>
      </w:r>
      <w:r w:rsidR="004D2A15" w:rsidRPr="002C505C">
        <w:rPr>
          <w:rFonts w:asciiTheme="majorBidi" w:hAnsiTheme="majorBidi" w:cstheme="majorBidi"/>
          <w:color w:val="000000" w:themeColor="text1"/>
          <w:sz w:val="24"/>
          <w:szCs w:val="24"/>
        </w:rPr>
        <w:t xml:space="preserve">Elias </w:t>
      </w:r>
      <w:proofErr w:type="spellStart"/>
      <w:r w:rsidR="004D2A15" w:rsidRPr="002C505C">
        <w:rPr>
          <w:rFonts w:asciiTheme="majorBidi" w:hAnsiTheme="majorBidi" w:cstheme="majorBidi"/>
          <w:color w:val="000000" w:themeColor="text1"/>
          <w:sz w:val="24"/>
          <w:szCs w:val="24"/>
        </w:rPr>
        <w:t>Hellou</w:t>
      </w:r>
      <w:proofErr w:type="spellEnd"/>
      <w:r w:rsidR="004D2A15" w:rsidRPr="002C505C">
        <w:rPr>
          <w:rFonts w:asciiTheme="majorBidi" w:hAnsiTheme="majorBidi" w:cstheme="majorBidi"/>
          <w:sz w:val="24"/>
          <w:szCs w:val="24"/>
        </w:rPr>
        <w:t xml:space="preserve">, </w:t>
      </w:r>
      <w:r w:rsidR="00F01F42" w:rsidRPr="002C505C">
        <w:rPr>
          <w:rFonts w:asciiTheme="majorBidi" w:hAnsiTheme="majorBidi" w:cstheme="majorBidi"/>
          <w:sz w:val="24"/>
          <w:szCs w:val="24"/>
        </w:rPr>
        <w:t xml:space="preserve">Mohammad </w:t>
      </w:r>
      <w:proofErr w:type="spellStart"/>
      <w:r w:rsidR="00F01F42" w:rsidRPr="002C505C">
        <w:rPr>
          <w:rFonts w:asciiTheme="majorBidi" w:hAnsiTheme="majorBidi" w:cstheme="majorBidi"/>
          <w:sz w:val="24"/>
          <w:szCs w:val="24"/>
        </w:rPr>
        <w:t>Alnees</w:t>
      </w:r>
      <w:proofErr w:type="spellEnd"/>
      <w:r w:rsidR="00F01F42" w:rsidRPr="002C505C">
        <w:rPr>
          <w:rFonts w:asciiTheme="majorBidi" w:hAnsiTheme="majorBidi" w:cstheme="majorBidi"/>
          <w:sz w:val="24"/>
          <w:szCs w:val="24"/>
        </w:rPr>
        <w:t xml:space="preserve">, Enrique Z. Fisman, Kareem Ibraheem, Duha </w:t>
      </w:r>
      <w:proofErr w:type="spellStart"/>
      <w:r w:rsidR="00F01F42" w:rsidRPr="002C505C">
        <w:rPr>
          <w:rFonts w:asciiTheme="majorBidi" w:hAnsiTheme="majorBidi" w:cstheme="majorBidi"/>
          <w:sz w:val="24"/>
          <w:szCs w:val="24"/>
        </w:rPr>
        <w:t>Najajra</w:t>
      </w:r>
      <w:proofErr w:type="spellEnd"/>
      <w:r w:rsidR="00F01F42" w:rsidRPr="002C505C">
        <w:rPr>
          <w:rFonts w:asciiTheme="majorBidi" w:hAnsiTheme="majorBidi" w:cstheme="majorBidi"/>
          <w:sz w:val="24"/>
          <w:szCs w:val="24"/>
        </w:rPr>
        <w:t xml:space="preserve">, Ehud </w:t>
      </w:r>
      <w:proofErr w:type="spellStart"/>
      <w:r w:rsidR="00F01F42" w:rsidRPr="002C505C">
        <w:rPr>
          <w:rFonts w:asciiTheme="majorBidi" w:hAnsiTheme="majorBidi" w:cstheme="majorBidi"/>
          <w:sz w:val="24"/>
          <w:szCs w:val="24"/>
        </w:rPr>
        <w:t>Raanani</w:t>
      </w:r>
      <w:proofErr w:type="spellEnd"/>
      <w:r w:rsidR="00F01F42" w:rsidRPr="002C505C">
        <w:rPr>
          <w:rFonts w:asciiTheme="majorBidi" w:hAnsiTheme="majorBidi" w:cstheme="majorBidi"/>
          <w:sz w:val="24"/>
          <w:szCs w:val="24"/>
        </w:rPr>
        <w:t xml:space="preserve">, </w:t>
      </w:r>
      <w:r w:rsidR="004D2A15" w:rsidRPr="002C505C">
        <w:rPr>
          <w:rFonts w:asciiTheme="majorBidi" w:hAnsiTheme="majorBidi" w:cstheme="majorBidi"/>
          <w:sz w:val="24"/>
          <w:szCs w:val="24"/>
        </w:rPr>
        <w:t xml:space="preserve">Nizar Abu </w:t>
      </w:r>
      <w:proofErr w:type="spellStart"/>
      <w:r w:rsidR="004D2A15" w:rsidRPr="002C505C">
        <w:rPr>
          <w:rFonts w:asciiTheme="majorBidi" w:hAnsiTheme="majorBidi" w:cstheme="majorBidi"/>
          <w:sz w:val="24"/>
          <w:szCs w:val="24"/>
        </w:rPr>
        <w:t>Hamdeh</w:t>
      </w:r>
      <w:proofErr w:type="spellEnd"/>
      <w:r w:rsidR="004D2A15" w:rsidRPr="002C505C">
        <w:rPr>
          <w:rFonts w:asciiTheme="majorBidi" w:hAnsiTheme="majorBidi" w:cstheme="majorBidi"/>
          <w:sz w:val="24"/>
          <w:szCs w:val="24"/>
        </w:rPr>
        <w:t xml:space="preserve">, Mohammad </w:t>
      </w:r>
      <w:proofErr w:type="spellStart"/>
      <w:r w:rsidR="004D2A15" w:rsidRPr="002C505C">
        <w:rPr>
          <w:rFonts w:asciiTheme="majorBidi" w:hAnsiTheme="majorBidi" w:cstheme="majorBidi"/>
          <w:sz w:val="24"/>
          <w:szCs w:val="24"/>
        </w:rPr>
        <w:t>Masu'd</w:t>
      </w:r>
      <w:proofErr w:type="spellEnd"/>
      <w:r w:rsidR="004D2A15" w:rsidRPr="002C505C">
        <w:rPr>
          <w:rFonts w:asciiTheme="majorBidi" w:hAnsiTheme="majorBidi" w:cstheme="majorBidi"/>
          <w:sz w:val="24"/>
          <w:szCs w:val="24"/>
        </w:rPr>
        <w:t>,</w:t>
      </w:r>
      <w:r w:rsidR="002C505C" w:rsidRPr="002C505C">
        <w:rPr>
          <w:rFonts w:asciiTheme="majorBidi" w:hAnsiTheme="majorBidi" w:cstheme="majorBidi"/>
          <w:sz w:val="24"/>
          <w:szCs w:val="24"/>
        </w:rPr>
        <w:t xml:space="preserve"> </w:t>
      </w:r>
      <w:proofErr w:type="spellStart"/>
      <w:r w:rsidR="002C505C" w:rsidRPr="002C505C">
        <w:rPr>
          <w:rFonts w:asciiTheme="majorBidi" w:hAnsiTheme="majorBidi" w:cstheme="majorBidi"/>
          <w:color w:val="000000" w:themeColor="text1"/>
          <w:sz w:val="24"/>
          <w:szCs w:val="24"/>
        </w:rPr>
        <w:t>Jebrin</w:t>
      </w:r>
      <w:proofErr w:type="spellEnd"/>
      <w:r w:rsidR="002C505C" w:rsidRPr="002C505C">
        <w:rPr>
          <w:rFonts w:asciiTheme="majorBidi" w:hAnsiTheme="majorBidi" w:cstheme="majorBidi"/>
          <w:color w:val="000000" w:themeColor="text1"/>
          <w:sz w:val="24"/>
          <w:szCs w:val="24"/>
        </w:rPr>
        <w:t> </w:t>
      </w:r>
      <w:proofErr w:type="spellStart"/>
      <w:r w:rsidR="002C505C" w:rsidRPr="002C505C">
        <w:rPr>
          <w:rFonts w:asciiTheme="majorBidi" w:hAnsiTheme="majorBidi" w:cstheme="majorBidi"/>
          <w:color w:val="000000" w:themeColor="text1"/>
          <w:sz w:val="24"/>
          <w:szCs w:val="24"/>
        </w:rPr>
        <w:t>Alkrinawi</w:t>
      </w:r>
      <w:proofErr w:type="spellEnd"/>
      <w:r w:rsidR="002C505C" w:rsidRPr="002C505C">
        <w:rPr>
          <w:rFonts w:asciiTheme="majorBidi" w:hAnsiTheme="majorBidi" w:cstheme="majorBidi"/>
          <w:color w:val="000000" w:themeColor="text1"/>
          <w:sz w:val="24"/>
          <w:szCs w:val="24"/>
        </w:rPr>
        <w:t>,</w:t>
      </w:r>
      <w:r w:rsidR="002C505C" w:rsidRPr="002C505C">
        <w:rPr>
          <w:rFonts w:asciiTheme="majorBidi" w:hAnsiTheme="majorBidi" w:cstheme="majorBidi"/>
          <w:sz w:val="24"/>
          <w:szCs w:val="24"/>
        </w:rPr>
        <w:t xml:space="preserve"> </w:t>
      </w:r>
      <w:r w:rsidR="002C505C" w:rsidRPr="002C505C">
        <w:rPr>
          <w:rFonts w:asciiTheme="majorBidi" w:hAnsiTheme="majorBidi" w:cstheme="majorBidi"/>
          <w:sz w:val="24"/>
          <w:szCs w:val="24"/>
        </w:rPr>
        <w:t xml:space="preserve">Abed </w:t>
      </w:r>
      <w:proofErr w:type="spellStart"/>
      <w:r w:rsidR="002C505C" w:rsidRPr="002C505C">
        <w:rPr>
          <w:rFonts w:asciiTheme="majorBidi" w:hAnsiTheme="majorBidi" w:cstheme="majorBidi"/>
          <w:sz w:val="24"/>
          <w:szCs w:val="24"/>
        </w:rPr>
        <w:t>Qadan</w:t>
      </w:r>
      <w:proofErr w:type="spellEnd"/>
      <w:r w:rsidR="002C505C" w:rsidRPr="002C505C">
        <w:rPr>
          <w:rFonts w:asciiTheme="majorBidi" w:hAnsiTheme="majorBidi" w:cstheme="majorBidi"/>
          <w:sz w:val="24"/>
          <w:szCs w:val="24"/>
        </w:rPr>
        <w:t>,</w:t>
      </w:r>
      <w:r w:rsidR="00F01F42" w:rsidRPr="002C505C">
        <w:rPr>
          <w:rFonts w:asciiTheme="majorBidi" w:hAnsiTheme="majorBidi" w:cstheme="majorBidi"/>
          <w:sz w:val="24"/>
          <w:szCs w:val="24"/>
        </w:rPr>
        <w:t xml:space="preserve"> Yasmine Abu Khadija, Yahya Z. </w:t>
      </w:r>
      <w:proofErr w:type="spellStart"/>
      <w:r w:rsidR="00F01F42" w:rsidRPr="002C505C">
        <w:rPr>
          <w:rFonts w:asciiTheme="majorBidi" w:hAnsiTheme="majorBidi" w:cstheme="majorBidi"/>
          <w:sz w:val="24"/>
          <w:szCs w:val="24"/>
        </w:rPr>
        <w:t>Fraitekh</w:t>
      </w:r>
      <w:proofErr w:type="spellEnd"/>
      <w:r w:rsidR="00F01F42" w:rsidRPr="002C505C">
        <w:rPr>
          <w:rFonts w:asciiTheme="majorBidi" w:hAnsiTheme="majorBidi" w:cstheme="majorBidi"/>
          <w:sz w:val="24"/>
          <w:szCs w:val="24"/>
        </w:rPr>
        <w:t xml:space="preserve">, </w:t>
      </w:r>
      <w:proofErr w:type="spellStart"/>
      <w:r w:rsidR="00F01F42" w:rsidRPr="002C505C">
        <w:rPr>
          <w:rFonts w:asciiTheme="majorBidi" w:hAnsiTheme="majorBidi" w:cstheme="majorBidi"/>
          <w:sz w:val="24"/>
          <w:szCs w:val="24"/>
        </w:rPr>
        <w:t>Abdalaziz</w:t>
      </w:r>
      <w:proofErr w:type="spellEnd"/>
      <w:r w:rsidR="00F01F42" w:rsidRPr="002C505C">
        <w:rPr>
          <w:rFonts w:asciiTheme="majorBidi" w:hAnsiTheme="majorBidi" w:cstheme="majorBidi"/>
          <w:sz w:val="24"/>
          <w:szCs w:val="24"/>
        </w:rPr>
        <w:t xml:space="preserve"> </w:t>
      </w:r>
      <w:proofErr w:type="spellStart"/>
      <w:r w:rsidR="00F01F42" w:rsidRPr="002C505C">
        <w:rPr>
          <w:rFonts w:asciiTheme="majorBidi" w:hAnsiTheme="majorBidi" w:cstheme="majorBidi"/>
          <w:sz w:val="24"/>
          <w:szCs w:val="24"/>
        </w:rPr>
        <w:t>Darwish</w:t>
      </w:r>
      <w:proofErr w:type="spellEnd"/>
      <w:r w:rsidR="00F01F42" w:rsidRPr="002C505C">
        <w:rPr>
          <w:rFonts w:asciiTheme="majorBidi" w:hAnsiTheme="majorBidi" w:cstheme="majorBidi"/>
          <w:sz w:val="24"/>
          <w:szCs w:val="24"/>
        </w:rPr>
        <w:t xml:space="preserve">, </w:t>
      </w:r>
      <w:r w:rsidR="004D2A15" w:rsidRPr="002C505C">
        <w:rPr>
          <w:rFonts w:asciiTheme="majorBidi" w:hAnsiTheme="majorBidi" w:cstheme="majorBidi"/>
          <w:sz w:val="24"/>
          <w:szCs w:val="24"/>
        </w:rPr>
        <w:t xml:space="preserve">Osama </w:t>
      </w:r>
      <w:proofErr w:type="spellStart"/>
      <w:r w:rsidR="004D2A15" w:rsidRPr="002C505C">
        <w:rPr>
          <w:rFonts w:asciiTheme="majorBidi" w:hAnsiTheme="majorBidi" w:cstheme="majorBidi"/>
          <w:sz w:val="24"/>
          <w:szCs w:val="24"/>
        </w:rPr>
        <w:t>Hroub</w:t>
      </w:r>
      <w:proofErr w:type="spellEnd"/>
      <w:r w:rsidR="002C505C">
        <w:rPr>
          <w:rFonts w:asciiTheme="majorBidi" w:hAnsiTheme="majorBidi" w:cstheme="majorBidi"/>
          <w:sz w:val="24"/>
          <w:szCs w:val="24"/>
        </w:rPr>
        <w:t xml:space="preserve">, </w:t>
      </w:r>
      <w:r w:rsidR="00F01F42" w:rsidRPr="002C505C">
        <w:rPr>
          <w:rFonts w:asciiTheme="majorBidi" w:hAnsiTheme="majorBidi" w:cstheme="majorBidi"/>
          <w:sz w:val="24"/>
          <w:szCs w:val="24"/>
        </w:rPr>
        <w:t xml:space="preserve">Alexander </w:t>
      </w:r>
      <w:proofErr w:type="spellStart"/>
      <w:r w:rsidR="00F01F42" w:rsidRPr="002C505C">
        <w:rPr>
          <w:rFonts w:asciiTheme="majorBidi" w:hAnsiTheme="majorBidi" w:cstheme="majorBidi"/>
          <w:sz w:val="24"/>
          <w:szCs w:val="24"/>
        </w:rPr>
        <w:t>Kogan</w:t>
      </w:r>
      <w:proofErr w:type="spellEnd"/>
      <w:r w:rsidR="00F01F42" w:rsidRPr="002C505C">
        <w:rPr>
          <w:rFonts w:asciiTheme="majorBidi" w:hAnsiTheme="majorBidi" w:cstheme="majorBidi"/>
          <w:sz w:val="24"/>
          <w:szCs w:val="24"/>
        </w:rPr>
        <w:t>, and Leonid Sternik.</w:t>
      </w:r>
    </w:p>
    <w:p w14:paraId="0A130357" w14:textId="77777777" w:rsidR="00902CB1" w:rsidRPr="00DB18E5" w:rsidRDefault="00902CB1" w:rsidP="00902CB1">
      <w:pPr>
        <w:pStyle w:val="MDPI13authornames"/>
        <w:spacing w:line="276" w:lineRule="auto"/>
        <w:rPr>
          <w:rFonts w:asciiTheme="majorBidi" w:hAnsiTheme="majorBidi" w:cstheme="majorBidi"/>
          <w:sz w:val="24"/>
          <w:szCs w:val="24"/>
          <w:rtl/>
          <w:lang w:bidi="he-IL"/>
        </w:rPr>
      </w:pPr>
      <w:r w:rsidRPr="00DB18E5">
        <w:rPr>
          <w:rFonts w:asciiTheme="majorBidi" w:hAnsiTheme="majorBidi" w:cstheme="majorBidi"/>
          <w:sz w:val="24"/>
          <w:szCs w:val="24"/>
        </w:rPr>
        <w:t>Table of Contents:</w:t>
      </w:r>
    </w:p>
    <w:tbl>
      <w:tblPr>
        <w:tblStyle w:val="TableGrid"/>
        <w:tblW w:w="0" w:type="auto"/>
        <w:tblLook w:val="04A0" w:firstRow="1" w:lastRow="0" w:firstColumn="1" w:lastColumn="0" w:noHBand="0" w:noVBand="1"/>
      </w:tblPr>
      <w:tblGrid>
        <w:gridCol w:w="1696"/>
        <w:gridCol w:w="6521"/>
        <w:gridCol w:w="897"/>
      </w:tblGrid>
      <w:tr w:rsidR="00902CB1" w:rsidRPr="00DB18E5" w14:paraId="6083D510" w14:textId="77777777" w:rsidTr="006C0228">
        <w:tc>
          <w:tcPr>
            <w:tcW w:w="1696" w:type="dxa"/>
          </w:tcPr>
          <w:p w14:paraId="1673D8E1"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 xml:space="preserve">Item number      </w:t>
            </w:r>
          </w:p>
        </w:tc>
        <w:tc>
          <w:tcPr>
            <w:tcW w:w="6521" w:type="dxa"/>
          </w:tcPr>
          <w:p w14:paraId="7553F305"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 xml:space="preserve">Details </w:t>
            </w:r>
          </w:p>
        </w:tc>
        <w:tc>
          <w:tcPr>
            <w:tcW w:w="897" w:type="dxa"/>
          </w:tcPr>
          <w:p w14:paraId="309F0B5E"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 xml:space="preserve">Pages </w:t>
            </w:r>
          </w:p>
        </w:tc>
      </w:tr>
      <w:tr w:rsidR="00902CB1" w:rsidRPr="00DB18E5" w14:paraId="21EF2094" w14:textId="77777777" w:rsidTr="006C0228">
        <w:tc>
          <w:tcPr>
            <w:tcW w:w="1696" w:type="dxa"/>
          </w:tcPr>
          <w:p w14:paraId="3C919E54" w14:textId="77777777" w:rsidR="00902CB1" w:rsidRPr="00DB18E5" w:rsidRDefault="00902CB1" w:rsidP="006C0228">
            <w:pPr>
              <w:rPr>
                <w:rFonts w:asciiTheme="majorBidi" w:hAnsiTheme="majorBidi" w:cstheme="majorBidi"/>
                <w:sz w:val="24"/>
                <w:szCs w:val="24"/>
              </w:rPr>
            </w:pPr>
            <w:proofErr w:type="spellStart"/>
            <w:r w:rsidRPr="00DB18E5">
              <w:rPr>
                <w:rFonts w:asciiTheme="majorBidi" w:hAnsiTheme="majorBidi" w:cstheme="majorBidi"/>
                <w:sz w:val="24"/>
                <w:szCs w:val="24"/>
              </w:rPr>
              <w:t>eTable</w:t>
            </w:r>
            <w:proofErr w:type="spellEnd"/>
            <w:r w:rsidRPr="00DB18E5">
              <w:rPr>
                <w:rFonts w:asciiTheme="majorBidi" w:hAnsiTheme="majorBidi" w:cstheme="majorBidi"/>
                <w:sz w:val="24"/>
                <w:szCs w:val="24"/>
              </w:rPr>
              <w:t xml:space="preserve"> 1</w:t>
            </w:r>
          </w:p>
        </w:tc>
        <w:tc>
          <w:tcPr>
            <w:tcW w:w="6521" w:type="dxa"/>
          </w:tcPr>
          <w:p w14:paraId="3973DC5A"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Diagnostic codes used for cohort definition and exclusions</w:t>
            </w:r>
          </w:p>
        </w:tc>
        <w:tc>
          <w:tcPr>
            <w:tcW w:w="897" w:type="dxa"/>
          </w:tcPr>
          <w:p w14:paraId="2CD92863" w14:textId="77777777" w:rsidR="00902CB1" w:rsidRPr="00DB18E5" w:rsidRDefault="00902CB1" w:rsidP="006C0228">
            <w:pPr>
              <w:rPr>
                <w:rFonts w:asciiTheme="majorBidi" w:hAnsiTheme="majorBidi" w:cstheme="majorBidi"/>
                <w:sz w:val="24"/>
                <w:szCs w:val="24"/>
                <w:lang w:bidi="ar-SA"/>
              </w:rPr>
            </w:pPr>
            <w:r w:rsidRPr="00DB18E5">
              <w:rPr>
                <w:rFonts w:asciiTheme="majorBidi" w:hAnsiTheme="majorBidi" w:cstheme="majorBidi"/>
                <w:sz w:val="24"/>
                <w:szCs w:val="24"/>
                <w:rtl/>
                <w:lang w:bidi="ar-SA"/>
              </w:rPr>
              <w:t>4</w:t>
            </w:r>
          </w:p>
        </w:tc>
      </w:tr>
      <w:tr w:rsidR="00902CB1" w:rsidRPr="00DB18E5" w14:paraId="3E12D35C" w14:textId="77777777" w:rsidTr="006C0228">
        <w:tc>
          <w:tcPr>
            <w:tcW w:w="1696" w:type="dxa"/>
          </w:tcPr>
          <w:p w14:paraId="6DC19399" w14:textId="77777777" w:rsidR="00902CB1" w:rsidRPr="00DB18E5" w:rsidRDefault="00902CB1" w:rsidP="006C0228">
            <w:pPr>
              <w:rPr>
                <w:rFonts w:asciiTheme="majorBidi" w:hAnsiTheme="majorBidi" w:cstheme="majorBidi"/>
                <w:sz w:val="24"/>
                <w:szCs w:val="24"/>
              </w:rPr>
            </w:pPr>
            <w:proofErr w:type="spellStart"/>
            <w:r w:rsidRPr="00DB18E5">
              <w:rPr>
                <w:rFonts w:asciiTheme="majorBidi" w:hAnsiTheme="majorBidi" w:cstheme="majorBidi"/>
                <w:sz w:val="24"/>
                <w:szCs w:val="24"/>
              </w:rPr>
              <w:t>eTable</w:t>
            </w:r>
            <w:proofErr w:type="spellEnd"/>
            <w:r w:rsidRPr="00DB18E5">
              <w:rPr>
                <w:rFonts w:asciiTheme="majorBidi" w:hAnsiTheme="majorBidi" w:cstheme="majorBidi"/>
                <w:sz w:val="24"/>
                <w:szCs w:val="24"/>
              </w:rPr>
              <w:t xml:space="preserve"> 2</w:t>
            </w:r>
          </w:p>
        </w:tc>
        <w:tc>
          <w:tcPr>
            <w:tcW w:w="6521" w:type="dxa"/>
          </w:tcPr>
          <w:p w14:paraId="36483983"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Outcome definitions and codes</w:t>
            </w:r>
          </w:p>
        </w:tc>
        <w:tc>
          <w:tcPr>
            <w:tcW w:w="897" w:type="dxa"/>
          </w:tcPr>
          <w:p w14:paraId="0BD323D8" w14:textId="25444721" w:rsidR="00902CB1" w:rsidRPr="00DB18E5" w:rsidRDefault="00F83A6F" w:rsidP="006C0228">
            <w:pPr>
              <w:rPr>
                <w:rFonts w:asciiTheme="majorBidi" w:hAnsiTheme="majorBidi" w:cstheme="majorBidi"/>
                <w:sz w:val="24"/>
                <w:szCs w:val="24"/>
                <w:lang w:bidi="ar-JO"/>
              </w:rPr>
            </w:pPr>
            <w:r>
              <w:rPr>
                <w:rFonts w:asciiTheme="majorBidi" w:hAnsiTheme="majorBidi" w:cstheme="majorBidi" w:hint="cs"/>
                <w:sz w:val="24"/>
                <w:szCs w:val="24"/>
                <w:rtl/>
                <w:lang w:bidi="ar-SA"/>
              </w:rPr>
              <w:t>5</w:t>
            </w:r>
          </w:p>
        </w:tc>
      </w:tr>
      <w:tr w:rsidR="00902CB1" w:rsidRPr="00DB18E5" w14:paraId="3D18AAA2" w14:textId="77777777" w:rsidTr="006C0228">
        <w:tc>
          <w:tcPr>
            <w:tcW w:w="1696" w:type="dxa"/>
          </w:tcPr>
          <w:p w14:paraId="73434B9B" w14:textId="77777777" w:rsidR="00902CB1" w:rsidRPr="00DB18E5" w:rsidRDefault="00902CB1" w:rsidP="006C0228">
            <w:pPr>
              <w:rPr>
                <w:rFonts w:asciiTheme="majorBidi" w:hAnsiTheme="majorBidi" w:cstheme="majorBidi"/>
                <w:sz w:val="24"/>
                <w:szCs w:val="24"/>
              </w:rPr>
            </w:pPr>
            <w:proofErr w:type="spellStart"/>
            <w:r w:rsidRPr="00DB18E5">
              <w:rPr>
                <w:rFonts w:asciiTheme="majorBidi" w:hAnsiTheme="majorBidi" w:cstheme="majorBidi"/>
                <w:sz w:val="24"/>
                <w:szCs w:val="24"/>
              </w:rPr>
              <w:t>eTable</w:t>
            </w:r>
            <w:proofErr w:type="spellEnd"/>
            <w:r w:rsidRPr="00DB18E5">
              <w:rPr>
                <w:rFonts w:asciiTheme="majorBidi" w:hAnsiTheme="majorBidi" w:cstheme="majorBidi"/>
                <w:sz w:val="24"/>
                <w:szCs w:val="24"/>
              </w:rPr>
              <w:t xml:space="preserve"> 3</w:t>
            </w:r>
          </w:p>
        </w:tc>
        <w:tc>
          <w:tcPr>
            <w:tcW w:w="6521" w:type="dxa"/>
          </w:tcPr>
          <w:p w14:paraId="77B87BAE"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Medication exposure and medication covariate definitions</w:t>
            </w:r>
          </w:p>
        </w:tc>
        <w:tc>
          <w:tcPr>
            <w:tcW w:w="897" w:type="dxa"/>
          </w:tcPr>
          <w:p w14:paraId="7B6DC482" w14:textId="5207C9CF" w:rsidR="00902CB1" w:rsidRPr="00DB18E5" w:rsidRDefault="00F83A6F" w:rsidP="006C0228">
            <w:pPr>
              <w:rPr>
                <w:rFonts w:asciiTheme="majorBidi" w:hAnsiTheme="majorBidi" w:cstheme="majorBidi"/>
                <w:sz w:val="24"/>
                <w:szCs w:val="24"/>
                <w:lang w:bidi="ar-JO"/>
              </w:rPr>
            </w:pPr>
            <w:r>
              <w:rPr>
                <w:rFonts w:asciiTheme="majorBidi" w:hAnsiTheme="majorBidi" w:cstheme="majorBidi" w:hint="cs"/>
                <w:sz w:val="24"/>
                <w:szCs w:val="24"/>
                <w:rtl/>
                <w:lang w:bidi="ar-JO"/>
              </w:rPr>
              <w:t>5</w:t>
            </w:r>
          </w:p>
        </w:tc>
      </w:tr>
      <w:tr w:rsidR="00902CB1" w:rsidRPr="00DB18E5" w14:paraId="3FED01E8" w14:textId="77777777" w:rsidTr="006C0228">
        <w:tc>
          <w:tcPr>
            <w:tcW w:w="1696" w:type="dxa"/>
          </w:tcPr>
          <w:p w14:paraId="7656E8FB" w14:textId="77777777" w:rsidR="00902CB1" w:rsidRPr="00DB18E5" w:rsidRDefault="00902CB1" w:rsidP="006C0228">
            <w:pPr>
              <w:rPr>
                <w:rFonts w:asciiTheme="majorBidi" w:hAnsiTheme="majorBidi" w:cstheme="majorBidi"/>
                <w:sz w:val="24"/>
                <w:szCs w:val="24"/>
              </w:rPr>
            </w:pPr>
            <w:proofErr w:type="spellStart"/>
            <w:r w:rsidRPr="00DB18E5">
              <w:rPr>
                <w:rFonts w:asciiTheme="majorBidi" w:hAnsiTheme="majorBidi" w:cstheme="majorBidi"/>
                <w:sz w:val="24"/>
                <w:szCs w:val="24"/>
              </w:rPr>
              <w:t>eTable</w:t>
            </w:r>
            <w:proofErr w:type="spellEnd"/>
            <w:r w:rsidRPr="00DB18E5">
              <w:rPr>
                <w:rFonts w:asciiTheme="majorBidi" w:hAnsiTheme="majorBidi" w:cstheme="majorBidi"/>
                <w:sz w:val="24"/>
                <w:szCs w:val="24"/>
              </w:rPr>
              <w:t xml:space="preserve"> 4</w:t>
            </w:r>
          </w:p>
        </w:tc>
        <w:tc>
          <w:tcPr>
            <w:tcW w:w="6521" w:type="dxa"/>
          </w:tcPr>
          <w:p w14:paraId="7F34E71B"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Baseline variable definitions</w:t>
            </w:r>
          </w:p>
        </w:tc>
        <w:tc>
          <w:tcPr>
            <w:tcW w:w="897" w:type="dxa"/>
          </w:tcPr>
          <w:p w14:paraId="2B92F5D0" w14:textId="77777777" w:rsidR="00902CB1" w:rsidRPr="00DB18E5" w:rsidRDefault="00902CB1" w:rsidP="006C0228">
            <w:pPr>
              <w:rPr>
                <w:rFonts w:asciiTheme="majorBidi" w:hAnsiTheme="majorBidi" w:cstheme="majorBidi"/>
                <w:sz w:val="24"/>
                <w:szCs w:val="24"/>
                <w:lang w:bidi="ar-SA"/>
              </w:rPr>
            </w:pPr>
            <w:r w:rsidRPr="00DB18E5">
              <w:rPr>
                <w:rFonts w:asciiTheme="majorBidi" w:hAnsiTheme="majorBidi" w:cstheme="majorBidi"/>
                <w:sz w:val="24"/>
                <w:szCs w:val="24"/>
                <w:rtl/>
                <w:lang w:bidi="ar-SA"/>
              </w:rPr>
              <w:t>4</w:t>
            </w:r>
          </w:p>
        </w:tc>
      </w:tr>
      <w:tr w:rsidR="00902CB1" w:rsidRPr="00DB18E5" w14:paraId="491796BA" w14:textId="77777777" w:rsidTr="006C0228">
        <w:tc>
          <w:tcPr>
            <w:tcW w:w="1696" w:type="dxa"/>
          </w:tcPr>
          <w:p w14:paraId="026EF6DA" w14:textId="77777777" w:rsidR="00902CB1" w:rsidRPr="00DB18E5" w:rsidRDefault="00902CB1" w:rsidP="006C0228">
            <w:pPr>
              <w:rPr>
                <w:rFonts w:asciiTheme="majorBidi" w:hAnsiTheme="majorBidi" w:cstheme="majorBidi"/>
                <w:b/>
                <w:bCs/>
                <w:sz w:val="24"/>
                <w:szCs w:val="24"/>
              </w:rPr>
            </w:pPr>
            <w:proofErr w:type="spellStart"/>
            <w:r w:rsidRPr="00DB18E5">
              <w:rPr>
                <w:rFonts w:asciiTheme="majorBidi" w:hAnsiTheme="majorBidi" w:cstheme="majorBidi"/>
                <w:sz w:val="24"/>
                <w:szCs w:val="24"/>
              </w:rPr>
              <w:t>eTable</w:t>
            </w:r>
            <w:proofErr w:type="spellEnd"/>
            <w:r w:rsidRPr="00DB18E5">
              <w:rPr>
                <w:rFonts w:asciiTheme="majorBidi" w:hAnsiTheme="majorBidi" w:cstheme="majorBidi"/>
                <w:sz w:val="24"/>
                <w:szCs w:val="24"/>
              </w:rPr>
              <w:t xml:space="preserve"> 5</w:t>
            </w:r>
          </w:p>
        </w:tc>
        <w:tc>
          <w:tcPr>
            <w:tcW w:w="6521" w:type="dxa"/>
          </w:tcPr>
          <w:p w14:paraId="7600CD4D" w14:textId="140D8779" w:rsidR="00902CB1" w:rsidRPr="00DB18E5" w:rsidRDefault="00902CB1" w:rsidP="00994392">
            <w:pPr>
              <w:rPr>
                <w:rFonts w:asciiTheme="majorBidi" w:hAnsiTheme="majorBidi" w:cstheme="majorBidi"/>
                <w:b/>
                <w:bCs/>
                <w:sz w:val="24"/>
                <w:szCs w:val="24"/>
              </w:rPr>
            </w:pPr>
            <w:r w:rsidRPr="00DB18E5">
              <w:rPr>
                <w:rFonts w:asciiTheme="majorBidi" w:hAnsiTheme="majorBidi" w:cstheme="majorBidi"/>
                <w:sz w:val="24"/>
                <w:szCs w:val="24"/>
              </w:rPr>
              <w:t xml:space="preserve">Sensitivity Analyses of IPTW-Weighted Clinical Outcomes </w:t>
            </w:r>
          </w:p>
        </w:tc>
        <w:tc>
          <w:tcPr>
            <w:tcW w:w="897" w:type="dxa"/>
          </w:tcPr>
          <w:p w14:paraId="17D10773" w14:textId="499EC3DA" w:rsidR="00902CB1" w:rsidRPr="00DB18E5" w:rsidRDefault="00994392" w:rsidP="006C0228">
            <w:pPr>
              <w:rPr>
                <w:rFonts w:asciiTheme="majorBidi" w:hAnsiTheme="majorBidi" w:cstheme="majorBidi"/>
                <w:sz w:val="24"/>
                <w:szCs w:val="24"/>
                <w:rtl/>
              </w:rPr>
            </w:pPr>
            <w:r>
              <w:rPr>
                <w:rFonts w:asciiTheme="majorBidi" w:hAnsiTheme="majorBidi" w:cstheme="majorBidi"/>
                <w:sz w:val="24"/>
                <w:szCs w:val="24"/>
              </w:rPr>
              <w:t>15</w:t>
            </w:r>
          </w:p>
        </w:tc>
      </w:tr>
      <w:tr w:rsidR="003954FA" w:rsidRPr="00DB18E5" w14:paraId="2C9DB244" w14:textId="77777777" w:rsidTr="006C0228">
        <w:tc>
          <w:tcPr>
            <w:tcW w:w="1696" w:type="dxa"/>
          </w:tcPr>
          <w:p w14:paraId="2B734A09" w14:textId="25B03F64" w:rsidR="003954FA" w:rsidRPr="00DB18E5" w:rsidRDefault="003954FA" w:rsidP="006C0228">
            <w:pPr>
              <w:rPr>
                <w:rFonts w:asciiTheme="majorBidi" w:hAnsiTheme="majorBidi" w:cstheme="majorBidi"/>
              </w:rPr>
            </w:pPr>
            <w:proofErr w:type="spellStart"/>
            <w:r w:rsidRPr="003954FA">
              <w:rPr>
                <w:rFonts w:asciiTheme="majorBidi" w:hAnsiTheme="majorBidi" w:cstheme="majorBidi"/>
              </w:rPr>
              <w:t>eTable</w:t>
            </w:r>
            <w:proofErr w:type="spellEnd"/>
            <w:r w:rsidRPr="003954FA">
              <w:rPr>
                <w:rFonts w:asciiTheme="majorBidi" w:hAnsiTheme="majorBidi" w:cstheme="majorBidi"/>
              </w:rPr>
              <w:t xml:space="preserve"> 6</w:t>
            </w:r>
          </w:p>
        </w:tc>
        <w:tc>
          <w:tcPr>
            <w:tcW w:w="6521" w:type="dxa"/>
          </w:tcPr>
          <w:p w14:paraId="00EC1377" w14:textId="466447F5" w:rsidR="003954FA" w:rsidRPr="00DB18E5" w:rsidRDefault="003954FA" w:rsidP="00994392">
            <w:pPr>
              <w:rPr>
                <w:rFonts w:asciiTheme="majorBidi" w:hAnsiTheme="majorBidi" w:cstheme="majorBidi"/>
              </w:rPr>
            </w:pPr>
            <w:r w:rsidRPr="003954FA">
              <w:rPr>
                <w:rFonts w:asciiTheme="majorBidi" w:hAnsiTheme="majorBidi" w:cstheme="majorBidi"/>
              </w:rPr>
              <w:t>Sensitivity analysis after excluding patients with GLP1-RA or SGLT2 inhibitor use before PAD diagnosis/index date</w:t>
            </w:r>
          </w:p>
        </w:tc>
        <w:tc>
          <w:tcPr>
            <w:tcW w:w="897" w:type="dxa"/>
          </w:tcPr>
          <w:p w14:paraId="7BB367B0" w14:textId="077DDA1D" w:rsidR="003954FA" w:rsidRDefault="00C03C70" w:rsidP="006C0228">
            <w:pPr>
              <w:rPr>
                <w:rFonts w:asciiTheme="majorBidi" w:hAnsiTheme="majorBidi" w:cstheme="majorBidi"/>
              </w:rPr>
            </w:pPr>
            <w:r>
              <w:rPr>
                <w:rFonts w:asciiTheme="majorBidi" w:hAnsiTheme="majorBidi" w:cstheme="majorBidi"/>
              </w:rPr>
              <w:t>16</w:t>
            </w:r>
          </w:p>
        </w:tc>
      </w:tr>
      <w:tr w:rsidR="003954FA" w:rsidRPr="00DB18E5" w14:paraId="46FFE403" w14:textId="77777777" w:rsidTr="006C0228">
        <w:tc>
          <w:tcPr>
            <w:tcW w:w="1696" w:type="dxa"/>
          </w:tcPr>
          <w:p w14:paraId="38CCAC4D" w14:textId="08C90EC8" w:rsidR="003954FA" w:rsidRPr="00DB18E5" w:rsidRDefault="003954FA" w:rsidP="006C0228">
            <w:pPr>
              <w:rPr>
                <w:rFonts w:asciiTheme="majorBidi" w:hAnsiTheme="majorBidi" w:cstheme="majorBidi"/>
              </w:rPr>
            </w:pPr>
            <w:proofErr w:type="spellStart"/>
            <w:r w:rsidRPr="003954FA">
              <w:rPr>
                <w:rFonts w:asciiTheme="majorBidi" w:hAnsiTheme="majorBidi" w:cstheme="majorBidi"/>
              </w:rPr>
              <w:t>eTable</w:t>
            </w:r>
            <w:proofErr w:type="spellEnd"/>
            <w:r w:rsidRPr="003954FA">
              <w:rPr>
                <w:rFonts w:asciiTheme="majorBidi" w:hAnsiTheme="majorBidi" w:cstheme="majorBidi"/>
              </w:rPr>
              <w:t xml:space="preserve"> </w:t>
            </w:r>
            <w:r>
              <w:rPr>
                <w:rFonts w:asciiTheme="majorBidi" w:hAnsiTheme="majorBidi" w:cstheme="majorBidi"/>
              </w:rPr>
              <w:t>7</w:t>
            </w:r>
          </w:p>
        </w:tc>
        <w:tc>
          <w:tcPr>
            <w:tcW w:w="6521" w:type="dxa"/>
          </w:tcPr>
          <w:p w14:paraId="1EFAD865" w14:textId="3B490AB7" w:rsidR="003954FA" w:rsidRPr="00DB18E5" w:rsidRDefault="003D1758" w:rsidP="00994392">
            <w:pPr>
              <w:rPr>
                <w:rFonts w:asciiTheme="majorBidi" w:hAnsiTheme="majorBidi" w:cstheme="majorBidi"/>
              </w:rPr>
            </w:pPr>
            <w:r w:rsidRPr="003D1758">
              <w:rPr>
                <w:rFonts w:asciiTheme="majorBidi" w:hAnsiTheme="majorBidi" w:cstheme="majorBidi"/>
              </w:rPr>
              <w:t>Time-Varying Cox Proportional Hazards Analysis According to GLP1-RA/SGLT2i Exposure Group</w:t>
            </w:r>
          </w:p>
        </w:tc>
        <w:tc>
          <w:tcPr>
            <w:tcW w:w="897" w:type="dxa"/>
          </w:tcPr>
          <w:p w14:paraId="184C6D0A" w14:textId="6C3B6E91" w:rsidR="003954FA" w:rsidRDefault="00C03C70" w:rsidP="006C0228">
            <w:pPr>
              <w:rPr>
                <w:rFonts w:asciiTheme="majorBidi" w:hAnsiTheme="majorBidi" w:cstheme="majorBidi"/>
              </w:rPr>
            </w:pPr>
            <w:r>
              <w:rPr>
                <w:rFonts w:asciiTheme="majorBidi" w:hAnsiTheme="majorBidi" w:cstheme="majorBidi"/>
              </w:rPr>
              <w:t>16</w:t>
            </w:r>
          </w:p>
        </w:tc>
      </w:tr>
      <w:tr w:rsidR="00902CB1" w:rsidRPr="00DB18E5" w14:paraId="3E739A7A" w14:textId="77777777" w:rsidTr="006C0228">
        <w:tc>
          <w:tcPr>
            <w:tcW w:w="1696" w:type="dxa"/>
          </w:tcPr>
          <w:p w14:paraId="56D92FA0" w14:textId="77777777" w:rsidR="00902CB1" w:rsidRPr="00DB18E5" w:rsidRDefault="00902CB1" w:rsidP="006C0228">
            <w:pPr>
              <w:rPr>
                <w:rFonts w:asciiTheme="majorBidi" w:hAnsiTheme="majorBidi" w:cstheme="majorBidi"/>
                <w:sz w:val="24"/>
                <w:szCs w:val="24"/>
              </w:rPr>
            </w:pPr>
            <w:proofErr w:type="spellStart"/>
            <w:r w:rsidRPr="00DB18E5">
              <w:rPr>
                <w:rFonts w:asciiTheme="majorBidi" w:hAnsiTheme="majorBidi" w:cstheme="majorBidi"/>
                <w:sz w:val="24"/>
                <w:szCs w:val="24"/>
              </w:rPr>
              <w:t>eFigure</w:t>
            </w:r>
            <w:proofErr w:type="spellEnd"/>
            <w:r w:rsidRPr="00DB18E5">
              <w:rPr>
                <w:rFonts w:asciiTheme="majorBidi" w:hAnsiTheme="majorBidi" w:cstheme="majorBidi"/>
                <w:sz w:val="24"/>
                <w:szCs w:val="24"/>
              </w:rPr>
              <w:t xml:space="preserve"> 1</w:t>
            </w:r>
          </w:p>
        </w:tc>
        <w:tc>
          <w:tcPr>
            <w:tcW w:w="6521" w:type="dxa"/>
          </w:tcPr>
          <w:p w14:paraId="3EAFFA0C" w14:textId="77777777" w:rsidR="0000469E" w:rsidRPr="0000469E" w:rsidRDefault="0000469E" w:rsidP="0000469E">
            <w:pPr>
              <w:rPr>
                <w:rFonts w:asciiTheme="majorBidi" w:hAnsiTheme="majorBidi" w:cstheme="majorBidi"/>
                <w:rtl/>
              </w:rPr>
            </w:pPr>
            <w:r w:rsidRPr="0000469E">
              <w:rPr>
                <w:rFonts w:asciiTheme="majorBidi" w:hAnsiTheme="majorBidi" w:cstheme="majorBidi"/>
              </w:rPr>
              <w:t>Covariate Balance Before and After Inverse Probability of Treatment Weighting</w:t>
            </w:r>
          </w:p>
          <w:p w14:paraId="65050349" w14:textId="07B4D084"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w:t>
            </w:r>
          </w:p>
        </w:tc>
        <w:tc>
          <w:tcPr>
            <w:tcW w:w="897" w:type="dxa"/>
          </w:tcPr>
          <w:p w14:paraId="0C5BF285" w14:textId="77777777" w:rsidR="00902CB1" w:rsidRPr="00DB18E5" w:rsidRDefault="00902CB1" w:rsidP="006C0228">
            <w:pPr>
              <w:rPr>
                <w:rFonts w:asciiTheme="majorBidi" w:hAnsiTheme="majorBidi" w:cstheme="majorBidi"/>
                <w:sz w:val="24"/>
                <w:szCs w:val="24"/>
              </w:rPr>
            </w:pPr>
            <w:r w:rsidRPr="00DB18E5">
              <w:rPr>
                <w:rFonts w:asciiTheme="majorBidi" w:hAnsiTheme="majorBidi" w:cstheme="majorBidi"/>
                <w:sz w:val="24"/>
                <w:szCs w:val="24"/>
              </w:rPr>
              <w:t>16</w:t>
            </w:r>
          </w:p>
        </w:tc>
      </w:tr>
    </w:tbl>
    <w:p w14:paraId="1BB0318D" w14:textId="1D0DA275" w:rsidR="00902CB1" w:rsidRDefault="00902CB1" w:rsidP="00902CB1">
      <w:pPr>
        <w:jc w:val="center"/>
        <w:rPr>
          <w:rFonts w:asciiTheme="majorBidi" w:hAnsiTheme="majorBidi" w:cstheme="majorBidi"/>
          <w:b/>
          <w:bCs/>
        </w:rPr>
      </w:pPr>
    </w:p>
    <w:p w14:paraId="2F1E2C76" w14:textId="339C690F" w:rsidR="0000469E" w:rsidRDefault="0000469E" w:rsidP="00902CB1">
      <w:pPr>
        <w:jc w:val="center"/>
        <w:rPr>
          <w:rFonts w:asciiTheme="majorBidi" w:hAnsiTheme="majorBidi" w:cstheme="majorBidi"/>
          <w:b/>
          <w:bCs/>
        </w:rPr>
      </w:pPr>
    </w:p>
    <w:p w14:paraId="12773526" w14:textId="023EBE56" w:rsidR="0000469E" w:rsidRDefault="0000469E" w:rsidP="00902CB1">
      <w:pPr>
        <w:jc w:val="center"/>
        <w:rPr>
          <w:rFonts w:asciiTheme="majorBidi" w:hAnsiTheme="majorBidi" w:cstheme="majorBidi"/>
          <w:b/>
          <w:bCs/>
        </w:rPr>
      </w:pPr>
    </w:p>
    <w:p w14:paraId="3C18A051" w14:textId="17CB0A50" w:rsidR="0000469E" w:rsidRDefault="0000469E" w:rsidP="00902CB1">
      <w:pPr>
        <w:jc w:val="center"/>
        <w:rPr>
          <w:rFonts w:asciiTheme="majorBidi" w:hAnsiTheme="majorBidi" w:cstheme="majorBidi"/>
          <w:b/>
          <w:bCs/>
        </w:rPr>
      </w:pPr>
    </w:p>
    <w:p w14:paraId="63576318" w14:textId="77777777" w:rsidR="0000469E" w:rsidRPr="00DB18E5" w:rsidRDefault="0000469E" w:rsidP="00902CB1">
      <w:pPr>
        <w:jc w:val="center"/>
        <w:rPr>
          <w:rFonts w:asciiTheme="majorBidi" w:hAnsiTheme="majorBidi" w:cstheme="majorBidi"/>
          <w:b/>
          <w:bCs/>
        </w:rPr>
      </w:pPr>
    </w:p>
    <w:p w14:paraId="51699D47" w14:textId="77777777" w:rsidR="00902CB1" w:rsidRPr="00DB18E5" w:rsidRDefault="00902CB1" w:rsidP="00902CB1">
      <w:pPr>
        <w:rPr>
          <w:rFonts w:asciiTheme="majorBidi" w:hAnsiTheme="majorBidi" w:cstheme="majorBidi"/>
        </w:rPr>
      </w:pPr>
    </w:p>
    <w:p w14:paraId="5BC38954" w14:textId="77777777" w:rsidR="00902CB1" w:rsidRPr="00DB18E5" w:rsidRDefault="00902CB1" w:rsidP="00902CB1">
      <w:pPr>
        <w:rPr>
          <w:rFonts w:asciiTheme="majorBidi" w:hAnsiTheme="majorBidi" w:cstheme="majorBidi"/>
        </w:rPr>
      </w:pPr>
    </w:p>
    <w:p w14:paraId="777841DD" w14:textId="77777777" w:rsidR="00902CB1" w:rsidRPr="00DB18E5" w:rsidRDefault="00902CB1" w:rsidP="00902CB1">
      <w:pPr>
        <w:rPr>
          <w:rFonts w:asciiTheme="majorBidi" w:hAnsiTheme="majorBidi" w:cstheme="majorBidi"/>
        </w:rPr>
      </w:pPr>
    </w:p>
    <w:p w14:paraId="5B83C022" w14:textId="77777777" w:rsidR="00902CB1" w:rsidRPr="00DB18E5" w:rsidRDefault="00902CB1" w:rsidP="00902CB1">
      <w:pPr>
        <w:rPr>
          <w:rFonts w:asciiTheme="majorBidi" w:hAnsiTheme="majorBidi" w:cstheme="majorBidi"/>
        </w:rPr>
      </w:pPr>
    </w:p>
    <w:p w14:paraId="686EB423" w14:textId="77777777" w:rsidR="00902CB1" w:rsidRPr="00DB18E5" w:rsidRDefault="00902CB1" w:rsidP="00902CB1">
      <w:pPr>
        <w:rPr>
          <w:rFonts w:asciiTheme="majorBidi" w:hAnsiTheme="majorBidi" w:cstheme="majorBidi"/>
        </w:rPr>
      </w:pPr>
    </w:p>
    <w:p w14:paraId="7A01901B" w14:textId="77777777" w:rsidR="00902CB1" w:rsidRPr="00DB18E5" w:rsidRDefault="00902CB1" w:rsidP="00902CB1">
      <w:pPr>
        <w:rPr>
          <w:rFonts w:asciiTheme="majorBidi" w:hAnsiTheme="majorBidi" w:cstheme="majorBidi"/>
        </w:rPr>
      </w:pPr>
    </w:p>
    <w:p w14:paraId="29026381" w14:textId="77777777" w:rsidR="00902CB1" w:rsidRPr="00DB18E5" w:rsidRDefault="00902CB1" w:rsidP="00902CB1">
      <w:pPr>
        <w:rPr>
          <w:rFonts w:asciiTheme="majorBidi" w:hAnsiTheme="majorBidi" w:cstheme="majorBidi"/>
        </w:rPr>
      </w:pPr>
    </w:p>
    <w:p w14:paraId="5BB023E7" w14:textId="77777777" w:rsidR="00902CB1" w:rsidRPr="00DB18E5" w:rsidRDefault="00902CB1" w:rsidP="00902CB1">
      <w:pPr>
        <w:rPr>
          <w:rFonts w:asciiTheme="majorBidi" w:hAnsiTheme="majorBidi" w:cstheme="majorBidi"/>
        </w:rPr>
      </w:pPr>
    </w:p>
    <w:p w14:paraId="0F5E3F2B" w14:textId="77777777" w:rsidR="00902CB1" w:rsidRPr="00DB18E5" w:rsidRDefault="00902CB1" w:rsidP="00902CB1">
      <w:pPr>
        <w:rPr>
          <w:rFonts w:asciiTheme="majorBidi" w:hAnsiTheme="majorBidi" w:cstheme="majorBidi"/>
        </w:rPr>
      </w:pPr>
    </w:p>
    <w:p w14:paraId="2DAA1DD4" w14:textId="77777777" w:rsidR="00902CB1" w:rsidRPr="00DB18E5" w:rsidRDefault="00902CB1" w:rsidP="00902CB1">
      <w:pPr>
        <w:rPr>
          <w:rFonts w:asciiTheme="majorBidi" w:hAnsiTheme="majorBidi" w:cstheme="majorBidi"/>
          <w:b/>
          <w:bCs/>
        </w:rPr>
      </w:pPr>
      <w:proofErr w:type="spellStart"/>
      <w:r w:rsidRPr="00DB18E5">
        <w:rPr>
          <w:rFonts w:asciiTheme="majorBidi" w:hAnsiTheme="majorBidi" w:cstheme="majorBidi"/>
          <w:b/>
          <w:bCs/>
        </w:rPr>
        <w:t>eTable</w:t>
      </w:r>
      <w:proofErr w:type="spellEnd"/>
      <w:r w:rsidRPr="00DB18E5">
        <w:rPr>
          <w:rFonts w:asciiTheme="majorBidi" w:hAnsiTheme="majorBidi" w:cstheme="majorBidi"/>
          <w:b/>
          <w:bCs/>
        </w:rPr>
        <w:t xml:space="preserve"> 1. Diagnostic codes used for cohort definition and exclusions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4"/>
        <w:gridCol w:w="3595"/>
        <w:gridCol w:w="3171"/>
      </w:tblGrid>
      <w:tr w:rsidR="00902CB1" w:rsidRPr="00DB18E5" w14:paraId="3B3DD2FD" w14:textId="77777777" w:rsidTr="006C0228">
        <w:trPr>
          <w:tblHeader/>
          <w:tblCellSpacing w:w="15" w:type="dxa"/>
        </w:trPr>
        <w:tc>
          <w:tcPr>
            <w:tcW w:w="0" w:type="auto"/>
            <w:vAlign w:val="center"/>
            <w:hideMark/>
          </w:tcPr>
          <w:p w14:paraId="7247133F"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Category</w:t>
            </w:r>
          </w:p>
        </w:tc>
        <w:tc>
          <w:tcPr>
            <w:tcW w:w="0" w:type="auto"/>
            <w:vAlign w:val="center"/>
            <w:hideMark/>
          </w:tcPr>
          <w:p w14:paraId="2BBA51CC"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Definition</w:t>
            </w:r>
          </w:p>
        </w:tc>
        <w:tc>
          <w:tcPr>
            <w:tcW w:w="0" w:type="auto"/>
            <w:vAlign w:val="center"/>
            <w:hideMark/>
          </w:tcPr>
          <w:p w14:paraId="25E0C6F8"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Codes</w:t>
            </w:r>
          </w:p>
        </w:tc>
      </w:tr>
      <w:tr w:rsidR="00902CB1" w:rsidRPr="00DB18E5" w14:paraId="5622886C" w14:textId="77777777" w:rsidTr="006C0228">
        <w:trPr>
          <w:tblCellSpacing w:w="15" w:type="dxa"/>
        </w:trPr>
        <w:tc>
          <w:tcPr>
            <w:tcW w:w="0" w:type="auto"/>
            <w:vAlign w:val="center"/>
            <w:hideMark/>
          </w:tcPr>
          <w:p w14:paraId="4DD404E8" w14:textId="77777777" w:rsidR="00902CB1" w:rsidRPr="00DB18E5" w:rsidRDefault="00902CB1" w:rsidP="006C0228">
            <w:pPr>
              <w:rPr>
                <w:rFonts w:asciiTheme="majorBidi" w:hAnsiTheme="majorBidi" w:cstheme="majorBidi"/>
              </w:rPr>
            </w:pPr>
            <w:r w:rsidRPr="00DB18E5">
              <w:rPr>
                <w:rFonts w:asciiTheme="majorBidi" w:hAnsiTheme="majorBidi" w:cstheme="majorBidi"/>
              </w:rPr>
              <w:t>Peripheral artery disease / peripheral vascular disease</w:t>
            </w:r>
          </w:p>
        </w:tc>
        <w:tc>
          <w:tcPr>
            <w:tcW w:w="0" w:type="auto"/>
            <w:vAlign w:val="center"/>
            <w:hideMark/>
          </w:tcPr>
          <w:p w14:paraId="59CD1FAE" w14:textId="77777777" w:rsidR="00902CB1" w:rsidRPr="00DB18E5" w:rsidRDefault="00902CB1" w:rsidP="006C0228">
            <w:pPr>
              <w:rPr>
                <w:rFonts w:asciiTheme="majorBidi" w:hAnsiTheme="majorBidi" w:cstheme="majorBidi"/>
              </w:rPr>
            </w:pPr>
            <w:r w:rsidRPr="00DB18E5">
              <w:rPr>
                <w:rFonts w:asciiTheme="majorBidi" w:hAnsiTheme="majorBidi" w:cstheme="majorBidi"/>
              </w:rPr>
              <w:t>PAD/PVD diagnosis</w:t>
            </w:r>
          </w:p>
        </w:tc>
        <w:tc>
          <w:tcPr>
            <w:tcW w:w="0" w:type="auto"/>
            <w:vAlign w:val="center"/>
            <w:hideMark/>
          </w:tcPr>
          <w:p w14:paraId="2D454987"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I70.2, I73, I73.8, I73.9, I79.2</w:t>
            </w:r>
          </w:p>
        </w:tc>
      </w:tr>
      <w:tr w:rsidR="00902CB1" w:rsidRPr="00DB18E5" w14:paraId="3359D93B" w14:textId="77777777" w:rsidTr="006C0228">
        <w:trPr>
          <w:tblCellSpacing w:w="15" w:type="dxa"/>
        </w:trPr>
        <w:tc>
          <w:tcPr>
            <w:tcW w:w="0" w:type="auto"/>
            <w:vAlign w:val="center"/>
            <w:hideMark/>
          </w:tcPr>
          <w:p w14:paraId="05D882E9" w14:textId="77777777" w:rsidR="00902CB1" w:rsidRPr="00DB18E5" w:rsidRDefault="00902CB1" w:rsidP="006C0228">
            <w:pPr>
              <w:rPr>
                <w:rFonts w:asciiTheme="majorBidi" w:hAnsiTheme="majorBidi" w:cstheme="majorBidi"/>
              </w:rPr>
            </w:pPr>
            <w:r w:rsidRPr="00DB18E5">
              <w:rPr>
                <w:rFonts w:asciiTheme="majorBidi" w:hAnsiTheme="majorBidi" w:cstheme="majorBidi"/>
              </w:rPr>
              <w:t>Diabetes-related peripheral circulatory disease</w:t>
            </w:r>
          </w:p>
        </w:tc>
        <w:tc>
          <w:tcPr>
            <w:tcW w:w="0" w:type="auto"/>
            <w:vAlign w:val="center"/>
            <w:hideMark/>
          </w:tcPr>
          <w:p w14:paraId="5E22D8CB" w14:textId="77777777" w:rsidR="00902CB1" w:rsidRPr="00DB18E5" w:rsidRDefault="00902CB1" w:rsidP="006C0228">
            <w:pPr>
              <w:rPr>
                <w:rFonts w:asciiTheme="majorBidi" w:hAnsiTheme="majorBidi" w:cstheme="majorBidi"/>
              </w:rPr>
            </w:pPr>
            <w:r w:rsidRPr="00DB18E5">
              <w:rPr>
                <w:rFonts w:asciiTheme="majorBidi" w:hAnsiTheme="majorBidi" w:cstheme="majorBidi"/>
              </w:rPr>
              <w:t>Supportive codes for diabetic PVD/PAD phenotype</w:t>
            </w:r>
          </w:p>
        </w:tc>
        <w:tc>
          <w:tcPr>
            <w:tcW w:w="0" w:type="auto"/>
            <w:vAlign w:val="center"/>
            <w:hideMark/>
          </w:tcPr>
          <w:p w14:paraId="79E3CDC4"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E11.51, E11.52</w:t>
            </w:r>
          </w:p>
        </w:tc>
      </w:tr>
      <w:tr w:rsidR="00902CB1" w:rsidRPr="00DB18E5" w14:paraId="0341B513" w14:textId="77777777" w:rsidTr="006C0228">
        <w:trPr>
          <w:tblCellSpacing w:w="15" w:type="dxa"/>
        </w:trPr>
        <w:tc>
          <w:tcPr>
            <w:tcW w:w="0" w:type="auto"/>
            <w:vAlign w:val="center"/>
            <w:hideMark/>
          </w:tcPr>
          <w:p w14:paraId="18EF7E2F" w14:textId="77777777" w:rsidR="00902CB1" w:rsidRPr="00DB18E5" w:rsidRDefault="00902CB1" w:rsidP="006C0228">
            <w:pPr>
              <w:rPr>
                <w:rFonts w:asciiTheme="majorBidi" w:hAnsiTheme="majorBidi" w:cstheme="majorBidi"/>
              </w:rPr>
            </w:pPr>
            <w:r w:rsidRPr="00DB18E5">
              <w:rPr>
                <w:rFonts w:asciiTheme="majorBidi" w:hAnsiTheme="majorBidi" w:cstheme="majorBidi"/>
              </w:rPr>
              <w:t>Diabetes mellitus</w:t>
            </w:r>
          </w:p>
        </w:tc>
        <w:tc>
          <w:tcPr>
            <w:tcW w:w="0" w:type="auto"/>
            <w:vAlign w:val="center"/>
            <w:hideMark/>
          </w:tcPr>
          <w:p w14:paraId="36C88B12" w14:textId="77777777" w:rsidR="00902CB1" w:rsidRPr="00DB18E5" w:rsidRDefault="00902CB1" w:rsidP="006C0228">
            <w:pPr>
              <w:rPr>
                <w:rFonts w:asciiTheme="majorBidi" w:hAnsiTheme="majorBidi" w:cstheme="majorBidi"/>
              </w:rPr>
            </w:pPr>
            <w:r w:rsidRPr="00DB18E5">
              <w:rPr>
                <w:rFonts w:asciiTheme="majorBidi" w:hAnsiTheme="majorBidi" w:cstheme="majorBidi"/>
              </w:rPr>
              <w:t>DM diagnosis</w:t>
            </w:r>
          </w:p>
        </w:tc>
        <w:tc>
          <w:tcPr>
            <w:tcW w:w="0" w:type="auto"/>
            <w:vAlign w:val="center"/>
            <w:hideMark/>
          </w:tcPr>
          <w:p w14:paraId="468BFBA5"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E10, E11, E13</w:t>
            </w:r>
          </w:p>
        </w:tc>
      </w:tr>
      <w:tr w:rsidR="00902CB1" w:rsidRPr="00DB18E5" w14:paraId="01DAF3BE" w14:textId="77777777" w:rsidTr="006C0228">
        <w:trPr>
          <w:tblCellSpacing w:w="15" w:type="dxa"/>
        </w:trPr>
        <w:tc>
          <w:tcPr>
            <w:tcW w:w="0" w:type="auto"/>
            <w:vAlign w:val="center"/>
            <w:hideMark/>
          </w:tcPr>
          <w:p w14:paraId="0ACC3C00" w14:textId="77777777" w:rsidR="00902CB1" w:rsidRPr="00DB18E5" w:rsidRDefault="00902CB1" w:rsidP="006C0228">
            <w:pPr>
              <w:rPr>
                <w:rFonts w:asciiTheme="majorBidi" w:hAnsiTheme="majorBidi" w:cstheme="majorBidi"/>
              </w:rPr>
            </w:pPr>
          </w:p>
        </w:tc>
        <w:tc>
          <w:tcPr>
            <w:tcW w:w="0" w:type="auto"/>
            <w:vAlign w:val="center"/>
          </w:tcPr>
          <w:p w14:paraId="582671EA" w14:textId="77777777" w:rsidR="00902CB1" w:rsidRPr="00DB18E5" w:rsidRDefault="00902CB1" w:rsidP="006C0228">
            <w:pPr>
              <w:rPr>
                <w:rFonts w:asciiTheme="majorBidi" w:hAnsiTheme="majorBidi" w:cstheme="majorBidi"/>
              </w:rPr>
            </w:pPr>
          </w:p>
        </w:tc>
        <w:tc>
          <w:tcPr>
            <w:tcW w:w="0" w:type="auto"/>
            <w:vAlign w:val="center"/>
            <w:hideMark/>
          </w:tcPr>
          <w:p w14:paraId="55ED0B65" w14:textId="77777777" w:rsidR="00902CB1" w:rsidRPr="00DB18E5" w:rsidRDefault="00902CB1" w:rsidP="006C0228">
            <w:pPr>
              <w:rPr>
                <w:rFonts w:asciiTheme="majorBidi" w:hAnsiTheme="majorBidi" w:cstheme="majorBidi"/>
              </w:rPr>
            </w:pPr>
          </w:p>
        </w:tc>
      </w:tr>
      <w:tr w:rsidR="00902CB1" w:rsidRPr="00DB18E5" w14:paraId="066A5ABB" w14:textId="77777777" w:rsidTr="006C0228">
        <w:trPr>
          <w:tblCellSpacing w:w="15" w:type="dxa"/>
        </w:trPr>
        <w:tc>
          <w:tcPr>
            <w:tcW w:w="0" w:type="auto"/>
            <w:vAlign w:val="center"/>
            <w:hideMark/>
          </w:tcPr>
          <w:p w14:paraId="47C56F87" w14:textId="77777777" w:rsidR="00902CB1" w:rsidRPr="00DB18E5" w:rsidRDefault="00902CB1" w:rsidP="006C0228">
            <w:pPr>
              <w:rPr>
                <w:rFonts w:asciiTheme="majorBidi" w:hAnsiTheme="majorBidi" w:cstheme="majorBidi"/>
              </w:rPr>
            </w:pPr>
            <w:r w:rsidRPr="00DB18E5">
              <w:rPr>
                <w:rFonts w:asciiTheme="majorBidi" w:hAnsiTheme="majorBidi" w:cstheme="majorBidi"/>
              </w:rPr>
              <w:t>Vasculitis exclusion</w:t>
            </w:r>
          </w:p>
        </w:tc>
        <w:tc>
          <w:tcPr>
            <w:tcW w:w="0" w:type="auto"/>
            <w:vAlign w:val="center"/>
            <w:hideMark/>
          </w:tcPr>
          <w:p w14:paraId="7C546E06" w14:textId="77777777" w:rsidR="00902CB1" w:rsidRPr="00DB18E5" w:rsidRDefault="00902CB1" w:rsidP="006C0228">
            <w:pPr>
              <w:rPr>
                <w:rFonts w:asciiTheme="majorBidi" w:hAnsiTheme="majorBidi" w:cstheme="majorBidi"/>
              </w:rPr>
            </w:pPr>
            <w:r w:rsidRPr="00DB18E5">
              <w:rPr>
                <w:rFonts w:asciiTheme="majorBidi" w:hAnsiTheme="majorBidi" w:cstheme="majorBidi"/>
              </w:rPr>
              <w:t>Inflammatory/immune-mediated vascular disease</w:t>
            </w:r>
          </w:p>
        </w:tc>
        <w:tc>
          <w:tcPr>
            <w:tcW w:w="0" w:type="auto"/>
            <w:vAlign w:val="center"/>
            <w:hideMark/>
          </w:tcPr>
          <w:p w14:paraId="4E0DE72C"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I77.6, M30–M36</w:t>
            </w:r>
          </w:p>
        </w:tc>
      </w:tr>
      <w:tr w:rsidR="00902CB1" w:rsidRPr="00DB18E5" w14:paraId="3ACB6DA1" w14:textId="77777777" w:rsidTr="006C0228">
        <w:trPr>
          <w:tblCellSpacing w:w="15" w:type="dxa"/>
        </w:trPr>
        <w:tc>
          <w:tcPr>
            <w:tcW w:w="0" w:type="auto"/>
            <w:vAlign w:val="center"/>
          </w:tcPr>
          <w:p w14:paraId="39275FF2" w14:textId="77777777" w:rsidR="00902CB1" w:rsidRPr="00DB18E5" w:rsidRDefault="00902CB1" w:rsidP="006C0228">
            <w:pPr>
              <w:rPr>
                <w:rFonts w:asciiTheme="majorBidi" w:hAnsiTheme="majorBidi" w:cstheme="majorBidi"/>
              </w:rPr>
            </w:pPr>
            <w:r w:rsidRPr="00DB18E5">
              <w:rPr>
                <w:rFonts w:asciiTheme="majorBidi" w:hAnsiTheme="majorBidi" w:cstheme="majorBidi"/>
              </w:rPr>
              <w:t>Carotid artery disease</w:t>
            </w:r>
          </w:p>
        </w:tc>
        <w:tc>
          <w:tcPr>
            <w:tcW w:w="0" w:type="auto"/>
            <w:vAlign w:val="center"/>
          </w:tcPr>
          <w:p w14:paraId="3698A09B" w14:textId="77777777" w:rsidR="00902CB1" w:rsidRPr="00DB18E5" w:rsidRDefault="00902CB1" w:rsidP="006C0228">
            <w:pPr>
              <w:rPr>
                <w:rFonts w:asciiTheme="majorBidi" w:hAnsiTheme="majorBidi" w:cstheme="majorBidi"/>
              </w:rPr>
            </w:pPr>
            <w:r w:rsidRPr="00DB18E5">
              <w:rPr>
                <w:rFonts w:asciiTheme="majorBidi" w:hAnsiTheme="majorBidi" w:cstheme="majorBidi"/>
              </w:rPr>
              <w:t>Non-PAD vascular phenotype excluded from primary PAD/PVD cohort</w:t>
            </w:r>
          </w:p>
        </w:tc>
        <w:tc>
          <w:tcPr>
            <w:tcW w:w="0" w:type="auto"/>
            <w:vAlign w:val="center"/>
          </w:tcPr>
          <w:p w14:paraId="18561E0C"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I70.8</w:t>
            </w:r>
          </w:p>
        </w:tc>
      </w:tr>
      <w:tr w:rsidR="00902CB1" w:rsidRPr="00DB18E5" w14:paraId="5D730AC8" w14:textId="77777777" w:rsidTr="006C0228">
        <w:trPr>
          <w:tblCellSpacing w:w="15" w:type="dxa"/>
        </w:trPr>
        <w:tc>
          <w:tcPr>
            <w:tcW w:w="0" w:type="auto"/>
            <w:vAlign w:val="center"/>
            <w:hideMark/>
          </w:tcPr>
          <w:p w14:paraId="293986F7" w14:textId="77777777" w:rsidR="00902CB1" w:rsidRPr="00DB18E5" w:rsidRDefault="00902CB1" w:rsidP="006C0228">
            <w:pPr>
              <w:rPr>
                <w:rFonts w:asciiTheme="majorBidi" w:hAnsiTheme="majorBidi" w:cstheme="majorBidi"/>
              </w:rPr>
            </w:pPr>
            <w:r w:rsidRPr="00DB18E5">
              <w:rPr>
                <w:rFonts w:asciiTheme="majorBidi" w:hAnsiTheme="majorBidi" w:cstheme="majorBidi"/>
              </w:rPr>
              <w:t>Chronic kidney disease</w:t>
            </w:r>
          </w:p>
        </w:tc>
        <w:tc>
          <w:tcPr>
            <w:tcW w:w="0" w:type="auto"/>
            <w:vAlign w:val="center"/>
            <w:hideMark/>
          </w:tcPr>
          <w:p w14:paraId="1EFB8487" w14:textId="77777777" w:rsidR="00902CB1" w:rsidRPr="00DB18E5" w:rsidRDefault="00902CB1" w:rsidP="006C0228">
            <w:pPr>
              <w:rPr>
                <w:rFonts w:asciiTheme="majorBidi" w:hAnsiTheme="majorBidi" w:cstheme="majorBidi"/>
              </w:rPr>
            </w:pPr>
            <w:r w:rsidRPr="00DB18E5">
              <w:rPr>
                <w:rFonts w:asciiTheme="majorBidi" w:hAnsiTheme="majorBidi" w:cstheme="majorBidi"/>
              </w:rPr>
              <w:t>CKD diagnosis</w:t>
            </w:r>
          </w:p>
        </w:tc>
        <w:tc>
          <w:tcPr>
            <w:tcW w:w="0" w:type="auto"/>
            <w:vAlign w:val="center"/>
            <w:hideMark/>
          </w:tcPr>
          <w:p w14:paraId="3217FDDE"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N18.2, N18.3, N18.4, N18.5, N18.9, E08.22, E09.22, E10.22, E11.22, E13.22, I12.9</w:t>
            </w:r>
          </w:p>
        </w:tc>
      </w:tr>
      <w:tr w:rsidR="00902CB1" w:rsidRPr="00DB18E5" w14:paraId="3D05BAFC" w14:textId="77777777" w:rsidTr="006C0228">
        <w:trPr>
          <w:tblCellSpacing w:w="15" w:type="dxa"/>
        </w:trPr>
        <w:tc>
          <w:tcPr>
            <w:tcW w:w="0" w:type="auto"/>
            <w:vAlign w:val="center"/>
            <w:hideMark/>
          </w:tcPr>
          <w:p w14:paraId="21719265" w14:textId="77777777" w:rsidR="00902CB1" w:rsidRPr="00DB18E5" w:rsidRDefault="00902CB1" w:rsidP="006C0228">
            <w:pPr>
              <w:rPr>
                <w:rFonts w:asciiTheme="majorBidi" w:hAnsiTheme="majorBidi" w:cstheme="majorBidi"/>
              </w:rPr>
            </w:pPr>
            <w:r w:rsidRPr="00DB18E5">
              <w:rPr>
                <w:rFonts w:asciiTheme="majorBidi" w:hAnsiTheme="majorBidi" w:cstheme="majorBidi"/>
              </w:rPr>
              <w:t>Hypertension</w:t>
            </w:r>
          </w:p>
        </w:tc>
        <w:tc>
          <w:tcPr>
            <w:tcW w:w="0" w:type="auto"/>
            <w:vAlign w:val="center"/>
            <w:hideMark/>
          </w:tcPr>
          <w:p w14:paraId="1D09EA36" w14:textId="77777777" w:rsidR="00902CB1" w:rsidRPr="00DB18E5" w:rsidRDefault="00902CB1" w:rsidP="006C0228">
            <w:pPr>
              <w:rPr>
                <w:rFonts w:asciiTheme="majorBidi" w:hAnsiTheme="majorBidi" w:cstheme="majorBidi"/>
              </w:rPr>
            </w:pPr>
            <w:r w:rsidRPr="00DB18E5">
              <w:rPr>
                <w:rFonts w:asciiTheme="majorBidi" w:hAnsiTheme="majorBidi" w:cstheme="majorBidi"/>
              </w:rPr>
              <w:t>Hypertension diagnosis</w:t>
            </w:r>
          </w:p>
        </w:tc>
        <w:tc>
          <w:tcPr>
            <w:tcW w:w="0" w:type="auto"/>
            <w:vAlign w:val="center"/>
            <w:hideMark/>
          </w:tcPr>
          <w:p w14:paraId="206AD1F7"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I10</w:t>
            </w:r>
          </w:p>
        </w:tc>
      </w:tr>
      <w:tr w:rsidR="00902CB1" w:rsidRPr="00DB18E5" w14:paraId="2F207125" w14:textId="77777777" w:rsidTr="006C0228">
        <w:trPr>
          <w:tblCellSpacing w:w="15" w:type="dxa"/>
        </w:trPr>
        <w:tc>
          <w:tcPr>
            <w:tcW w:w="0" w:type="auto"/>
            <w:vAlign w:val="center"/>
            <w:hideMark/>
          </w:tcPr>
          <w:p w14:paraId="1FE32F9D" w14:textId="77777777" w:rsidR="00902CB1" w:rsidRPr="00DB18E5" w:rsidRDefault="00902CB1" w:rsidP="006C0228">
            <w:pPr>
              <w:rPr>
                <w:rFonts w:asciiTheme="majorBidi" w:hAnsiTheme="majorBidi" w:cstheme="majorBidi"/>
              </w:rPr>
            </w:pPr>
            <w:r w:rsidRPr="00DB18E5">
              <w:rPr>
                <w:rFonts w:asciiTheme="majorBidi" w:hAnsiTheme="majorBidi" w:cstheme="majorBidi"/>
              </w:rPr>
              <w:t>Dyslipidemia / hyperlipidemia</w:t>
            </w:r>
          </w:p>
        </w:tc>
        <w:tc>
          <w:tcPr>
            <w:tcW w:w="0" w:type="auto"/>
            <w:vAlign w:val="center"/>
            <w:hideMark/>
          </w:tcPr>
          <w:p w14:paraId="69A65A3F" w14:textId="77777777" w:rsidR="00902CB1" w:rsidRPr="00DB18E5" w:rsidRDefault="00902CB1" w:rsidP="006C0228">
            <w:pPr>
              <w:rPr>
                <w:rFonts w:asciiTheme="majorBidi" w:hAnsiTheme="majorBidi" w:cstheme="majorBidi"/>
              </w:rPr>
            </w:pPr>
            <w:r w:rsidRPr="00DB18E5">
              <w:rPr>
                <w:rFonts w:asciiTheme="majorBidi" w:hAnsiTheme="majorBidi" w:cstheme="majorBidi"/>
              </w:rPr>
              <w:t>Lipid disorder diagnosis</w:t>
            </w:r>
          </w:p>
        </w:tc>
        <w:tc>
          <w:tcPr>
            <w:tcW w:w="0" w:type="auto"/>
            <w:vAlign w:val="center"/>
            <w:hideMark/>
          </w:tcPr>
          <w:p w14:paraId="2DE11647"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E78.0, E78.49</w:t>
            </w:r>
          </w:p>
        </w:tc>
      </w:tr>
      <w:tr w:rsidR="00902CB1" w:rsidRPr="00DB18E5" w14:paraId="00E1A44D" w14:textId="77777777" w:rsidTr="006C0228">
        <w:trPr>
          <w:tblCellSpacing w:w="15" w:type="dxa"/>
        </w:trPr>
        <w:tc>
          <w:tcPr>
            <w:tcW w:w="0" w:type="auto"/>
            <w:vAlign w:val="center"/>
            <w:hideMark/>
          </w:tcPr>
          <w:p w14:paraId="0AA159A2" w14:textId="77777777" w:rsidR="00902CB1" w:rsidRPr="00DB18E5" w:rsidRDefault="00902CB1" w:rsidP="006C0228">
            <w:pPr>
              <w:rPr>
                <w:rFonts w:asciiTheme="majorBidi" w:hAnsiTheme="majorBidi" w:cstheme="majorBidi"/>
              </w:rPr>
            </w:pPr>
            <w:r w:rsidRPr="00DB18E5">
              <w:rPr>
                <w:rFonts w:asciiTheme="majorBidi" w:hAnsiTheme="majorBidi" w:cstheme="majorBidi"/>
              </w:rPr>
              <w:t>Atrial fibrillation</w:t>
            </w:r>
          </w:p>
        </w:tc>
        <w:tc>
          <w:tcPr>
            <w:tcW w:w="0" w:type="auto"/>
            <w:vAlign w:val="center"/>
            <w:hideMark/>
          </w:tcPr>
          <w:p w14:paraId="6AF85060" w14:textId="77777777" w:rsidR="00902CB1" w:rsidRPr="00DB18E5" w:rsidRDefault="00902CB1" w:rsidP="006C0228">
            <w:pPr>
              <w:rPr>
                <w:rFonts w:asciiTheme="majorBidi" w:hAnsiTheme="majorBidi" w:cstheme="majorBidi"/>
              </w:rPr>
            </w:pPr>
            <w:r w:rsidRPr="00DB18E5">
              <w:rPr>
                <w:rFonts w:asciiTheme="majorBidi" w:hAnsiTheme="majorBidi" w:cstheme="majorBidi"/>
              </w:rPr>
              <w:t>AF diagnosis</w:t>
            </w:r>
          </w:p>
        </w:tc>
        <w:tc>
          <w:tcPr>
            <w:tcW w:w="0" w:type="auto"/>
            <w:vAlign w:val="center"/>
            <w:hideMark/>
          </w:tcPr>
          <w:p w14:paraId="53305960"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I48, I48.0–I48.4, I48.9</w:t>
            </w:r>
          </w:p>
        </w:tc>
      </w:tr>
      <w:tr w:rsidR="00902CB1" w:rsidRPr="00DB18E5" w14:paraId="420B1591" w14:textId="77777777" w:rsidTr="006C0228">
        <w:trPr>
          <w:tblCellSpacing w:w="15" w:type="dxa"/>
        </w:trPr>
        <w:tc>
          <w:tcPr>
            <w:tcW w:w="0" w:type="auto"/>
            <w:vAlign w:val="center"/>
            <w:hideMark/>
          </w:tcPr>
          <w:p w14:paraId="6B68CB14" w14:textId="77777777" w:rsidR="00902CB1" w:rsidRPr="00DB18E5" w:rsidRDefault="00902CB1" w:rsidP="006C0228">
            <w:pPr>
              <w:rPr>
                <w:rFonts w:asciiTheme="majorBidi" w:hAnsiTheme="majorBidi" w:cstheme="majorBidi"/>
              </w:rPr>
            </w:pPr>
            <w:r w:rsidRPr="00DB18E5">
              <w:rPr>
                <w:rFonts w:asciiTheme="majorBidi" w:hAnsiTheme="majorBidi" w:cstheme="majorBidi"/>
              </w:rPr>
              <w:t>Ischemic heart disease</w:t>
            </w:r>
          </w:p>
        </w:tc>
        <w:tc>
          <w:tcPr>
            <w:tcW w:w="0" w:type="auto"/>
            <w:vAlign w:val="center"/>
            <w:hideMark/>
          </w:tcPr>
          <w:p w14:paraId="2E43A572" w14:textId="77777777" w:rsidR="00902CB1" w:rsidRPr="00DB18E5" w:rsidRDefault="00902CB1" w:rsidP="006C0228">
            <w:pPr>
              <w:rPr>
                <w:rFonts w:asciiTheme="majorBidi" w:hAnsiTheme="majorBidi" w:cstheme="majorBidi"/>
              </w:rPr>
            </w:pPr>
            <w:r w:rsidRPr="00DB18E5">
              <w:rPr>
                <w:rFonts w:asciiTheme="majorBidi" w:hAnsiTheme="majorBidi" w:cstheme="majorBidi"/>
              </w:rPr>
              <w:t>IHD diagnosis</w:t>
            </w:r>
          </w:p>
        </w:tc>
        <w:tc>
          <w:tcPr>
            <w:tcW w:w="0" w:type="auto"/>
            <w:vAlign w:val="center"/>
            <w:hideMark/>
          </w:tcPr>
          <w:p w14:paraId="742ECA12"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I21, I22, I24, I24.9, I25, I25.1, I25.2, I25.3, I25.5, I25.6, I25.7, I25.8, I25.9</w:t>
            </w:r>
          </w:p>
        </w:tc>
      </w:tr>
      <w:tr w:rsidR="00902CB1" w:rsidRPr="00DB18E5" w14:paraId="16FA9148" w14:textId="77777777" w:rsidTr="006C0228">
        <w:trPr>
          <w:tblCellSpacing w:w="15" w:type="dxa"/>
        </w:trPr>
        <w:tc>
          <w:tcPr>
            <w:tcW w:w="0" w:type="auto"/>
            <w:vAlign w:val="center"/>
            <w:hideMark/>
          </w:tcPr>
          <w:p w14:paraId="3E472D6C" w14:textId="77777777" w:rsidR="00902CB1" w:rsidRPr="00DB18E5" w:rsidRDefault="00902CB1" w:rsidP="006C0228">
            <w:pPr>
              <w:rPr>
                <w:rFonts w:asciiTheme="majorBidi" w:hAnsiTheme="majorBidi" w:cstheme="majorBidi"/>
              </w:rPr>
            </w:pPr>
            <w:r w:rsidRPr="00DB18E5">
              <w:rPr>
                <w:rFonts w:asciiTheme="majorBidi" w:hAnsiTheme="majorBidi" w:cstheme="majorBidi"/>
              </w:rPr>
              <w:lastRenderedPageBreak/>
              <w:t>Heart failure</w:t>
            </w:r>
          </w:p>
        </w:tc>
        <w:tc>
          <w:tcPr>
            <w:tcW w:w="0" w:type="auto"/>
            <w:vAlign w:val="center"/>
            <w:hideMark/>
          </w:tcPr>
          <w:p w14:paraId="4BA66897" w14:textId="77777777" w:rsidR="00902CB1" w:rsidRPr="00DB18E5" w:rsidRDefault="00902CB1" w:rsidP="006C0228">
            <w:pPr>
              <w:rPr>
                <w:rFonts w:asciiTheme="majorBidi" w:hAnsiTheme="majorBidi" w:cstheme="majorBidi"/>
              </w:rPr>
            </w:pPr>
            <w:r w:rsidRPr="00DB18E5">
              <w:rPr>
                <w:rFonts w:asciiTheme="majorBidi" w:hAnsiTheme="majorBidi" w:cstheme="majorBidi"/>
              </w:rPr>
              <w:t>Heart failure diagnosis</w:t>
            </w:r>
          </w:p>
        </w:tc>
        <w:tc>
          <w:tcPr>
            <w:tcW w:w="0" w:type="auto"/>
            <w:vAlign w:val="center"/>
            <w:hideMark/>
          </w:tcPr>
          <w:p w14:paraId="4A075953"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I50, I50.1, I50.2, I50.3, I50.4, I50.8, I50.9</w:t>
            </w:r>
          </w:p>
        </w:tc>
      </w:tr>
      <w:tr w:rsidR="00902CB1" w:rsidRPr="00DB18E5" w14:paraId="2AAE598A" w14:textId="77777777" w:rsidTr="006C0228">
        <w:trPr>
          <w:tblCellSpacing w:w="15" w:type="dxa"/>
        </w:trPr>
        <w:tc>
          <w:tcPr>
            <w:tcW w:w="0" w:type="auto"/>
            <w:vAlign w:val="center"/>
            <w:hideMark/>
          </w:tcPr>
          <w:p w14:paraId="25A43F9D" w14:textId="77777777" w:rsidR="00902CB1" w:rsidRPr="00DB18E5" w:rsidRDefault="00902CB1" w:rsidP="006C0228">
            <w:pPr>
              <w:rPr>
                <w:rFonts w:asciiTheme="majorBidi" w:hAnsiTheme="majorBidi" w:cstheme="majorBidi"/>
              </w:rPr>
            </w:pPr>
            <w:r w:rsidRPr="00DB18E5">
              <w:rPr>
                <w:rFonts w:asciiTheme="majorBidi" w:hAnsiTheme="majorBidi" w:cstheme="majorBidi"/>
              </w:rPr>
              <w:t>Prior stroke / cerebrovascular disease</w:t>
            </w:r>
          </w:p>
        </w:tc>
        <w:tc>
          <w:tcPr>
            <w:tcW w:w="0" w:type="auto"/>
            <w:vAlign w:val="center"/>
            <w:hideMark/>
          </w:tcPr>
          <w:p w14:paraId="29293650" w14:textId="77777777" w:rsidR="00902CB1" w:rsidRPr="00DB18E5" w:rsidRDefault="00902CB1" w:rsidP="006C0228">
            <w:pPr>
              <w:rPr>
                <w:rFonts w:asciiTheme="majorBidi" w:hAnsiTheme="majorBidi" w:cstheme="majorBidi"/>
              </w:rPr>
            </w:pPr>
            <w:r w:rsidRPr="00DB18E5">
              <w:rPr>
                <w:rFonts w:asciiTheme="majorBidi" w:hAnsiTheme="majorBidi" w:cstheme="majorBidi"/>
              </w:rPr>
              <w:t>Cerebrovascular diagnosis</w:t>
            </w:r>
          </w:p>
        </w:tc>
        <w:tc>
          <w:tcPr>
            <w:tcW w:w="0" w:type="auto"/>
            <w:vAlign w:val="center"/>
            <w:hideMark/>
          </w:tcPr>
          <w:p w14:paraId="2D157175"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I63, I65, I67, Z86.73</w:t>
            </w:r>
          </w:p>
        </w:tc>
      </w:tr>
      <w:tr w:rsidR="00902CB1" w:rsidRPr="00DB18E5" w14:paraId="75BA8CE7" w14:textId="77777777" w:rsidTr="006C0228">
        <w:trPr>
          <w:tblCellSpacing w:w="15" w:type="dxa"/>
        </w:trPr>
        <w:tc>
          <w:tcPr>
            <w:tcW w:w="0" w:type="auto"/>
            <w:vAlign w:val="center"/>
            <w:hideMark/>
          </w:tcPr>
          <w:p w14:paraId="7DADDA45" w14:textId="77777777" w:rsidR="00902CB1" w:rsidRPr="00DB18E5" w:rsidRDefault="00902CB1" w:rsidP="006C0228">
            <w:pPr>
              <w:rPr>
                <w:rFonts w:asciiTheme="majorBidi" w:hAnsiTheme="majorBidi" w:cstheme="majorBidi"/>
              </w:rPr>
            </w:pPr>
            <w:r w:rsidRPr="00DB18E5">
              <w:rPr>
                <w:rFonts w:asciiTheme="majorBidi" w:hAnsiTheme="majorBidi" w:cstheme="majorBidi"/>
              </w:rPr>
              <w:t>Obesity</w:t>
            </w:r>
          </w:p>
        </w:tc>
        <w:tc>
          <w:tcPr>
            <w:tcW w:w="0" w:type="auto"/>
            <w:vAlign w:val="center"/>
            <w:hideMark/>
          </w:tcPr>
          <w:p w14:paraId="119B92CA" w14:textId="77777777" w:rsidR="00902CB1" w:rsidRPr="00DB18E5" w:rsidRDefault="00902CB1" w:rsidP="006C0228">
            <w:pPr>
              <w:rPr>
                <w:rFonts w:asciiTheme="majorBidi" w:hAnsiTheme="majorBidi" w:cstheme="majorBidi"/>
              </w:rPr>
            </w:pPr>
            <w:r w:rsidRPr="00DB18E5">
              <w:rPr>
                <w:rFonts w:asciiTheme="majorBidi" w:hAnsiTheme="majorBidi" w:cstheme="majorBidi"/>
              </w:rPr>
              <w:t>Obesity diagnosis</w:t>
            </w:r>
          </w:p>
        </w:tc>
        <w:tc>
          <w:tcPr>
            <w:tcW w:w="0" w:type="auto"/>
            <w:vAlign w:val="center"/>
            <w:hideMark/>
          </w:tcPr>
          <w:p w14:paraId="185AFD77"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E66, E66.9, Z68.3</w:t>
            </w:r>
          </w:p>
        </w:tc>
      </w:tr>
      <w:tr w:rsidR="00902CB1" w:rsidRPr="00DB18E5" w14:paraId="1EC2C34E" w14:textId="77777777" w:rsidTr="006C0228">
        <w:trPr>
          <w:tblCellSpacing w:w="15" w:type="dxa"/>
        </w:trPr>
        <w:tc>
          <w:tcPr>
            <w:tcW w:w="0" w:type="auto"/>
            <w:vAlign w:val="center"/>
            <w:hideMark/>
          </w:tcPr>
          <w:p w14:paraId="10BC6F7C" w14:textId="77777777" w:rsidR="00902CB1" w:rsidRPr="00DB18E5" w:rsidRDefault="00902CB1" w:rsidP="006C0228">
            <w:pPr>
              <w:rPr>
                <w:rFonts w:asciiTheme="majorBidi" w:hAnsiTheme="majorBidi" w:cstheme="majorBidi"/>
              </w:rPr>
            </w:pPr>
            <w:r w:rsidRPr="00DB18E5">
              <w:rPr>
                <w:rFonts w:asciiTheme="majorBidi" w:hAnsiTheme="majorBidi" w:cstheme="majorBidi"/>
              </w:rPr>
              <w:t>Smoking</w:t>
            </w:r>
          </w:p>
        </w:tc>
        <w:tc>
          <w:tcPr>
            <w:tcW w:w="0" w:type="auto"/>
            <w:vAlign w:val="center"/>
            <w:hideMark/>
          </w:tcPr>
          <w:p w14:paraId="280D9B60" w14:textId="77777777" w:rsidR="00902CB1" w:rsidRPr="00DB18E5" w:rsidRDefault="00902CB1" w:rsidP="006C0228">
            <w:pPr>
              <w:rPr>
                <w:rFonts w:asciiTheme="majorBidi" w:hAnsiTheme="majorBidi" w:cstheme="majorBidi"/>
              </w:rPr>
            </w:pPr>
            <w:r w:rsidRPr="00DB18E5">
              <w:rPr>
                <w:rFonts w:asciiTheme="majorBidi" w:hAnsiTheme="majorBidi" w:cstheme="majorBidi"/>
              </w:rPr>
              <w:t>Smoking history</w:t>
            </w:r>
          </w:p>
        </w:tc>
        <w:tc>
          <w:tcPr>
            <w:tcW w:w="0" w:type="auto"/>
            <w:vAlign w:val="center"/>
            <w:hideMark/>
          </w:tcPr>
          <w:p w14:paraId="2D0E759D"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F17, F17.20, F17.210, Z72.0, Z87.891</w:t>
            </w:r>
          </w:p>
        </w:tc>
      </w:tr>
      <w:tr w:rsidR="00902CB1" w:rsidRPr="00DB18E5" w14:paraId="41F89806" w14:textId="77777777" w:rsidTr="006C0228">
        <w:trPr>
          <w:tblCellSpacing w:w="15" w:type="dxa"/>
        </w:trPr>
        <w:tc>
          <w:tcPr>
            <w:tcW w:w="0" w:type="auto"/>
            <w:vAlign w:val="center"/>
            <w:hideMark/>
          </w:tcPr>
          <w:p w14:paraId="30CB54D0" w14:textId="77777777" w:rsidR="00902CB1" w:rsidRPr="00DB18E5" w:rsidRDefault="00902CB1" w:rsidP="006C0228">
            <w:pPr>
              <w:rPr>
                <w:rFonts w:asciiTheme="majorBidi" w:hAnsiTheme="majorBidi" w:cstheme="majorBidi"/>
              </w:rPr>
            </w:pPr>
            <w:r w:rsidRPr="00DB18E5">
              <w:rPr>
                <w:rFonts w:asciiTheme="majorBidi" w:hAnsiTheme="majorBidi" w:cstheme="majorBidi"/>
              </w:rPr>
              <w:t>Metabolic-associated liver disease</w:t>
            </w:r>
          </w:p>
        </w:tc>
        <w:tc>
          <w:tcPr>
            <w:tcW w:w="0" w:type="auto"/>
            <w:vAlign w:val="center"/>
            <w:hideMark/>
          </w:tcPr>
          <w:p w14:paraId="0381825D" w14:textId="77777777" w:rsidR="00902CB1" w:rsidRPr="00DB18E5" w:rsidRDefault="00902CB1" w:rsidP="006C0228">
            <w:pPr>
              <w:rPr>
                <w:rFonts w:asciiTheme="majorBidi" w:hAnsiTheme="majorBidi" w:cstheme="majorBidi"/>
              </w:rPr>
            </w:pPr>
            <w:r w:rsidRPr="00DB18E5">
              <w:rPr>
                <w:rFonts w:asciiTheme="majorBidi" w:hAnsiTheme="majorBidi" w:cstheme="majorBidi"/>
              </w:rPr>
              <w:t>MASLD/MASH-related diagnosis</w:t>
            </w:r>
          </w:p>
        </w:tc>
        <w:tc>
          <w:tcPr>
            <w:tcW w:w="0" w:type="auto"/>
            <w:vAlign w:val="center"/>
            <w:hideMark/>
          </w:tcPr>
          <w:p w14:paraId="1A72D240"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 K75.81</w:t>
            </w:r>
          </w:p>
        </w:tc>
      </w:tr>
    </w:tbl>
    <w:p w14:paraId="78ECEF8C" w14:textId="77777777" w:rsidR="00902CB1" w:rsidRPr="00DB18E5" w:rsidRDefault="00902CB1" w:rsidP="00902CB1">
      <w:pPr>
        <w:rPr>
          <w:rFonts w:asciiTheme="majorBidi" w:hAnsiTheme="majorBidi" w:cstheme="majorBidi"/>
          <w:b/>
          <w:bCs/>
        </w:rPr>
      </w:pPr>
      <w:r w:rsidRPr="00DB18E5">
        <w:rPr>
          <w:rFonts w:asciiTheme="majorBidi" w:hAnsiTheme="majorBidi" w:cstheme="majorBidi"/>
          <w:b/>
          <w:bCs/>
        </w:rPr>
        <w:t>Important coding note: The broad ICD-10 range I00–I99 should not be used as a heart failure definition because it captures the entire circulatory disease chapter and is not specific for heart failure.</w:t>
      </w:r>
    </w:p>
    <w:p w14:paraId="34AED81A" w14:textId="77777777" w:rsidR="00902CB1" w:rsidRPr="00DB18E5" w:rsidRDefault="00902CB1" w:rsidP="00902CB1">
      <w:pPr>
        <w:rPr>
          <w:rFonts w:asciiTheme="majorBidi" w:hAnsiTheme="majorBidi" w:cstheme="majorBidi"/>
          <w:b/>
          <w:bCs/>
        </w:rPr>
      </w:pPr>
    </w:p>
    <w:p w14:paraId="32A53C3B" w14:textId="77777777" w:rsidR="00902CB1" w:rsidRPr="00DB18E5" w:rsidRDefault="00902CB1" w:rsidP="00902CB1">
      <w:pPr>
        <w:rPr>
          <w:rFonts w:asciiTheme="majorBidi" w:hAnsiTheme="majorBidi" w:cstheme="majorBidi"/>
          <w:b/>
          <w:bCs/>
        </w:rPr>
      </w:pPr>
      <w:proofErr w:type="spellStart"/>
      <w:r w:rsidRPr="00DB18E5">
        <w:rPr>
          <w:rFonts w:asciiTheme="majorBidi" w:hAnsiTheme="majorBidi" w:cstheme="majorBidi"/>
          <w:b/>
          <w:bCs/>
        </w:rPr>
        <w:t>eTable</w:t>
      </w:r>
      <w:proofErr w:type="spellEnd"/>
      <w:r w:rsidRPr="00DB18E5">
        <w:rPr>
          <w:rFonts w:asciiTheme="majorBidi" w:hAnsiTheme="majorBidi" w:cstheme="majorBidi"/>
          <w:b/>
          <w:bCs/>
        </w:rPr>
        <w:t xml:space="preserve"> 2. Outcome definitions and codes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8"/>
        <w:gridCol w:w="3154"/>
        <w:gridCol w:w="4138"/>
      </w:tblGrid>
      <w:tr w:rsidR="00902CB1" w:rsidRPr="00DB18E5" w14:paraId="0D8C56A7" w14:textId="77777777" w:rsidTr="006C0228">
        <w:trPr>
          <w:tblHeader/>
          <w:tblCellSpacing w:w="15" w:type="dxa"/>
        </w:trPr>
        <w:tc>
          <w:tcPr>
            <w:tcW w:w="0" w:type="auto"/>
            <w:vAlign w:val="center"/>
            <w:hideMark/>
          </w:tcPr>
          <w:p w14:paraId="080474A9"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Outcome</w:t>
            </w:r>
          </w:p>
        </w:tc>
        <w:tc>
          <w:tcPr>
            <w:tcW w:w="0" w:type="auto"/>
            <w:vAlign w:val="center"/>
            <w:hideMark/>
          </w:tcPr>
          <w:p w14:paraId="2DFC26FA"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Definition</w:t>
            </w:r>
          </w:p>
        </w:tc>
        <w:tc>
          <w:tcPr>
            <w:tcW w:w="0" w:type="auto"/>
            <w:vAlign w:val="center"/>
            <w:hideMark/>
          </w:tcPr>
          <w:p w14:paraId="3D700569"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Codes / data source</w:t>
            </w:r>
          </w:p>
        </w:tc>
      </w:tr>
      <w:tr w:rsidR="00902CB1" w:rsidRPr="00DB18E5" w14:paraId="05EC6025" w14:textId="77777777" w:rsidTr="006C0228">
        <w:trPr>
          <w:tblCellSpacing w:w="15" w:type="dxa"/>
        </w:trPr>
        <w:tc>
          <w:tcPr>
            <w:tcW w:w="0" w:type="auto"/>
            <w:vAlign w:val="center"/>
            <w:hideMark/>
          </w:tcPr>
          <w:p w14:paraId="5BE4FF69" w14:textId="77777777" w:rsidR="00902CB1" w:rsidRPr="00DB18E5" w:rsidRDefault="00902CB1" w:rsidP="006C0228">
            <w:pPr>
              <w:rPr>
                <w:rFonts w:asciiTheme="majorBidi" w:hAnsiTheme="majorBidi" w:cstheme="majorBidi"/>
              </w:rPr>
            </w:pPr>
            <w:r w:rsidRPr="00DB18E5">
              <w:rPr>
                <w:rFonts w:asciiTheme="majorBidi" w:hAnsiTheme="majorBidi" w:cstheme="majorBidi"/>
              </w:rPr>
              <w:t>Major adverse limb events (MALE)</w:t>
            </w:r>
          </w:p>
        </w:tc>
        <w:tc>
          <w:tcPr>
            <w:tcW w:w="0" w:type="auto"/>
            <w:vAlign w:val="center"/>
            <w:hideMark/>
          </w:tcPr>
          <w:p w14:paraId="7B274891" w14:textId="77777777" w:rsidR="00902CB1" w:rsidRPr="00DB18E5" w:rsidRDefault="00902CB1" w:rsidP="006C0228">
            <w:pPr>
              <w:rPr>
                <w:rFonts w:asciiTheme="majorBidi" w:hAnsiTheme="majorBidi" w:cstheme="majorBidi"/>
              </w:rPr>
            </w:pPr>
            <w:r w:rsidRPr="00DB18E5">
              <w:rPr>
                <w:rFonts w:asciiTheme="majorBidi" w:hAnsiTheme="majorBidi" w:cstheme="majorBidi"/>
              </w:rPr>
              <w:t>Composite of incident lower-limb revascularization or amputation after index date</w:t>
            </w:r>
          </w:p>
        </w:tc>
        <w:tc>
          <w:tcPr>
            <w:tcW w:w="0" w:type="auto"/>
            <w:vAlign w:val="center"/>
            <w:hideMark/>
          </w:tcPr>
          <w:p w14:paraId="2D17D252" w14:textId="77777777" w:rsidR="00902CB1" w:rsidRPr="00DB18E5" w:rsidRDefault="00902CB1" w:rsidP="006C0228">
            <w:pPr>
              <w:rPr>
                <w:rFonts w:asciiTheme="majorBidi" w:hAnsiTheme="majorBidi" w:cstheme="majorBidi"/>
              </w:rPr>
            </w:pPr>
            <w:r w:rsidRPr="00DB18E5">
              <w:rPr>
                <w:rFonts w:asciiTheme="majorBidi" w:hAnsiTheme="majorBidi" w:cstheme="majorBidi"/>
              </w:rPr>
              <w:t>Derived from limb revascularization and amputation fields/codes</w:t>
            </w:r>
          </w:p>
        </w:tc>
      </w:tr>
      <w:tr w:rsidR="00902CB1" w:rsidRPr="00DB18E5" w14:paraId="09FE27B9" w14:textId="77777777" w:rsidTr="006C0228">
        <w:trPr>
          <w:tblCellSpacing w:w="15" w:type="dxa"/>
        </w:trPr>
        <w:tc>
          <w:tcPr>
            <w:tcW w:w="0" w:type="auto"/>
            <w:vAlign w:val="center"/>
            <w:hideMark/>
          </w:tcPr>
          <w:p w14:paraId="58312270" w14:textId="77777777" w:rsidR="00902CB1" w:rsidRPr="00DB18E5" w:rsidRDefault="00902CB1" w:rsidP="006C0228">
            <w:pPr>
              <w:rPr>
                <w:rFonts w:asciiTheme="majorBidi" w:hAnsiTheme="majorBidi" w:cstheme="majorBidi"/>
              </w:rPr>
            </w:pPr>
            <w:r w:rsidRPr="00DB18E5">
              <w:rPr>
                <w:rFonts w:asciiTheme="majorBidi" w:hAnsiTheme="majorBidi" w:cstheme="majorBidi"/>
              </w:rPr>
              <w:t>Limb revascularization</w:t>
            </w:r>
          </w:p>
        </w:tc>
        <w:tc>
          <w:tcPr>
            <w:tcW w:w="0" w:type="auto"/>
            <w:vAlign w:val="center"/>
            <w:hideMark/>
          </w:tcPr>
          <w:p w14:paraId="700308F6" w14:textId="77777777" w:rsidR="00902CB1" w:rsidRPr="00DB18E5" w:rsidRDefault="00902CB1" w:rsidP="006C0228">
            <w:pPr>
              <w:rPr>
                <w:rFonts w:asciiTheme="majorBidi" w:hAnsiTheme="majorBidi" w:cstheme="majorBidi"/>
              </w:rPr>
            </w:pPr>
            <w:r w:rsidRPr="00DB18E5">
              <w:rPr>
                <w:rFonts w:asciiTheme="majorBidi" w:hAnsiTheme="majorBidi" w:cstheme="majorBidi"/>
              </w:rPr>
              <w:t>Incident lower-extremity vascular intervention after index date</w:t>
            </w:r>
          </w:p>
        </w:tc>
        <w:tc>
          <w:tcPr>
            <w:tcW w:w="0" w:type="auto"/>
            <w:vAlign w:val="center"/>
            <w:hideMark/>
          </w:tcPr>
          <w:p w14:paraId="3F7BC33F" w14:textId="77777777" w:rsidR="00902CB1" w:rsidRPr="00DB18E5" w:rsidRDefault="00902CB1" w:rsidP="006C0228">
            <w:pPr>
              <w:rPr>
                <w:rFonts w:asciiTheme="majorBidi" w:hAnsiTheme="majorBidi" w:cstheme="majorBidi"/>
              </w:rPr>
            </w:pPr>
            <w:r w:rsidRPr="00DB18E5">
              <w:rPr>
                <w:rFonts w:asciiTheme="majorBidi" w:hAnsiTheme="majorBidi" w:cstheme="majorBidi"/>
              </w:rPr>
              <w:t>Procedure codes from CHS/</w:t>
            </w:r>
            <w:proofErr w:type="spellStart"/>
            <w:r w:rsidRPr="00DB18E5">
              <w:rPr>
                <w:rFonts w:asciiTheme="majorBidi" w:hAnsiTheme="majorBidi" w:cstheme="majorBidi"/>
              </w:rPr>
              <w:t>MDClone</w:t>
            </w:r>
            <w:proofErr w:type="spellEnd"/>
            <w:r w:rsidRPr="00DB18E5">
              <w:rPr>
                <w:rFonts w:asciiTheme="majorBidi" w:hAnsiTheme="majorBidi" w:cstheme="majorBidi"/>
              </w:rPr>
              <w:t xml:space="preserve"> vascular procedure tables; final lower-limb-specific code list to be verified locally</w:t>
            </w:r>
          </w:p>
        </w:tc>
      </w:tr>
      <w:tr w:rsidR="00902CB1" w:rsidRPr="00DB18E5" w14:paraId="1EE5DAF1" w14:textId="77777777" w:rsidTr="006C0228">
        <w:trPr>
          <w:tblCellSpacing w:w="15" w:type="dxa"/>
        </w:trPr>
        <w:tc>
          <w:tcPr>
            <w:tcW w:w="0" w:type="auto"/>
            <w:vAlign w:val="center"/>
            <w:hideMark/>
          </w:tcPr>
          <w:p w14:paraId="7646A3E5" w14:textId="77777777" w:rsidR="00902CB1" w:rsidRPr="00DB18E5" w:rsidRDefault="00902CB1" w:rsidP="006C0228">
            <w:pPr>
              <w:rPr>
                <w:rFonts w:asciiTheme="majorBidi" w:hAnsiTheme="majorBidi" w:cstheme="majorBidi"/>
              </w:rPr>
            </w:pPr>
            <w:r w:rsidRPr="00DB18E5">
              <w:rPr>
                <w:rFonts w:asciiTheme="majorBidi" w:hAnsiTheme="majorBidi" w:cstheme="majorBidi"/>
              </w:rPr>
              <w:t>Major amputation</w:t>
            </w:r>
          </w:p>
        </w:tc>
        <w:tc>
          <w:tcPr>
            <w:tcW w:w="0" w:type="auto"/>
            <w:vAlign w:val="center"/>
            <w:hideMark/>
          </w:tcPr>
          <w:p w14:paraId="0F0A712B" w14:textId="77777777" w:rsidR="00902CB1" w:rsidRPr="00DB18E5" w:rsidRDefault="00902CB1" w:rsidP="006C0228">
            <w:pPr>
              <w:rPr>
                <w:rFonts w:asciiTheme="majorBidi" w:hAnsiTheme="majorBidi" w:cstheme="majorBidi"/>
              </w:rPr>
            </w:pPr>
            <w:r w:rsidRPr="00DB18E5">
              <w:rPr>
                <w:rFonts w:asciiTheme="majorBidi" w:hAnsiTheme="majorBidi" w:cstheme="majorBidi"/>
              </w:rPr>
              <w:t>Incident major lower-limb amputation after index date</w:t>
            </w:r>
          </w:p>
        </w:tc>
        <w:tc>
          <w:tcPr>
            <w:tcW w:w="0" w:type="auto"/>
            <w:vAlign w:val="center"/>
            <w:hideMark/>
          </w:tcPr>
          <w:p w14:paraId="1EA44488" w14:textId="1F8A74E7" w:rsidR="00902CB1" w:rsidRPr="00DB18E5" w:rsidRDefault="00902CB1" w:rsidP="00902CB1">
            <w:pPr>
              <w:rPr>
                <w:rFonts w:asciiTheme="majorBidi" w:hAnsiTheme="majorBidi" w:cstheme="majorBidi"/>
                <w:lang w:bidi="he-IL"/>
              </w:rPr>
            </w:pPr>
            <w:r w:rsidRPr="00DB18E5">
              <w:rPr>
                <w:rFonts w:asciiTheme="majorBidi" w:hAnsiTheme="majorBidi" w:cstheme="majorBidi"/>
              </w:rPr>
              <w:t>Procedure/diagnosis codes indicating above-ankle or ma</w:t>
            </w:r>
            <w:r>
              <w:rPr>
                <w:rFonts w:asciiTheme="majorBidi" w:hAnsiTheme="majorBidi" w:cstheme="majorBidi"/>
              </w:rPr>
              <w:t>jor lower-extremity amputation.</w:t>
            </w:r>
          </w:p>
        </w:tc>
      </w:tr>
      <w:tr w:rsidR="00902CB1" w:rsidRPr="00DB18E5" w14:paraId="4870BCE0" w14:textId="77777777" w:rsidTr="006C0228">
        <w:trPr>
          <w:tblCellSpacing w:w="15" w:type="dxa"/>
        </w:trPr>
        <w:tc>
          <w:tcPr>
            <w:tcW w:w="0" w:type="auto"/>
            <w:vAlign w:val="center"/>
            <w:hideMark/>
          </w:tcPr>
          <w:p w14:paraId="730D189A" w14:textId="77777777" w:rsidR="00902CB1" w:rsidRPr="00DB18E5" w:rsidRDefault="00902CB1" w:rsidP="006C0228">
            <w:pPr>
              <w:rPr>
                <w:rFonts w:asciiTheme="majorBidi" w:hAnsiTheme="majorBidi" w:cstheme="majorBidi"/>
              </w:rPr>
            </w:pPr>
            <w:r w:rsidRPr="00DB18E5">
              <w:rPr>
                <w:rFonts w:asciiTheme="majorBidi" w:hAnsiTheme="majorBidi" w:cstheme="majorBidi"/>
              </w:rPr>
              <w:t>Minor amputation</w:t>
            </w:r>
          </w:p>
        </w:tc>
        <w:tc>
          <w:tcPr>
            <w:tcW w:w="0" w:type="auto"/>
            <w:vAlign w:val="center"/>
            <w:hideMark/>
          </w:tcPr>
          <w:p w14:paraId="5875CFF8" w14:textId="77777777" w:rsidR="00902CB1" w:rsidRPr="00DB18E5" w:rsidRDefault="00902CB1" w:rsidP="006C0228">
            <w:pPr>
              <w:rPr>
                <w:rFonts w:asciiTheme="majorBidi" w:hAnsiTheme="majorBidi" w:cstheme="majorBidi"/>
              </w:rPr>
            </w:pPr>
            <w:r w:rsidRPr="00DB18E5">
              <w:rPr>
                <w:rFonts w:asciiTheme="majorBidi" w:hAnsiTheme="majorBidi" w:cstheme="majorBidi"/>
              </w:rPr>
              <w:t>Incident minor lower-limb amputation after index date</w:t>
            </w:r>
          </w:p>
        </w:tc>
        <w:tc>
          <w:tcPr>
            <w:tcW w:w="0" w:type="auto"/>
            <w:vAlign w:val="center"/>
            <w:hideMark/>
          </w:tcPr>
          <w:p w14:paraId="3AB83908" w14:textId="77777777" w:rsidR="00902CB1" w:rsidRPr="00DB18E5" w:rsidRDefault="00902CB1" w:rsidP="006C0228">
            <w:pPr>
              <w:rPr>
                <w:rFonts w:asciiTheme="majorBidi" w:hAnsiTheme="majorBidi" w:cstheme="majorBidi"/>
              </w:rPr>
            </w:pPr>
            <w:r w:rsidRPr="00DB18E5">
              <w:rPr>
                <w:rFonts w:asciiTheme="majorBidi" w:hAnsiTheme="majorBidi" w:cstheme="majorBidi"/>
              </w:rPr>
              <w:t>Procedure/diagnosis codes indicating toe/foot/minor lower-extremity amputation; final procedure-code mapping to be verified locally</w:t>
            </w:r>
          </w:p>
        </w:tc>
      </w:tr>
      <w:tr w:rsidR="00902CB1" w:rsidRPr="00DB18E5" w14:paraId="72DFA5A5" w14:textId="77777777" w:rsidTr="006C0228">
        <w:trPr>
          <w:tblCellSpacing w:w="15" w:type="dxa"/>
        </w:trPr>
        <w:tc>
          <w:tcPr>
            <w:tcW w:w="0" w:type="auto"/>
            <w:vAlign w:val="center"/>
            <w:hideMark/>
          </w:tcPr>
          <w:p w14:paraId="280AB677" w14:textId="77777777" w:rsidR="00902CB1" w:rsidRPr="00DB18E5" w:rsidRDefault="00902CB1" w:rsidP="006C0228">
            <w:pPr>
              <w:rPr>
                <w:rFonts w:asciiTheme="majorBidi" w:hAnsiTheme="majorBidi" w:cstheme="majorBidi"/>
              </w:rPr>
            </w:pPr>
            <w:r w:rsidRPr="00DB18E5">
              <w:rPr>
                <w:rFonts w:asciiTheme="majorBidi" w:hAnsiTheme="majorBidi" w:cstheme="majorBidi"/>
              </w:rPr>
              <w:lastRenderedPageBreak/>
              <w:t>Lower-limb amputation</w:t>
            </w:r>
          </w:p>
        </w:tc>
        <w:tc>
          <w:tcPr>
            <w:tcW w:w="0" w:type="auto"/>
            <w:vAlign w:val="center"/>
            <w:hideMark/>
          </w:tcPr>
          <w:p w14:paraId="3E06CBF2" w14:textId="77777777" w:rsidR="00902CB1" w:rsidRPr="00DB18E5" w:rsidRDefault="00902CB1" w:rsidP="006C0228">
            <w:pPr>
              <w:rPr>
                <w:rFonts w:asciiTheme="majorBidi" w:hAnsiTheme="majorBidi" w:cstheme="majorBidi"/>
              </w:rPr>
            </w:pPr>
            <w:r w:rsidRPr="00DB18E5">
              <w:rPr>
                <w:rFonts w:asciiTheme="majorBidi" w:hAnsiTheme="majorBidi" w:cstheme="majorBidi"/>
              </w:rPr>
              <w:t>Lower-limb amputation diagnosis/procedure history</w:t>
            </w:r>
          </w:p>
        </w:tc>
        <w:tc>
          <w:tcPr>
            <w:tcW w:w="0" w:type="auto"/>
            <w:vAlign w:val="center"/>
            <w:hideMark/>
          </w:tcPr>
          <w:p w14:paraId="25CADF27" w14:textId="77777777" w:rsidR="00902CB1" w:rsidRPr="00DB18E5" w:rsidRDefault="00902CB1" w:rsidP="006C0228">
            <w:pPr>
              <w:rPr>
                <w:rFonts w:asciiTheme="majorBidi" w:hAnsiTheme="majorBidi" w:cstheme="majorBidi"/>
              </w:rPr>
            </w:pPr>
            <w:r w:rsidRPr="00DB18E5">
              <w:rPr>
                <w:rFonts w:asciiTheme="majorBidi" w:hAnsiTheme="majorBidi" w:cstheme="majorBidi"/>
              </w:rPr>
              <w:t>ICD-10/status codes: Z89.4, Z89.43, Z89.44, Z89.5, Z89.51, Z89.52, Z89.6, Z89.7</w:t>
            </w:r>
          </w:p>
        </w:tc>
      </w:tr>
      <w:tr w:rsidR="00902CB1" w:rsidRPr="00DB18E5" w14:paraId="5B84D693" w14:textId="77777777" w:rsidTr="006C0228">
        <w:trPr>
          <w:tblCellSpacing w:w="15" w:type="dxa"/>
        </w:trPr>
        <w:tc>
          <w:tcPr>
            <w:tcW w:w="0" w:type="auto"/>
            <w:vAlign w:val="center"/>
            <w:hideMark/>
          </w:tcPr>
          <w:p w14:paraId="08E299EA" w14:textId="77777777" w:rsidR="00902CB1" w:rsidRPr="00DB18E5" w:rsidRDefault="00902CB1" w:rsidP="006C0228">
            <w:pPr>
              <w:rPr>
                <w:rFonts w:asciiTheme="majorBidi" w:hAnsiTheme="majorBidi" w:cstheme="majorBidi"/>
              </w:rPr>
            </w:pPr>
            <w:r w:rsidRPr="00DB18E5">
              <w:rPr>
                <w:rFonts w:asciiTheme="majorBidi" w:hAnsiTheme="majorBidi" w:cstheme="majorBidi"/>
              </w:rPr>
              <w:t>All-cause mortality</w:t>
            </w:r>
          </w:p>
        </w:tc>
        <w:tc>
          <w:tcPr>
            <w:tcW w:w="0" w:type="auto"/>
            <w:vAlign w:val="center"/>
            <w:hideMark/>
          </w:tcPr>
          <w:p w14:paraId="783759EE" w14:textId="77777777" w:rsidR="00902CB1" w:rsidRPr="00DB18E5" w:rsidRDefault="00902CB1" w:rsidP="006C0228">
            <w:pPr>
              <w:rPr>
                <w:rFonts w:asciiTheme="majorBidi" w:hAnsiTheme="majorBidi" w:cstheme="majorBidi"/>
              </w:rPr>
            </w:pPr>
            <w:r w:rsidRPr="00DB18E5">
              <w:rPr>
                <w:rFonts w:asciiTheme="majorBidi" w:hAnsiTheme="majorBidi" w:cstheme="majorBidi"/>
              </w:rPr>
              <w:t>Death during follow-up</w:t>
            </w:r>
          </w:p>
        </w:tc>
        <w:tc>
          <w:tcPr>
            <w:tcW w:w="0" w:type="auto"/>
            <w:vAlign w:val="center"/>
            <w:hideMark/>
          </w:tcPr>
          <w:p w14:paraId="7E81FAF0" w14:textId="77777777" w:rsidR="00902CB1" w:rsidRPr="00DB18E5" w:rsidRDefault="00902CB1" w:rsidP="006C0228">
            <w:pPr>
              <w:rPr>
                <w:rFonts w:asciiTheme="majorBidi" w:hAnsiTheme="majorBidi" w:cstheme="majorBidi"/>
              </w:rPr>
            </w:pPr>
            <w:r w:rsidRPr="00DB18E5">
              <w:rPr>
                <w:rFonts w:asciiTheme="majorBidi" w:hAnsiTheme="majorBidi" w:cstheme="majorBidi"/>
              </w:rPr>
              <w:t>CHS mortality records</w:t>
            </w:r>
          </w:p>
        </w:tc>
      </w:tr>
      <w:tr w:rsidR="00902CB1" w:rsidRPr="00DB18E5" w14:paraId="1524567D" w14:textId="77777777" w:rsidTr="006C0228">
        <w:trPr>
          <w:tblCellSpacing w:w="15" w:type="dxa"/>
        </w:trPr>
        <w:tc>
          <w:tcPr>
            <w:tcW w:w="0" w:type="auto"/>
            <w:vAlign w:val="center"/>
            <w:hideMark/>
          </w:tcPr>
          <w:p w14:paraId="1228BC51" w14:textId="77777777" w:rsidR="00902CB1" w:rsidRPr="00DB18E5" w:rsidRDefault="00902CB1" w:rsidP="006C0228">
            <w:pPr>
              <w:rPr>
                <w:rFonts w:asciiTheme="majorBidi" w:hAnsiTheme="majorBidi" w:cstheme="majorBidi"/>
              </w:rPr>
            </w:pPr>
            <w:r w:rsidRPr="00DB18E5">
              <w:rPr>
                <w:rFonts w:asciiTheme="majorBidi" w:hAnsiTheme="majorBidi" w:cstheme="majorBidi"/>
              </w:rPr>
              <w:t>Censoring</w:t>
            </w:r>
          </w:p>
        </w:tc>
        <w:tc>
          <w:tcPr>
            <w:tcW w:w="0" w:type="auto"/>
            <w:vAlign w:val="center"/>
            <w:hideMark/>
          </w:tcPr>
          <w:p w14:paraId="3FCD2D04" w14:textId="77777777" w:rsidR="00902CB1" w:rsidRPr="00DB18E5" w:rsidRDefault="00902CB1" w:rsidP="006C0228">
            <w:pPr>
              <w:rPr>
                <w:rFonts w:asciiTheme="majorBidi" w:hAnsiTheme="majorBidi" w:cstheme="majorBidi"/>
              </w:rPr>
            </w:pPr>
            <w:r w:rsidRPr="00DB18E5">
              <w:rPr>
                <w:rFonts w:asciiTheme="majorBidi" w:hAnsiTheme="majorBidi" w:cstheme="majorBidi"/>
              </w:rPr>
              <w:t>End of follow-up</w:t>
            </w:r>
          </w:p>
        </w:tc>
        <w:tc>
          <w:tcPr>
            <w:tcW w:w="0" w:type="auto"/>
            <w:vAlign w:val="center"/>
            <w:hideMark/>
          </w:tcPr>
          <w:p w14:paraId="3D44D822" w14:textId="77777777" w:rsidR="00902CB1" w:rsidRPr="00DB18E5" w:rsidRDefault="00902CB1" w:rsidP="006C0228">
            <w:pPr>
              <w:rPr>
                <w:rFonts w:asciiTheme="majorBidi" w:hAnsiTheme="majorBidi" w:cstheme="majorBidi"/>
              </w:rPr>
            </w:pPr>
            <w:r w:rsidRPr="00DB18E5">
              <w:rPr>
                <w:rFonts w:asciiTheme="majorBidi" w:hAnsiTheme="majorBidi" w:cstheme="majorBidi"/>
              </w:rPr>
              <w:t>Death, end of CHS membership, end of available follow-up, or administrative censoring</w:t>
            </w:r>
          </w:p>
        </w:tc>
      </w:tr>
    </w:tbl>
    <w:p w14:paraId="2E16AD7D" w14:textId="77777777" w:rsidR="00902CB1" w:rsidRPr="00DB18E5" w:rsidRDefault="00902CB1" w:rsidP="00902CB1">
      <w:pPr>
        <w:rPr>
          <w:rFonts w:asciiTheme="majorBidi" w:hAnsiTheme="majorBidi" w:cstheme="majorBidi"/>
          <w:b/>
          <w:bCs/>
          <w:rtl/>
        </w:rPr>
      </w:pPr>
    </w:p>
    <w:p w14:paraId="370A511A" w14:textId="77777777" w:rsidR="00902CB1" w:rsidRPr="00DB18E5" w:rsidRDefault="00902CB1" w:rsidP="00902CB1">
      <w:pPr>
        <w:rPr>
          <w:rFonts w:asciiTheme="majorBidi" w:hAnsiTheme="majorBidi" w:cstheme="majorBidi"/>
          <w:b/>
          <w:bCs/>
        </w:rPr>
      </w:pPr>
      <w:proofErr w:type="spellStart"/>
      <w:r w:rsidRPr="00DB18E5">
        <w:rPr>
          <w:rFonts w:asciiTheme="majorBidi" w:hAnsiTheme="majorBidi" w:cstheme="majorBidi"/>
          <w:b/>
          <w:bCs/>
        </w:rPr>
        <w:t>eTable</w:t>
      </w:r>
      <w:proofErr w:type="spellEnd"/>
      <w:r w:rsidRPr="00DB18E5">
        <w:rPr>
          <w:rFonts w:asciiTheme="majorBidi" w:hAnsiTheme="majorBidi" w:cstheme="majorBidi"/>
          <w:b/>
          <w:bCs/>
        </w:rPr>
        <w:t xml:space="preserve"> 3. Medication exposure and medication covariate definitions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5"/>
        <w:gridCol w:w="2986"/>
        <w:gridCol w:w="3809"/>
      </w:tblGrid>
      <w:tr w:rsidR="00902CB1" w:rsidRPr="00DB18E5" w14:paraId="17CCCE69" w14:textId="77777777" w:rsidTr="006C0228">
        <w:trPr>
          <w:tblHeader/>
          <w:tblCellSpacing w:w="15" w:type="dxa"/>
        </w:trPr>
        <w:tc>
          <w:tcPr>
            <w:tcW w:w="0" w:type="auto"/>
            <w:vAlign w:val="center"/>
            <w:hideMark/>
          </w:tcPr>
          <w:p w14:paraId="21D6313B"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Medication class</w:t>
            </w:r>
          </w:p>
        </w:tc>
        <w:tc>
          <w:tcPr>
            <w:tcW w:w="0" w:type="auto"/>
            <w:vAlign w:val="center"/>
            <w:hideMark/>
          </w:tcPr>
          <w:p w14:paraId="312B75A8"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Definition</w:t>
            </w:r>
          </w:p>
        </w:tc>
        <w:tc>
          <w:tcPr>
            <w:tcW w:w="0" w:type="auto"/>
            <w:vAlign w:val="center"/>
            <w:hideMark/>
          </w:tcPr>
          <w:p w14:paraId="6B4D83F9"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ATC codes / examples</w:t>
            </w:r>
          </w:p>
        </w:tc>
      </w:tr>
      <w:tr w:rsidR="00902CB1" w:rsidRPr="00DB18E5" w14:paraId="6E4F8BB9" w14:textId="77777777" w:rsidTr="006C0228">
        <w:trPr>
          <w:tblCellSpacing w:w="15" w:type="dxa"/>
        </w:trPr>
        <w:tc>
          <w:tcPr>
            <w:tcW w:w="0" w:type="auto"/>
            <w:vAlign w:val="center"/>
            <w:hideMark/>
          </w:tcPr>
          <w:p w14:paraId="27175BCD" w14:textId="77777777" w:rsidR="00902CB1" w:rsidRPr="00DB18E5" w:rsidRDefault="00902CB1" w:rsidP="006C0228">
            <w:pPr>
              <w:rPr>
                <w:rFonts w:asciiTheme="majorBidi" w:hAnsiTheme="majorBidi" w:cstheme="majorBidi"/>
              </w:rPr>
            </w:pPr>
            <w:r w:rsidRPr="00DB18E5">
              <w:rPr>
                <w:rFonts w:asciiTheme="majorBidi" w:hAnsiTheme="majorBidi" w:cstheme="majorBidi"/>
              </w:rPr>
              <w:t>GLP1 receptor agonists</w:t>
            </w:r>
          </w:p>
        </w:tc>
        <w:tc>
          <w:tcPr>
            <w:tcW w:w="0" w:type="auto"/>
            <w:vAlign w:val="center"/>
            <w:hideMark/>
          </w:tcPr>
          <w:p w14:paraId="46299027" w14:textId="77777777" w:rsidR="00902CB1" w:rsidRPr="00DB18E5" w:rsidRDefault="00902CB1" w:rsidP="006C0228">
            <w:pPr>
              <w:rPr>
                <w:rFonts w:asciiTheme="majorBidi" w:hAnsiTheme="majorBidi" w:cstheme="majorBidi"/>
              </w:rPr>
            </w:pPr>
            <w:r w:rsidRPr="00DB18E5">
              <w:rPr>
                <w:rFonts w:asciiTheme="majorBidi" w:hAnsiTheme="majorBidi" w:cstheme="majorBidi"/>
              </w:rPr>
              <w:t>Primary exposure; ≥2 dispensations for main analysis</w:t>
            </w:r>
          </w:p>
        </w:tc>
        <w:tc>
          <w:tcPr>
            <w:tcW w:w="0" w:type="auto"/>
            <w:vAlign w:val="center"/>
            <w:hideMark/>
          </w:tcPr>
          <w:p w14:paraId="438C095A" w14:textId="77777777" w:rsidR="00902CB1" w:rsidRPr="00DB18E5" w:rsidRDefault="00902CB1" w:rsidP="006C0228">
            <w:pPr>
              <w:rPr>
                <w:rFonts w:asciiTheme="majorBidi" w:hAnsiTheme="majorBidi" w:cstheme="majorBidi"/>
              </w:rPr>
            </w:pPr>
            <w:r w:rsidRPr="00DB18E5">
              <w:rPr>
                <w:rFonts w:asciiTheme="majorBidi" w:hAnsiTheme="majorBidi" w:cstheme="majorBidi"/>
              </w:rPr>
              <w:t>A10BJ, A10BJ01, A10BJ02, A10BJ03, A10BJ04, A10BJ05, A10BJ06</w:t>
            </w:r>
          </w:p>
        </w:tc>
      </w:tr>
      <w:tr w:rsidR="00902CB1" w:rsidRPr="00DB18E5" w14:paraId="3C3E2F73" w14:textId="77777777" w:rsidTr="006C0228">
        <w:trPr>
          <w:tblCellSpacing w:w="15" w:type="dxa"/>
        </w:trPr>
        <w:tc>
          <w:tcPr>
            <w:tcW w:w="0" w:type="auto"/>
            <w:vAlign w:val="center"/>
            <w:hideMark/>
          </w:tcPr>
          <w:p w14:paraId="7CB023BA" w14:textId="77777777" w:rsidR="00902CB1" w:rsidRPr="00DB18E5" w:rsidRDefault="00902CB1" w:rsidP="006C0228">
            <w:pPr>
              <w:rPr>
                <w:rFonts w:asciiTheme="majorBidi" w:hAnsiTheme="majorBidi" w:cstheme="majorBidi"/>
              </w:rPr>
            </w:pPr>
            <w:r w:rsidRPr="00DB18E5">
              <w:rPr>
                <w:rFonts w:asciiTheme="majorBidi" w:hAnsiTheme="majorBidi" w:cstheme="majorBidi"/>
              </w:rPr>
              <w:t>Fixed-ratio insulin/GLP1-RA combinations</w:t>
            </w:r>
          </w:p>
        </w:tc>
        <w:tc>
          <w:tcPr>
            <w:tcW w:w="0" w:type="auto"/>
            <w:vAlign w:val="center"/>
            <w:hideMark/>
          </w:tcPr>
          <w:p w14:paraId="0C578997" w14:textId="77777777" w:rsidR="00902CB1" w:rsidRPr="00DB18E5" w:rsidRDefault="00902CB1" w:rsidP="006C0228">
            <w:pPr>
              <w:rPr>
                <w:rFonts w:asciiTheme="majorBidi" w:hAnsiTheme="majorBidi" w:cstheme="majorBidi"/>
              </w:rPr>
            </w:pPr>
            <w:r w:rsidRPr="00DB18E5">
              <w:rPr>
                <w:rFonts w:asciiTheme="majorBidi" w:hAnsiTheme="majorBidi" w:cstheme="majorBidi"/>
              </w:rPr>
              <w:t>Included where applicable</w:t>
            </w:r>
          </w:p>
        </w:tc>
        <w:tc>
          <w:tcPr>
            <w:tcW w:w="0" w:type="auto"/>
            <w:vAlign w:val="center"/>
            <w:hideMark/>
          </w:tcPr>
          <w:p w14:paraId="15461271" w14:textId="77777777" w:rsidR="00902CB1" w:rsidRPr="00DB18E5" w:rsidRDefault="00902CB1" w:rsidP="006C0228">
            <w:pPr>
              <w:rPr>
                <w:rFonts w:asciiTheme="majorBidi" w:hAnsiTheme="majorBidi" w:cstheme="majorBidi"/>
              </w:rPr>
            </w:pPr>
            <w:r w:rsidRPr="00DB18E5">
              <w:rPr>
                <w:rFonts w:asciiTheme="majorBidi" w:hAnsiTheme="majorBidi" w:cstheme="majorBidi"/>
              </w:rPr>
              <w:t>A10AE54, A10AE56</w:t>
            </w:r>
          </w:p>
        </w:tc>
      </w:tr>
      <w:tr w:rsidR="00902CB1" w:rsidRPr="00DB18E5" w14:paraId="51E1C94D" w14:textId="77777777" w:rsidTr="006C0228">
        <w:trPr>
          <w:tblCellSpacing w:w="15" w:type="dxa"/>
        </w:trPr>
        <w:tc>
          <w:tcPr>
            <w:tcW w:w="0" w:type="auto"/>
            <w:vAlign w:val="center"/>
            <w:hideMark/>
          </w:tcPr>
          <w:p w14:paraId="38AF23AC" w14:textId="77777777" w:rsidR="00902CB1" w:rsidRPr="00DB18E5" w:rsidRDefault="00902CB1" w:rsidP="006C0228">
            <w:pPr>
              <w:rPr>
                <w:rFonts w:asciiTheme="majorBidi" w:hAnsiTheme="majorBidi" w:cstheme="majorBidi"/>
              </w:rPr>
            </w:pPr>
            <w:r w:rsidRPr="00DB18E5">
              <w:rPr>
                <w:rFonts w:asciiTheme="majorBidi" w:hAnsiTheme="majorBidi" w:cstheme="majorBidi"/>
              </w:rPr>
              <w:t>Metformin / biguanide therapy</w:t>
            </w:r>
          </w:p>
        </w:tc>
        <w:tc>
          <w:tcPr>
            <w:tcW w:w="0" w:type="auto"/>
            <w:vAlign w:val="center"/>
            <w:hideMark/>
          </w:tcPr>
          <w:p w14:paraId="31F84F9B"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Antidiabetic medication covariate</w:t>
            </w:r>
          </w:p>
        </w:tc>
        <w:tc>
          <w:tcPr>
            <w:tcW w:w="0" w:type="auto"/>
            <w:vAlign w:val="center"/>
            <w:hideMark/>
          </w:tcPr>
          <w:p w14:paraId="1E12CA26" w14:textId="77777777" w:rsidR="00902CB1" w:rsidRPr="00DB18E5" w:rsidRDefault="00902CB1" w:rsidP="006C0228">
            <w:pPr>
              <w:rPr>
                <w:rFonts w:asciiTheme="majorBidi" w:hAnsiTheme="majorBidi" w:cstheme="majorBidi"/>
              </w:rPr>
            </w:pPr>
            <w:r w:rsidRPr="00DB18E5">
              <w:rPr>
                <w:rFonts w:asciiTheme="majorBidi" w:hAnsiTheme="majorBidi" w:cstheme="majorBidi"/>
              </w:rPr>
              <w:t>A10BA, A10BA02</w:t>
            </w:r>
          </w:p>
        </w:tc>
      </w:tr>
      <w:tr w:rsidR="00902CB1" w:rsidRPr="00DB18E5" w14:paraId="50CCAF71" w14:textId="77777777" w:rsidTr="006C0228">
        <w:trPr>
          <w:tblCellSpacing w:w="15" w:type="dxa"/>
        </w:trPr>
        <w:tc>
          <w:tcPr>
            <w:tcW w:w="0" w:type="auto"/>
            <w:vAlign w:val="center"/>
            <w:hideMark/>
          </w:tcPr>
          <w:p w14:paraId="5DF48356" w14:textId="77777777" w:rsidR="00902CB1" w:rsidRPr="00DB18E5" w:rsidRDefault="00902CB1" w:rsidP="006C0228">
            <w:pPr>
              <w:rPr>
                <w:rFonts w:asciiTheme="majorBidi" w:hAnsiTheme="majorBidi" w:cstheme="majorBidi"/>
              </w:rPr>
            </w:pPr>
            <w:r w:rsidRPr="00DB18E5">
              <w:rPr>
                <w:rFonts w:asciiTheme="majorBidi" w:hAnsiTheme="majorBidi" w:cstheme="majorBidi"/>
              </w:rPr>
              <w:t>Insulin therapy</w:t>
            </w:r>
          </w:p>
        </w:tc>
        <w:tc>
          <w:tcPr>
            <w:tcW w:w="0" w:type="auto"/>
            <w:vAlign w:val="center"/>
            <w:hideMark/>
          </w:tcPr>
          <w:p w14:paraId="085F5775"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Antidiabetic medication covariate</w:t>
            </w:r>
          </w:p>
        </w:tc>
        <w:tc>
          <w:tcPr>
            <w:tcW w:w="0" w:type="auto"/>
            <w:vAlign w:val="center"/>
            <w:hideMark/>
          </w:tcPr>
          <w:p w14:paraId="4CAAD57B" w14:textId="77777777" w:rsidR="00902CB1" w:rsidRPr="00DB18E5" w:rsidRDefault="00902CB1" w:rsidP="006C0228">
            <w:pPr>
              <w:rPr>
                <w:rFonts w:asciiTheme="majorBidi" w:hAnsiTheme="majorBidi" w:cstheme="majorBidi"/>
              </w:rPr>
            </w:pPr>
            <w:r w:rsidRPr="00DB18E5">
              <w:rPr>
                <w:rFonts w:asciiTheme="majorBidi" w:hAnsiTheme="majorBidi" w:cstheme="majorBidi"/>
              </w:rPr>
              <w:t>A10A and relevant insulin subclasses</w:t>
            </w:r>
          </w:p>
        </w:tc>
      </w:tr>
      <w:tr w:rsidR="00902CB1" w:rsidRPr="00DB18E5" w14:paraId="7F02153F" w14:textId="77777777" w:rsidTr="006C0228">
        <w:trPr>
          <w:tblCellSpacing w:w="15" w:type="dxa"/>
        </w:trPr>
        <w:tc>
          <w:tcPr>
            <w:tcW w:w="0" w:type="auto"/>
            <w:vAlign w:val="center"/>
            <w:hideMark/>
          </w:tcPr>
          <w:p w14:paraId="57736122" w14:textId="77777777" w:rsidR="00902CB1" w:rsidRPr="00DB18E5" w:rsidRDefault="00902CB1" w:rsidP="006C0228">
            <w:pPr>
              <w:rPr>
                <w:rFonts w:asciiTheme="majorBidi" w:hAnsiTheme="majorBidi" w:cstheme="majorBidi"/>
              </w:rPr>
            </w:pPr>
            <w:r w:rsidRPr="00DB18E5">
              <w:rPr>
                <w:rFonts w:asciiTheme="majorBidi" w:hAnsiTheme="majorBidi" w:cstheme="majorBidi"/>
              </w:rPr>
              <w:t>SGLT2 inhibitors</w:t>
            </w:r>
          </w:p>
        </w:tc>
        <w:tc>
          <w:tcPr>
            <w:tcW w:w="0" w:type="auto"/>
            <w:vAlign w:val="center"/>
            <w:hideMark/>
          </w:tcPr>
          <w:p w14:paraId="00624274"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Antidiabetic medication covariate</w:t>
            </w:r>
          </w:p>
        </w:tc>
        <w:tc>
          <w:tcPr>
            <w:tcW w:w="0" w:type="auto"/>
            <w:vAlign w:val="center"/>
            <w:hideMark/>
          </w:tcPr>
          <w:p w14:paraId="549BFB3C" w14:textId="77777777" w:rsidR="00902CB1" w:rsidRPr="00DB18E5" w:rsidRDefault="00902CB1" w:rsidP="006C0228">
            <w:pPr>
              <w:rPr>
                <w:rFonts w:asciiTheme="majorBidi" w:hAnsiTheme="majorBidi" w:cstheme="majorBidi"/>
              </w:rPr>
            </w:pPr>
            <w:r w:rsidRPr="00DB18E5">
              <w:rPr>
                <w:rFonts w:asciiTheme="majorBidi" w:hAnsiTheme="majorBidi" w:cstheme="majorBidi"/>
              </w:rPr>
              <w:t>A10BK and drug-specific subcodes</w:t>
            </w:r>
          </w:p>
        </w:tc>
      </w:tr>
      <w:tr w:rsidR="00902CB1" w:rsidRPr="00DB18E5" w14:paraId="038DEC8D" w14:textId="77777777" w:rsidTr="006C0228">
        <w:trPr>
          <w:tblCellSpacing w:w="15" w:type="dxa"/>
        </w:trPr>
        <w:tc>
          <w:tcPr>
            <w:tcW w:w="0" w:type="auto"/>
            <w:vAlign w:val="center"/>
            <w:hideMark/>
          </w:tcPr>
          <w:p w14:paraId="0DF6020F" w14:textId="77777777" w:rsidR="00902CB1" w:rsidRPr="00DB18E5" w:rsidRDefault="00902CB1" w:rsidP="006C0228">
            <w:pPr>
              <w:rPr>
                <w:rFonts w:asciiTheme="majorBidi" w:hAnsiTheme="majorBidi" w:cstheme="majorBidi"/>
              </w:rPr>
            </w:pPr>
            <w:r w:rsidRPr="00DB18E5">
              <w:rPr>
                <w:rFonts w:asciiTheme="majorBidi" w:hAnsiTheme="majorBidi" w:cstheme="majorBidi"/>
              </w:rPr>
              <w:t>DPP4 inhibitors</w:t>
            </w:r>
          </w:p>
        </w:tc>
        <w:tc>
          <w:tcPr>
            <w:tcW w:w="0" w:type="auto"/>
            <w:vAlign w:val="center"/>
            <w:hideMark/>
          </w:tcPr>
          <w:p w14:paraId="31B9A9C7"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Antidiabetic medication covariate</w:t>
            </w:r>
          </w:p>
        </w:tc>
        <w:tc>
          <w:tcPr>
            <w:tcW w:w="0" w:type="auto"/>
            <w:vAlign w:val="center"/>
            <w:hideMark/>
          </w:tcPr>
          <w:p w14:paraId="3AB31734" w14:textId="77777777" w:rsidR="00902CB1" w:rsidRPr="00DB18E5" w:rsidRDefault="00902CB1" w:rsidP="006C0228">
            <w:pPr>
              <w:rPr>
                <w:rFonts w:asciiTheme="majorBidi" w:hAnsiTheme="majorBidi" w:cstheme="majorBidi"/>
              </w:rPr>
            </w:pPr>
            <w:r w:rsidRPr="00DB18E5">
              <w:rPr>
                <w:rFonts w:asciiTheme="majorBidi" w:hAnsiTheme="majorBidi" w:cstheme="majorBidi"/>
              </w:rPr>
              <w:t>A10BH and drug-specific subcodes</w:t>
            </w:r>
          </w:p>
        </w:tc>
      </w:tr>
      <w:tr w:rsidR="00902CB1" w:rsidRPr="00DB18E5" w14:paraId="6531D4C6" w14:textId="77777777" w:rsidTr="006C0228">
        <w:trPr>
          <w:tblCellSpacing w:w="15" w:type="dxa"/>
        </w:trPr>
        <w:tc>
          <w:tcPr>
            <w:tcW w:w="0" w:type="auto"/>
            <w:vAlign w:val="center"/>
            <w:hideMark/>
          </w:tcPr>
          <w:p w14:paraId="76B89BB6" w14:textId="77777777" w:rsidR="00902CB1" w:rsidRPr="00DB18E5" w:rsidRDefault="00902CB1" w:rsidP="006C0228">
            <w:pPr>
              <w:rPr>
                <w:rFonts w:asciiTheme="majorBidi" w:hAnsiTheme="majorBidi" w:cstheme="majorBidi"/>
              </w:rPr>
            </w:pPr>
            <w:r w:rsidRPr="00DB18E5">
              <w:rPr>
                <w:rFonts w:asciiTheme="majorBidi" w:hAnsiTheme="majorBidi" w:cstheme="majorBidi"/>
              </w:rPr>
              <w:t>Statin therapy</w:t>
            </w:r>
          </w:p>
        </w:tc>
        <w:tc>
          <w:tcPr>
            <w:tcW w:w="0" w:type="auto"/>
            <w:vAlign w:val="center"/>
            <w:hideMark/>
          </w:tcPr>
          <w:p w14:paraId="233A81B1" w14:textId="77777777" w:rsidR="00902CB1" w:rsidRPr="00DB18E5" w:rsidRDefault="00902CB1" w:rsidP="006C0228">
            <w:pPr>
              <w:rPr>
                <w:rFonts w:asciiTheme="majorBidi" w:hAnsiTheme="majorBidi" w:cstheme="majorBidi"/>
              </w:rPr>
            </w:pPr>
            <w:r w:rsidRPr="00DB18E5">
              <w:rPr>
                <w:rFonts w:asciiTheme="majorBidi" w:hAnsiTheme="majorBidi" w:cstheme="majorBidi"/>
              </w:rPr>
              <w:t>Lipid-lowering medication covariate</w:t>
            </w:r>
          </w:p>
        </w:tc>
        <w:tc>
          <w:tcPr>
            <w:tcW w:w="0" w:type="auto"/>
            <w:vAlign w:val="center"/>
            <w:hideMark/>
          </w:tcPr>
          <w:p w14:paraId="168E1E6C" w14:textId="77777777" w:rsidR="00902CB1" w:rsidRPr="00DB18E5" w:rsidRDefault="00902CB1" w:rsidP="006C0228">
            <w:pPr>
              <w:rPr>
                <w:rFonts w:asciiTheme="majorBidi" w:hAnsiTheme="majorBidi" w:cstheme="majorBidi"/>
              </w:rPr>
            </w:pPr>
            <w:r w:rsidRPr="00DB18E5">
              <w:rPr>
                <w:rFonts w:asciiTheme="majorBidi" w:hAnsiTheme="majorBidi" w:cstheme="majorBidi"/>
              </w:rPr>
              <w:t>C10AA</w:t>
            </w:r>
          </w:p>
        </w:tc>
      </w:tr>
      <w:tr w:rsidR="00902CB1" w:rsidRPr="00DB18E5" w14:paraId="72A1D7B0" w14:textId="77777777" w:rsidTr="006C0228">
        <w:trPr>
          <w:tblCellSpacing w:w="15" w:type="dxa"/>
        </w:trPr>
        <w:tc>
          <w:tcPr>
            <w:tcW w:w="0" w:type="auto"/>
            <w:vAlign w:val="center"/>
            <w:hideMark/>
          </w:tcPr>
          <w:p w14:paraId="43BC8AF8" w14:textId="77777777" w:rsidR="00902CB1" w:rsidRPr="00DB18E5" w:rsidRDefault="00902CB1" w:rsidP="006C0228">
            <w:pPr>
              <w:rPr>
                <w:rFonts w:asciiTheme="majorBidi" w:hAnsiTheme="majorBidi" w:cstheme="majorBidi"/>
              </w:rPr>
            </w:pPr>
            <w:r w:rsidRPr="00DB18E5">
              <w:rPr>
                <w:rFonts w:asciiTheme="majorBidi" w:hAnsiTheme="majorBidi" w:cstheme="majorBidi"/>
              </w:rPr>
              <w:t>Ezetimibe</w:t>
            </w:r>
          </w:p>
        </w:tc>
        <w:tc>
          <w:tcPr>
            <w:tcW w:w="0" w:type="auto"/>
            <w:vAlign w:val="center"/>
            <w:hideMark/>
          </w:tcPr>
          <w:p w14:paraId="332C1A2C" w14:textId="77777777" w:rsidR="00902CB1" w:rsidRPr="00DB18E5" w:rsidRDefault="00902CB1" w:rsidP="006C0228">
            <w:pPr>
              <w:rPr>
                <w:rFonts w:asciiTheme="majorBidi" w:hAnsiTheme="majorBidi" w:cstheme="majorBidi"/>
              </w:rPr>
            </w:pPr>
            <w:r w:rsidRPr="00DB18E5">
              <w:rPr>
                <w:rFonts w:asciiTheme="majorBidi" w:hAnsiTheme="majorBidi" w:cstheme="majorBidi"/>
              </w:rPr>
              <w:t>Lipid-lowering medication covariate</w:t>
            </w:r>
          </w:p>
        </w:tc>
        <w:tc>
          <w:tcPr>
            <w:tcW w:w="0" w:type="auto"/>
            <w:vAlign w:val="center"/>
            <w:hideMark/>
          </w:tcPr>
          <w:p w14:paraId="3DF4C7CD" w14:textId="77777777" w:rsidR="00902CB1" w:rsidRPr="00DB18E5" w:rsidRDefault="00902CB1" w:rsidP="006C0228">
            <w:pPr>
              <w:rPr>
                <w:rFonts w:asciiTheme="majorBidi" w:hAnsiTheme="majorBidi" w:cstheme="majorBidi"/>
              </w:rPr>
            </w:pPr>
            <w:r w:rsidRPr="00DB18E5">
              <w:rPr>
                <w:rFonts w:asciiTheme="majorBidi" w:hAnsiTheme="majorBidi" w:cstheme="majorBidi"/>
              </w:rPr>
              <w:t>C10AX09</w:t>
            </w:r>
          </w:p>
        </w:tc>
      </w:tr>
      <w:tr w:rsidR="00902CB1" w:rsidRPr="00DB18E5" w14:paraId="25AC7E3A" w14:textId="77777777" w:rsidTr="006C0228">
        <w:trPr>
          <w:tblCellSpacing w:w="15" w:type="dxa"/>
        </w:trPr>
        <w:tc>
          <w:tcPr>
            <w:tcW w:w="0" w:type="auto"/>
            <w:vAlign w:val="center"/>
            <w:hideMark/>
          </w:tcPr>
          <w:p w14:paraId="45DC816F" w14:textId="77777777" w:rsidR="00902CB1" w:rsidRPr="00DB18E5" w:rsidRDefault="00902CB1" w:rsidP="006C0228">
            <w:pPr>
              <w:rPr>
                <w:rFonts w:asciiTheme="majorBidi" w:hAnsiTheme="majorBidi" w:cstheme="majorBidi"/>
              </w:rPr>
            </w:pPr>
            <w:r w:rsidRPr="00DB18E5">
              <w:rPr>
                <w:rFonts w:asciiTheme="majorBidi" w:hAnsiTheme="majorBidi" w:cstheme="majorBidi"/>
              </w:rPr>
              <w:lastRenderedPageBreak/>
              <w:t>PCSK9 inhibitors</w:t>
            </w:r>
          </w:p>
        </w:tc>
        <w:tc>
          <w:tcPr>
            <w:tcW w:w="0" w:type="auto"/>
            <w:vAlign w:val="center"/>
            <w:hideMark/>
          </w:tcPr>
          <w:p w14:paraId="375E5AF6" w14:textId="77777777" w:rsidR="00902CB1" w:rsidRPr="00DB18E5" w:rsidRDefault="00902CB1" w:rsidP="006C0228">
            <w:pPr>
              <w:rPr>
                <w:rFonts w:asciiTheme="majorBidi" w:hAnsiTheme="majorBidi" w:cstheme="majorBidi"/>
              </w:rPr>
            </w:pPr>
            <w:r w:rsidRPr="00DB18E5">
              <w:rPr>
                <w:rFonts w:asciiTheme="majorBidi" w:hAnsiTheme="majorBidi" w:cstheme="majorBidi"/>
              </w:rPr>
              <w:t>Lipid-lowering medication covariate</w:t>
            </w:r>
          </w:p>
        </w:tc>
        <w:tc>
          <w:tcPr>
            <w:tcW w:w="0" w:type="auto"/>
            <w:vAlign w:val="center"/>
            <w:hideMark/>
          </w:tcPr>
          <w:p w14:paraId="39D46ED4" w14:textId="77777777" w:rsidR="00902CB1" w:rsidRPr="00DB18E5" w:rsidRDefault="00902CB1" w:rsidP="006C0228">
            <w:pPr>
              <w:rPr>
                <w:rFonts w:asciiTheme="majorBidi" w:hAnsiTheme="majorBidi" w:cstheme="majorBidi"/>
              </w:rPr>
            </w:pPr>
            <w:r w:rsidRPr="00DB18E5">
              <w:rPr>
                <w:rFonts w:asciiTheme="majorBidi" w:hAnsiTheme="majorBidi" w:cstheme="majorBidi"/>
              </w:rPr>
              <w:t>C10AX13, C10AX14</w:t>
            </w:r>
          </w:p>
        </w:tc>
      </w:tr>
      <w:tr w:rsidR="00902CB1" w:rsidRPr="00DB18E5" w14:paraId="113FE10F" w14:textId="77777777" w:rsidTr="006C0228">
        <w:trPr>
          <w:tblCellSpacing w:w="15" w:type="dxa"/>
        </w:trPr>
        <w:tc>
          <w:tcPr>
            <w:tcW w:w="0" w:type="auto"/>
            <w:vAlign w:val="center"/>
            <w:hideMark/>
          </w:tcPr>
          <w:p w14:paraId="65734E49" w14:textId="77777777" w:rsidR="00902CB1" w:rsidRPr="00DB18E5" w:rsidRDefault="00902CB1" w:rsidP="006C0228">
            <w:pPr>
              <w:rPr>
                <w:rFonts w:asciiTheme="majorBidi" w:hAnsiTheme="majorBidi" w:cstheme="majorBidi"/>
              </w:rPr>
            </w:pPr>
            <w:r w:rsidRPr="00DB18E5">
              <w:rPr>
                <w:rFonts w:asciiTheme="majorBidi" w:hAnsiTheme="majorBidi" w:cstheme="majorBidi"/>
              </w:rPr>
              <w:t>ACE inhibitors</w:t>
            </w:r>
          </w:p>
        </w:tc>
        <w:tc>
          <w:tcPr>
            <w:tcW w:w="0" w:type="auto"/>
            <w:vAlign w:val="center"/>
            <w:hideMark/>
          </w:tcPr>
          <w:p w14:paraId="138F30D9" w14:textId="77777777" w:rsidR="00902CB1" w:rsidRPr="00DB18E5" w:rsidRDefault="00902CB1" w:rsidP="006C0228">
            <w:pPr>
              <w:rPr>
                <w:rFonts w:asciiTheme="majorBidi" w:hAnsiTheme="majorBidi" w:cstheme="majorBidi"/>
              </w:rPr>
            </w:pPr>
            <w:r w:rsidRPr="00DB18E5">
              <w:rPr>
                <w:rFonts w:asciiTheme="majorBidi" w:hAnsiTheme="majorBidi" w:cstheme="majorBidi"/>
              </w:rPr>
              <w:t>Cardiovascular medication covariate</w:t>
            </w:r>
          </w:p>
        </w:tc>
        <w:tc>
          <w:tcPr>
            <w:tcW w:w="0" w:type="auto"/>
            <w:vAlign w:val="center"/>
            <w:hideMark/>
          </w:tcPr>
          <w:p w14:paraId="77519EA4" w14:textId="77777777" w:rsidR="00902CB1" w:rsidRPr="00DB18E5" w:rsidRDefault="00902CB1" w:rsidP="006C0228">
            <w:pPr>
              <w:rPr>
                <w:rFonts w:asciiTheme="majorBidi" w:hAnsiTheme="majorBidi" w:cstheme="majorBidi"/>
              </w:rPr>
            </w:pPr>
            <w:r w:rsidRPr="00DB18E5">
              <w:rPr>
                <w:rFonts w:asciiTheme="majorBidi" w:hAnsiTheme="majorBidi" w:cstheme="majorBidi"/>
              </w:rPr>
              <w:t>C09A, C09B</w:t>
            </w:r>
          </w:p>
        </w:tc>
      </w:tr>
      <w:tr w:rsidR="00902CB1" w:rsidRPr="00DB18E5" w14:paraId="4805636A" w14:textId="77777777" w:rsidTr="006C0228">
        <w:trPr>
          <w:tblCellSpacing w:w="15" w:type="dxa"/>
        </w:trPr>
        <w:tc>
          <w:tcPr>
            <w:tcW w:w="0" w:type="auto"/>
            <w:vAlign w:val="center"/>
            <w:hideMark/>
          </w:tcPr>
          <w:p w14:paraId="5AA9AA14" w14:textId="77777777" w:rsidR="00902CB1" w:rsidRPr="00DB18E5" w:rsidRDefault="00902CB1" w:rsidP="006C0228">
            <w:pPr>
              <w:rPr>
                <w:rFonts w:asciiTheme="majorBidi" w:hAnsiTheme="majorBidi" w:cstheme="majorBidi"/>
              </w:rPr>
            </w:pPr>
            <w:r w:rsidRPr="00DB18E5">
              <w:rPr>
                <w:rFonts w:asciiTheme="majorBidi" w:hAnsiTheme="majorBidi" w:cstheme="majorBidi"/>
              </w:rPr>
              <w:t>Angiotensin receptor blockers</w:t>
            </w:r>
          </w:p>
        </w:tc>
        <w:tc>
          <w:tcPr>
            <w:tcW w:w="0" w:type="auto"/>
            <w:vAlign w:val="center"/>
            <w:hideMark/>
          </w:tcPr>
          <w:p w14:paraId="39EEB2DC" w14:textId="77777777" w:rsidR="00902CB1" w:rsidRPr="00DB18E5" w:rsidRDefault="00902CB1" w:rsidP="006C0228">
            <w:pPr>
              <w:rPr>
                <w:rFonts w:asciiTheme="majorBidi" w:hAnsiTheme="majorBidi" w:cstheme="majorBidi"/>
              </w:rPr>
            </w:pPr>
            <w:r w:rsidRPr="00DB18E5">
              <w:rPr>
                <w:rFonts w:asciiTheme="majorBidi" w:hAnsiTheme="majorBidi" w:cstheme="majorBidi"/>
              </w:rPr>
              <w:t>Cardiovascular medication covariate</w:t>
            </w:r>
          </w:p>
        </w:tc>
        <w:tc>
          <w:tcPr>
            <w:tcW w:w="0" w:type="auto"/>
            <w:vAlign w:val="center"/>
            <w:hideMark/>
          </w:tcPr>
          <w:p w14:paraId="1550637D" w14:textId="77777777" w:rsidR="00902CB1" w:rsidRPr="00DB18E5" w:rsidRDefault="00902CB1" w:rsidP="006C0228">
            <w:pPr>
              <w:rPr>
                <w:rFonts w:asciiTheme="majorBidi" w:hAnsiTheme="majorBidi" w:cstheme="majorBidi"/>
              </w:rPr>
            </w:pPr>
            <w:r w:rsidRPr="00DB18E5">
              <w:rPr>
                <w:rFonts w:asciiTheme="majorBidi" w:hAnsiTheme="majorBidi" w:cstheme="majorBidi"/>
              </w:rPr>
              <w:t>C09C, C09D</w:t>
            </w:r>
          </w:p>
        </w:tc>
      </w:tr>
      <w:tr w:rsidR="00902CB1" w:rsidRPr="00DB18E5" w14:paraId="33DF0ED9" w14:textId="77777777" w:rsidTr="006C0228">
        <w:trPr>
          <w:tblCellSpacing w:w="15" w:type="dxa"/>
        </w:trPr>
        <w:tc>
          <w:tcPr>
            <w:tcW w:w="0" w:type="auto"/>
            <w:vAlign w:val="center"/>
            <w:hideMark/>
          </w:tcPr>
          <w:p w14:paraId="11C3AB68" w14:textId="77777777" w:rsidR="00902CB1" w:rsidRPr="00DB18E5" w:rsidRDefault="00902CB1" w:rsidP="006C0228">
            <w:pPr>
              <w:rPr>
                <w:rFonts w:asciiTheme="majorBidi" w:hAnsiTheme="majorBidi" w:cstheme="majorBidi"/>
              </w:rPr>
            </w:pPr>
            <w:r w:rsidRPr="00DB18E5">
              <w:rPr>
                <w:rFonts w:asciiTheme="majorBidi" w:hAnsiTheme="majorBidi" w:cstheme="majorBidi"/>
              </w:rPr>
              <w:t>Beta-blockers</w:t>
            </w:r>
          </w:p>
        </w:tc>
        <w:tc>
          <w:tcPr>
            <w:tcW w:w="0" w:type="auto"/>
            <w:vAlign w:val="center"/>
            <w:hideMark/>
          </w:tcPr>
          <w:p w14:paraId="1A937CB7" w14:textId="77777777" w:rsidR="00902CB1" w:rsidRPr="00DB18E5" w:rsidRDefault="00902CB1" w:rsidP="006C0228">
            <w:pPr>
              <w:rPr>
                <w:rFonts w:asciiTheme="majorBidi" w:hAnsiTheme="majorBidi" w:cstheme="majorBidi"/>
              </w:rPr>
            </w:pPr>
            <w:r w:rsidRPr="00DB18E5">
              <w:rPr>
                <w:rFonts w:asciiTheme="majorBidi" w:hAnsiTheme="majorBidi" w:cstheme="majorBidi"/>
              </w:rPr>
              <w:t>Cardiovascular medication covariate</w:t>
            </w:r>
          </w:p>
        </w:tc>
        <w:tc>
          <w:tcPr>
            <w:tcW w:w="0" w:type="auto"/>
            <w:vAlign w:val="center"/>
            <w:hideMark/>
          </w:tcPr>
          <w:p w14:paraId="27243A58" w14:textId="77777777" w:rsidR="00902CB1" w:rsidRPr="00DB18E5" w:rsidRDefault="00902CB1" w:rsidP="006C0228">
            <w:pPr>
              <w:rPr>
                <w:rFonts w:asciiTheme="majorBidi" w:hAnsiTheme="majorBidi" w:cstheme="majorBidi"/>
              </w:rPr>
            </w:pPr>
            <w:r w:rsidRPr="00DB18E5">
              <w:rPr>
                <w:rFonts w:asciiTheme="majorBidi" w:hAnsiTheme="majorBidi" w:cstheme="majorBidi"/>
              </w:rPr>
              <w:t>C07</w:t>
            </w:r>
          </w:p>
        </w:tc>
      </w:tr>
      <w:tr w:rsidR="00902CB1" w:rsidRPr="00DB18E5" w14:paraId="0C58C0DC" w14:textId="77777777" w:rsidTr="006C0228">
        <w:trPr>
          <w:tblCellSpacing w:w="15" w:type="dxa"/>
        </w:trPr>
        <w:tc>
          <w:tcPr>
            <w:tcW w:w="0" w:type="auto"/>
            <w:vAlign w:val="center"/>
            <w:hideMark/>
          </w:tcPr>
          <w:p w14:paraId="0F495C3F"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Antiplatelet therapy</w:t>
            </w:r>
          </w:p>
        </w:tc>
        <w:tc>
          <w:tcPr>
            <w:tcW w:w="0" w:type="auto"/>
            <w:vAlign w:val="center"/>
            <w:hideMark/>
          </w:tcPr>
          <w:p w14:paraId="0C64A652" w14:textId="77777777" w:rsidR="00902CB1" w:rsidRPr="00DB18E5" w:rsidRDefault="00902CB1" w:rsidP="006C0228">
            <w:pPr>
              <w:rPr>
                <w:rFonts w:asciiTheme="majorBidi" w:hAnsiTheme="majorBidi" w:cstheme="majorBidi"/>
              </w:rPr>
            </w:pPr>
            <w:r w:rsidRPr="00DB18E5">
              <w:rPr>
                <w:rFonts w:asciiTheme="majorBidi" w:hAnsiTheme="majorBidi" w:cstheme="majorBidi"/>
              </w:rPr>
              <w:t>Cardiovascular medication covariate</w:t>
            </w:r>
          </w:p>
        </w:tc>
        <w:tc>
          <w:tcPr>
            <w:tcW w:w="0" w:type="auto"/>
            <w:vAlign w:val="center"/>
            <w:hideMark/>
          </w:tcPr>
          <w:p w14:paraId="0C4D4B91" w14:textId="77777777" w:rsidR="00902CB1" w:rsidRPr="00DB18E5" w:rsidRDefault="00902CB1" w:rsidP="006C0228">
            <w:pPr>
              <w:rPr>
                <w:rFonts w:asciiTheme="majorBidi" w:hAnsiTheme="majorBidi" w:cstheme="majorBidi"/>
              </w:rPr>
            </w:pPr>
            <w:r w:rsidRPr="00DB18E5">
              <w:rPr>
                <w:rFonts w:asciiTheme="majorBidi" w:hAnsiTheme="majorBidi" w:cstheme="majorBidi"/>
              </w:rPr>
              <w:t>B01AC and relevant antiplatelet-specific codes</w:t>
            </w:r>
          </w:p>
        </w:tc>
      </w:tr>
      <w:tr w:rsidR="00902CB1" w:rsidRPr="00DB18E5" w14:paraId="12019E96" w14:textId="77777777" w:rsidTr="006C0228">
        <w:trPr>
          <w:tblCellSpacing w:w="15" w:type="dxa"/>
        </w:trPr>
        <w:tc>
          <w:tcPr>
            <w:tcW w:w="0" w:type="auto"/>
            <w:vAlign w:val="center"/>
            <w:hideMark/>
          </w:tcPr>
          <w:p w14:paraId="43EB80D4" w14:textId="77777777" w:rsidR="00902CB1" w:rsidRPr="00DB18E5" w:rsidRDefault="00902CB1" w:rsidP="006C0228">
            <w:pPr>
              <w:rPr>
                <w:rFonts w:asciiTheme="majorBidi" w:hAnsiTheme="majorBidi" w:cstheme="majorBidi"/>
              </w:rPr>
            </w:pPr>
            <w:r w:rsidRPr="00DB18E5">
              <w:rPr>
                <w:rFonts w:asciiTheme="majorBidi" w:hAnsiTheme="majorBidi" w:cstheme="majorBidi"/>
              </w:rPr>
              <w:t>Anticoagulant therapy</w:t>
            </w:r>
          </w:p>
        </w:tc>
        <w:tc>
          <w:tcPr>
            <w:tcW w:w="0" w:type="auto"/>
            <w:vAlign w:val="center"/>
            <w:hideMark/>
          </w:tcPr>
          <w:p w14:paraId="3CBA14BD" w14:textId="77777777" w:rsidR="00902CB1" w:rsidRPr="00DB18E5" w:rsidRDefault="00902CB1" w:rsidP="006C0228">
            <w:pPr>
              <w:rPr>
                <w:rFonts w:asciiTheme="majorBidi" w:hAnsiTheme="majorBidi" w:cstheme="majorBidi"/>
              </w:rPr>
            </w:pPr>
            <w:r w:rsidRPr="00DB18E5">
              <w:rPr>
                <w:rFonts w:asciiTheme="majorBidi" w:hAnsiTheme="majorBidi" w:cstheme="majorBidi"/>
              </w:rPr>
              <w:t>Cardiovascular medication covariate</w:t>
            </w:r>
          </w:p>
        </w:tc>
        <w:tc>
          <w:tcPr>
            <w:tcW w:w="0" w:type="auto"/>
            <w:vAlign w:val="center"/>
            <w:hideMark/>
          </w:tcPr>
          <w:p w14:paraId="49BA7AB0" w14:textId="77777777" w:rsidR="00902CB1" w:rsidRPr="00DB18E5" w:rsidRDefault="00902CB1" w:rsidP="006C0228">
            <w:pPr>
              <w:rPr>
                <w:rFonts w:asciiTheme="majorBidi" w:hAnsiTheme="majorBidi" w:cstheme="majorBidi"/>
              </w:rPr>
            </w:pPr>
            <w:r w:rsidRPr="00DB18E5">
              <w:rPr>
                <w:rFonts w:asciiTheme="majorBidi" w:hAnsiTheme="majorBidi" w:cstheme="majorBidi"/>
              </w:rPr>
              <w:t>B01AA, B01AB, B01AE, B01AF and relevant anticoagulant-specific codes</w:t>
            </w:r>
          </w:p>
        </w:tc>
      </w:tr>
    </w:tbl>
    <w:p w14:paraId="632DA281" w14:textId="77777777" w:rsidR="00902CB1" w:rsidRPr="00DB18E5" w:rsidRDefault="00902CB1" w:rsidP="00902CB1">
      <w:pPr>
        <w:rPr>
          <w:rFonts w:asciiTheme="majorBidi" w:hAnsiTheme="majorBidi" w:cstheme="majorBidi"/>
          <w:b/>
          <w:bCs/>
        </w:rPr>
      </w:pPr>
    </w:p>
    <w:p w14:paraId="68C009AD" w14:textId="77777777" w:rsidR="00902CB1" w:rsidRPr="00DB18E5" w:rsidRDefault="00902CB1" w:rsidP="00902CB1">
      <w:pPr>
        <w:rPr>
          <w:rFonts w:asciiTheme="majorBidi" w:hAnsiTheme="majorBidi" w:cstheme="majorBidi"/>
          <w:b/>
          <w:bCs/>
        </w:rPr>
      </w:pPr>
      <w:proofErr w:type="spellStart"/>
      <w:r w:rsidRPr="00DB18E5">
        <w:rPr>
          <w:rFonts w:asciiTheme="majorBidi" w:hAnsiTheme="majorBidi" w:cstheme="majorBidi"/>
          <w:b/>
          <w:bCs/>
        </w:rPr>
        <w:t>eTable</w:t>
      </w:r>
      <w:proofErr w:type="spellEnd"/>
      <w:r w:rsidRPr="00DB18E5">
        <w:rPr>
          <w:rFonts w:asciiTheme="majorBidi" w:hAnsiTheme="majorBidi" w:cstheme="majorBidi"/>
          <w:b/>
          <w:bCs/>
        </w:rPr>
        <w:t xml:space="preserve"> 4. Baseline variable definitions</w:t>
      </w:r>
    </w:p>
    <w:p w14:paraId="2A401162" w14:textId="77777777" w:rsidR="00902CB1" w:rsidRPr="00DB18E5" w:rsidRDefault="00902CB1" w:rsidP="00902CB1">
      <w:pPr>
        <w:rPr>
          <w:rFonts w:asciiTheme="majorBidi" w:hAnsiTheme="majorBidi" w:cstheme="majorBid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5"/>
        <w:gridCol w:w="7325"/>
      </w:tblGrid>
      <w:tr w:rsidR="00902CB1" w:rsidRPr="00DB18E5" w14:paraId="0F46C587" w14:textId="77777777" w:rsidTr="006C0228">
        <w:trPr>
          <w:tblHeader/>
          <w:tblCellSpacing w:w="15" w:type="dxa"/>
        </w:trPr>
        <w:tc>
          <w:tcPr>
            <w:tcW w:w="0" w:type="auto"/>
            <w:vAlign w:val="center"/>
            <w:hideMark/>
          </w:tcPr>
          <w:p w14:paraId="76E7A6C7"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Variable</w:t>
            </w:r>
          </w:p>
        </w:tc>
        <w:tc>
          <w:tcPr>
            <w:tcW w:w="0" w:type="auto"/>
            <w:vAlign w:val="center"/>
            <w:hideMark/>
          </w:tcPr>
          <w:p w14:paraId="2FF619C1" w14:textId="77777777" w:rsidR="00902CB1" w:rsidRPr="00DB18E5" w:rsidRDefault="00902CB1" w:rsidP="006C0228">
            <w:pPr>
              <w:rPr>
                <w:rFonts w:asciiTheme="majorBidi" w:hAnsiTheme="majorBidi" w:cstheme="majorBidi"/>
                <w:b/>
                <w:bCs/>
              </w:rPr>
            </w:pPr>
            <w:r w:rsidRPr="00DB18E5">
              <w:rPr>
                <w:rFonts w:asciiTheme="majorBidi" w:hAnsiTheme="majorBidi" w:cstheme="majorBidi"/>
                <w:b/>
                <w:bCs/>
              </w:rPr>
              <w:t>Definition</w:t>
            </w:r>
          </w:p>
        </w:tc>
      </w:tr>
      <w:tr w:rsidR="00902CB1" w:rsidRPr="00DB18E5" w14:paraId="35788860" w14:textId="77777777" w:rsidTr="006C0228">
        <w:trPr>
          <w:tblCellSpacing w:w="15" w:type="dxa"/>
        </w:trPr>
        <w:tc>
          <w:tcPr>
            <w:tcW w:w="0" w:type="auto"/>
            <w:vAlign w:val="center"/>
            <w:hideMark/>
          </w:tcPr>
          <w:p w14:paraId="2914794D" w14:textId="77777777" w:rsidR="00902CB1" w:rsidRPr="00DB18E5" w:rsidRDefault="00902CB1" w:rsidP="006C0228">
            <w:pPr>
              <w:rPr>
                <w:rFonts w:asciiTheme="majorBidi" w:hAnsiTheme="majorBidi" w:cstheme="majorBidi"/>
              </w:rPr>
            </w:pPr>
            <w:r w:rsidRPr="00DB18E5">
              <w:rPr>
                <w:rFonts w:asciiTheme="majorBidi" w:hAnsiTheme="majorBidi" w:cstheme="majorBidi"/>
              </w:rPr>
              <w:t>Age</w:t>
            </w:r>
          </w:p>
        </w:tc>
        <w:tc>
          <w:tcPr>
            <w:tcW w:w="0" w:type="auto"/>
            <w:vAlign w:val="center"/>
            <w:hideMark/>
          </w:tcPr>
          <w:p w14:paraId="117E4DBA" w14:textId="77777777" w:rsidR="00902CB1" w:rsidRPr="00DB18E5" w:rsidRDefault="00902CB1" w:rsidP="006C0228">
            <w:pPr>
              <w:rPr>
                <w:rFonts w:asciiTheme="majorBidi" w:hAnsiTheme="majorBidi" w:cstheme="majorBidi"/>
              </w:rPr>
            </w:pPr>
            <w:r w:rsidRPr="00DB18E5">
              <w:rPr>
                <w:rFonts w:asciiTheme="majorBidi" w:hAnsiTheme="majorBidi" w:cstheme="majorBidi"/>
              </w:rPr>
              <w:t>Age at index date</w:t>
            </w:r>
          </w:p>
        </w:tc>
      </w:tr>
      <w:tr w:rsidR="00902CB1" w:rsidRPr="00DB18E5" w14:paraId="6B39FDE6" w14:textId="77777777" w:rsidTr="006C0228">
        <w:trPr>
          <w:tblCellSpacing w:w="15" w:type="dxa"/>
        </w:trPr>
        <w:tc>
          <w:tcPr>
            <w:tcW w:w="0" w:type="auto"/>
            <w:vAlign w:val="center"/>
            <w:hideMark/>
          </w:tcPr>
          <w:p w14:paraId="6C14A05E" w14:textId="77777777" w:rsidR="00902CB1" w:rsidRPr="00DB18E5" w:rsidRDefault="00902CB1" w:rsidP="006C0228">
            <w:pPr>
              <w:rPr>
                <w:rFonts w:asciiTheme="majorBidi" w:hAnsiTheme="majorBidi" w:cstheme="majorBidi"/>
              </w:rPr>
            </w:pPr>
            <w:r w:rsidRPr="00DB18E5">
              <w:rPr>
                <w:rFonts w:asciiTheme="majorBidi" w:hAnsiTheme="majorBidi" w:cstheme="majorBidi"/>
              </w:rPr>
              <w:t>Sex</w:t>
            </w:r>
          </w:p>
        </w:tc>
        <w:tc>
          <w:tcPr>
            <w:tcW w:w="0" w:type="auto"/>
            <w:vAlign w:val="center"/>
            <w:hideMark/>
          </w:tcPr>
          <w:p w14:paraId="6E5919A7" w14:textId="77777777" w:rsidR="00902CB1" w:rsidRPr="00DB18E5" w:rsidRDefault="00902CB1" w:rsidP="006C0228">
            <w:pPr>
              <w:rPr>
                <w:rFonts w:asciiTheme="majorBidi" w:hAnsiTheme="majorBidi" w:cstheme="majorBidi"/>
              </w:rPr>
            </w:pPr>
            <w:r w:rsidRPr="00DB18E5">
              <w:rPr>
                <w:rFonts w:asciiTheme="majorBidi" w:hAnsiTheme="majorBidi" w:cstheme="majorBidi"/>
              </w:rPr>
              <w:t>Recorded biological sex in CHS records</w:t>
            </w:r>
          </w:p>
        </w:tc>
      </w:tr>
      <w:tr w:rsidR="00902CB1" w:rsidRPr="00DB18E5" w14:paraId="07EEF79D" w14:textId="77777777" w:rsidTr="006C0228">
        <w:trPr>
          <w:tblCellSpacing w:w="15" w:type="dxa"/>
        </w:trPr>
        <w:tc>
          <w:tcPr>
            <w:tcW w:w="0" w:type="auto"/>
            <w:vAlign w:val="center"/>
            <w:hideMark/>
          </w:tcPr>
          <w:p w14:paraId="2ACE3F7E" w14:textId="77777777" w:rsidR="00902CB1" w:rsidRPr="00DB18E5" w:rsidRDefault="00902CB1" w:rsidP="006C0228">
            <w:pPr>
              <w:rPr>
                <w:rFonts w:asciiTheme="majorBidi" w:hAnsiTheme="majorBidi" w:cstheme="majorBidi"/>
              </w:rPr>
            </w:pPr>
            <w:r w:rsidRPr="00DB18E5">
              <w:rPr>
                <w:rFonts w:asciiTheme="majorBidi" w:hAnsiTheme="majorBidi" w:cstheme="majorBidi"/>
              </w:rPr>
              <w:t>Socioeconomic status</w:t>
            </w:r>
          </w:p>
        </w:tc>
        <w:tc>
          <w:tcPr>
            <w:tcW w:w="0" w:type="auto"/>
            <w:vAlign w:val="center"/>
            <w:hideMark/>
          </w:tcPr>
          <w:p w14:paraId="45667DA5" w14:textId="77777777" w:rsidR="00902CB1" w:rsidRPr="00DB18E5" w:rsidRDefault="00902CB1" w:rsidP="006C0228">
            <w:pPr>
              <w:rPr>
                <w:rFonts w:asciiTheme="majorBidi" w:hAnsiTheme="majorBidi" w:cstheme="majorBidi"/>
              </w:rPr>
            </w:pPr>
            <w:r w:rsidRPr="00DB18E5">
              <w:rPr>
                <w:rFonts w:asciiTheme="majorBidi" w:hAnsiTheme="majorBidi" w:cstheme="majorBidi"/>
              </w:rPr>
              <w:t>Clinic-level SES score based on Israeli Central Bureau of Statistics ranking; categorized as low 1–4, medium 5–7, high 8–10</w:t>
            </w:r>
          </w:p>
        </w:tc>
      </w:tr>
      <w:tr w:rsidR="00902CB1" w:rsidRPr="00DB18E5" w14:paraId="089ACD85" w14:textId="77777777" w:rsidTr="006C0228">
        <w:trPr>
          <w:tblCellSpacing w:w="15" w:type="dxa"/>
        </w:trPr>
        <w:tc>
          <w:tcPr>
            <w:tcW w:w="0" w:type="auto"/>
            <w:vAlign w:val="center"/>
            <w:hideMark/>
          </w:tcPr>
          <w:p w14:paraId="759DFF40" w14:textId="77777777" w:rsidR="00902CB1" w:rsidRPr="00DB18E5" w:rsidRDefault="00902CB1" w:rsidP="006C0228">
            <w:pPr>
              <w:rPr>
                <w:rFonts w:asciiTheme="majorBidi" w:hAnsiTheme="majorBidi" w:cstheme="majorBidi"/>
              </w:rPr>
            </w:pPr>
            <w:r w:rsidRPr="00DB18E5">
              <w:rPr>
                <w:rFonts w:asciiTheme="majorBidi" w:hAnsiTheme="majorBidi" w:cstheme="majorBidi"/>
              </w:rPr>
              <w:t>BMI</w:t>
            </w:r>
          </w:p>
        </w:tc>
        <w:tc>
          <w:tcPr>
            <w:tcW w:w="0" w:type="auto"/>
            <w:vAlign w:val="center"/>
            <w:hideMark/>
          </w:tcPr>
          <w:p w14:paraId="49562373" w14:textId="6AF6E363" w:rsidR="00902CB1" w:rsidRPr="00DB18E5" w:rsidRDefault="00902CB1" w:rsidP="00375661">
            <w:pPr>
              <w:rPr>
                <w:rFonts w:asciiTheme="majorBidi" w:hAnsiTheme="majorBidi" w:cstheme="majorBidi"/>
              </w:rPr>
            </w:pPr>
            <w:r w:rsidRPr="00DB18E5">
              <w:rPr>
                <w:rFonts w:asciiTheme="majorBidi" w:hAnsiTheme="majorBidi" w:cstheme="majorBidi"/>
              </w:rPr>
              <w:t xml:space="preserve">Closest to index </w:t>
            </w:r>
            <w:bookmarkStart w:id="0" w:name="_GoBack"/>
            <w:bookmarkEnd w:id="0"/>
          </w:p>
        </w:tc>
      </w:tr>
      <w:tr w:rsidR="00902CB1" w:rsidRPr="00DB18E5" w14:paraId="26DC6D1F" w14:textId="77777777" w:rsidTr="006C0228">
        <w:trPr>
          <w:tblCellSpacing w:w="15" w:type="dxa"/>
        </w:trPr>
        <w:tc>
          <w:tcPr>
            <w:tcW w:w="0" w:type="auto"/>
            <w:vAlign w:val="center"/>
            <w:hideMark/>
          </w:tcPr>
          <w:p w14:paraId="35CB1985" w14:textId="77777777" w:rsidR="00902CB1" w:rsidRPr="00DB18E5" w:rsidRDefault="00902CB1" w:rsidP="006C0228">
            <w:pPr>
              <w:rPr>
                <w:rFonts w:asciiTheme="majorBidi" w:hAnsiTheme="majorBidi" w:cstheme="majorBidi"/>
              </w:rPr>
            </w:pPr>
            <w:r w:rsidRPr="00DB18E5">
              <w:rPr>
                <w:rFonts w:asciiTheme="majorBidi" w:hAnsiTheme="majorBidi" w:cstheme="majorBidi"/>
              </w:rPr>
              <w:t>Systolic blood pressure</w:t>
            </w:r>
          </w:p>
        </w:tc>
        <w:tc>
          <w:tcPr>
            <w:tcW w:w="0" w:type="auto"/>
            <w:vAlign w:val="center"/>
            <w:hideMark/>
          </w:tcPr>
          <w:p w14:paraId="4B9ED19E" w14:textId="2073AC11" w:rsidR="00902CB1" w:rsidRPr="00DB18E5" w:rsidRDefault="00902CB1" w:rsidP="00375661">
            <w:pPr>
              <w:rPr>
                <w:rFonts w:asciiTheme="majorBidi" w:hAnsiTheme="majorBidi" w:cstheme="majorBidi"/>
              </w:rPr>
            </w:pPr>
            <w:r w:rsidRPr="00DB18E5">
              <w:rPr>
                <w:rFonts w:asciiTheme="majorBidi" w:hAnsiTheme="majorBidi" w:cstheme="majorBidi"/>
              </w:rPr>
              <w:t xml:space="preserve">Closest to index </w:t>
            </w:r>
          </w:p>
        </w:tc>
      </w:tr>
      <w:tr w:rsidR="00902CB1" w:rsidRPr="00DB18E5" w14:paraId="444065AE" w14:textId="77777777" w:rsidTr="006C0228">
        <w:trPr>
          <w:tblCellSpacing w:w="15" w:type="dxa"/>
        </w:trPr>
        <w:tc>
          <w:tcPr>
            <w:tcW w:w="0" w:type="auto"/>
            <w:vAlign w:val="center"/>
            <w:hideMark/>
          </w:tcPr>
          <w:p w14:paraId="7153061E" w14:textId="77777777" w:rsidR="00902CB1" w:rsidRPr="00DB18E5" w:rsidRDefault="00902CB1" w:rsidP="006C0228">
            <w:pPr>
              <w:rPr>
                <w:rFonts w:asciiTheme="majorBidi" w:hAnsiTheme="majorBidi" w:cstheme="majorBidi"/>
              </w:rPr>
            </w:pPr>
            <w:r w:rsidRPr="00DB18E5">
              <w:rPr>
                <w:rFonts w:asciiTheme="majorBidi" w:hAnsiTheme="majorBidi" w:cstheme="majorBidi"/>
              </w:rPr>
              <w:t>Diastolic blood pressure</w:t>
            </w:r>
          </w:p>
        </w:tc>
        <w:tc>
          <w:tcPr>
            <w:tcW w:w="0" w:type="auto"/>
            <w:vAlign w:val="center"/>
            <w:hideMark/>
          </w:tcPr>
          <w:p w14:paraId="191E8E28" w14:textId="109CD07C" w:rsidR="00902CB1" w:rsidRPr="00DB18E5" w:rsidRDefault="00902CB1" w:rsidP="00375661">
            <w:pPr>
              <w:rPr>
                <w:rFonts w:asciiTheme="majorBidi" w:hAnsiTheme="majorBidi" w:cstheme="majorBidi"/>
              </w:rPr>
            </w:pPr>
            <w:r w:rsidRPr="00DB18E5">
              <w:rPr>
                <w:rFonts w:asciiTheme="majorBidi" w:hAnsiTheme="majorBidi" w:cstheme="majorBidi"/>
              </w:rPr>
              <w:t xml:space="preserve">Closest to index </w:t>
            </w:r>
          </w:p>
        </w:tc>
      </w:tr>
      <w:tr w:rsidR="00902CB1" w:rsidRPr="00DB18E5" w14:paraId="6F624402" w14:textId="77777777" w:rsidTr="006C0228">
        <w:trPr>
          <w:tblCellSpacing w:w="15" w:type="dxa"/>
        </w:trPr>
        <w:tc>
          <w:tcPr>
            <w:tcW w:w="0" w:type="auto"/>
            <w:vAlign w:val="center"/>
            <w:hideMark/>
          </w:tcPr>
          <w:p w14:paraId="7589932F" w14:textId="77777777" w:rsidR="00902CB1" w:rsidRPr="00DB18E5" w:rsidRDefault="00902CB1" w:rsidP="006C0228">
            <w:pPr>
              <w:rPr>
                <w:rFonts w:asciiTheme="majorBidi" w:hAnsiTheme="majorBidi" w:cstheme="majorBidi"/>
              </w:rPr>
            </w:pPr>
            <w:r w:rsidRPr="00DB18E5">
              <w:rPr>
                <w:rFonts w:asciiTheme="majorBidi" w:hAnsiTheme="majorBidi" w:cstheme="majorBidi"/>
              </w:rPr>
              <w:t>Smoking status</w:t>
            </w:r>
          </w:p>
        </w:tc>
        <w:tc>
          <w:tcPr>
            <w:tcW w:w="0" w:type="auto"/>
            <w:vAlign w:val="center"/>
            <w:hideMark/>
          </w:tcPr>
          <w:p w14:paraId="39E05D26" w14:textId="77777777" w:rsidR="00902CB1" w:rsidRPr="00DB18E5" w:rsidRDefault="00902CB1" w:rsidP="006C0228">
            <w:pPr>
              <w:rPr>
                <w:rFonts w:asciiTheme="majorBidi" w:hAnsiTheme="majorBidi" w:cstheme="majorBidi"/>
              </w:rPr>
            </w:pPr>
            <w:r w:rsidRPr="00DB18E5">
              <w:rPr>
                <w:rFonts w:asciiTheme="majorBidi" w:hAnsiTheme="majorBidi" w:cstheme="majorBidi"/>
              </w:rPr>
              <w:t>Ever smoker if any documented smoking history; otherwise never smoker</w:t>
            </w:r>
          </w:p>
        </w:tc>
      </w:tr>
      <w:tr w:rsidR="00902CB1" w:rsidRPr="00DB18E5" w14:paraId="790B3DCE" w14:textId="77777777" w:rsidTr="006C0228">
        <w:trPr>
          <w:tblCellSpacing w:w="15" w:type="dxa"/>
        </w:trPr>
        <w:tc>
          <w:tcPr>
            <w:tcW w:w="0" w:type="auto"/>
            <w:vAlign w:val="center"/>
            <w:hideMark/>
          </w:tcPr>
          <w:p w14:paraId="27D7EC53" w14:textId="77777777" w:rsidR="00902CB1" w:rsidRPr="00DB18E5" w:rsidRDefault="00902CB1" w:rsidP="006C0228">
            <w:pPr>
              <w:rPr>
                <w:rFonts w:asciiTheme="majorBidi" w:hAnsiTheme="majorBidi" w:cstheme="majorBidi"/>
              </w:rPr>
            </w:pPr>
            <w:r w:rsidRPr="00DB18E5">
              <w:rPr>
                <w:rFonts w:asciiTheme="majorBidi" w:hAnsiTheme="majorBidi" w:cstheme="majorBidi"/>
              </w:rPr>
              <w:lastRenderedPageBreak/>
              <w:t>Laboratory variables</w:t>
            </w:r>
          </w:p>
        </w:tc>
        <w:tc>
          <w:tcPr>
            <w:tcW w:w="0" w:type="auto"/>
            <w:vAlign w:val="center"/>
            <w:hideMark/>
          </w:tcPr>
          <w:p w14:paraId="2191FFB3"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to index up to five years before</w:t>
            </w:r>
          </w:p>
        </w:tc>
      </w:tr>
      <w:tr w:rsidR="00902CB1" w:rsidRPr="00DB18E5" w14:paraId="2AF099F1" w14:textId="77777777" w:rsidTr="006C0228">
        <w:trPr>
          <w:tblCellSpacing w:w="15" w:type="dxa"/>
        </w:trPr>
        <w:tc>
          <w:tcPr>
            <w:tcW w:w="0" w:type="auto"/>
            <w:vAlign w:val="center"/>
            <w:hideMark/>
          </w:tcPr>
          <w:p w14:paraId="3F4F087D" w14:textId="77777777" w:rsidR="00902CB1" w:rsidRPr="00DB18E5" w:rsidRDefault="00902CB1" w:rsidP="006C0228">
            <w:pPr>
              <w:rPr>
                <w:rFonts w:asciiTheme="majorBidi" w:hAnsiTheme="majorBidi" w:cstheme="majorBidi"/>
              </w:rPr>
            </w:pPr>
            <w:r w:rsidRPr="00DB18E5">
              <w:rPr>
                <w:rFonts w:asciiTheme="majorBidi" w:hAnsiTheme="majorBidi" w:cstheme="majorBidi"/>
              </w:rPr>
              <w:t>Hemoglobin A1c</w:t>
            </w:r>
          </w:p>
        </w:tc>
        <w:tc>
          <w:tcPr>
            <w:tcW w:w="0" w:type="auto"/>
            <w:vAlign w:val="center"/>
            <w:hideMark/>
          </w:tcPr>
          <w:p w14:paraId="5605789A"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HbA1c to index date within preceding five years</w:t>
            </w:r>
          </w:p>
        </w:tc>
      </w:tr>
      <w:tr w:rsidR="00902CB1" w:rsidRPr="00DB18E5" w14:paraId="3D402738" w14:textId="77777777" w:rsidTr="006C0228">
        <w:trPr>
          <w:tblCellSpacing w:w="15" w:type="dxa"/>
        </w:trPr>
        <w:tc>
          <w:tcPr>
            <w:tcW w:w="0" w:type="auto"/>
            <w:vAlign w:val="center"/>
            <w:hideMark/>
          </w:tcPr>
          <w:p w14:paraId="6B4E7EE7" w14:textId="77777777" w:rsidR="00902CB1" w:rsidRPr="00DB18E5" w:rsidRDefault="00902CB1" w:rsidP="006C0228">
            <w:pPr>
              <w:rPr>
                <w:rFonts w:asciiTheme="majorBidi" w:hAnsiTheme="majorBidi" w:cstheme="majorBidi"/>
              </w:rPr>
            </w:pPr>
            <w:r w:rsidRPr="00DB18E5">
              <w:rPr>
                <w:rFonts w:asciiTheme="majorBidi" w:hAnsiTheme="majorBidi" w:cstheme="majorBidi"/>
              </w:rPr>
              <w:t>LDL cholesterol</w:t>
            </w:r>
          </w:p>
        </w:tc>
        <w:tc>
          <w:tcPr>
            <w:tcW w:w="0" w:type="auto"/>
            <w:vAlign w:val="center"/>
            <w:hideMark/>
          </w:tcPr>
          <w:p w14:paraId="3D674147"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LDL value to index date within preceding five years</w:t>
            </w:r>
          </w:p>
        </w:tc>
      </w:tr>
      <w:tr w:rsidR="00902CB1" w:rsidRPr="00DB18E5" w14:paraId="52D6F2D4" w14:textId="77777777" w:rsidTr="006C0228">
        <w:trPr>
          <w:tblCellSpacing w:w="15" w:type="dxa"/>
        </w:trPr>
        <w:tc>
          <w:tcPr>
            <w:tcW w:w="0" w:type="auto"/>
            <w:vAlign w:val="center"/>
            <w:hideMark/>
          </w:tcPr>
          <w:p w14:paraId="612D74CC" w14:textId="77777777" w:rsidR="00902CB1" w:rsidRPr="00DB18E5" w:rsidRDefault="00902CB1" w:rsidP="006C0228">
            <w:pPr>
              <w:rPr>
                <w:rFonts w:asciiTheme="majorBidi" w:hAnsiTheme="majorBidi" w:cstheme="majorBidi"/>
              </w:rPr>
            </w:pPr>
            <w:r w:rsidRPr="00DB18E5">
              <w:rPr>
                <w:rFonts w:asciiTheme="majorBidi" w:hAnsiTheme="majorBidi" w:cstheme="majorBidi"/>
              </w:rPr>
              <w:t>Total cholesterol</w:t>
            </w:r>
          </w:p>
        </w:tc>
        <w:tc>
          <w:tcPr>
            <w:tcW w:w="0" w:type="auto"/>
            <w:vAlign w:val="center"/>
            <w:hideMark/>
          </w:tcPr>
          <w:p w14:paraId="27E68DB4"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total cholesterol value to index date within preceding five years</w:t>
            </w:r>
          </w:p>
        </w:tc>
      </w:tr>
      <w:tr w:rsidR="00902CB1" w:rsidRPr="00DB18E5" w14:paraId="70815C03" w14:textId="77777777" w:rsidTr="006C0228">
        <w:trPr>
          <w:tblCellSpacing w:w="15" w:type="dxa"/>
        </w:trPr>
        <w:tc>
          <w:tcPr>
            <w:tcW w:w="0" w:type="auto"/>
            <w:vAlign w:val="center"/>
            <w:hideMark/>
          </w:tcPr>
          <w:p w14:paraId="1B2E90F3" w14:textId="77777777" w:rsidR="00902CB1" w:rsidRPr="00DB18E5" w:rsidRDefault="00902CB1" w:rsidP="006C0228">
            <w:pPr>
              <w:rPr>
                <w:rFonts w:asciiTheme="majorBidi" w:hAnsiTheme="majorBidi" w:cstheme="majorBidi"/>
              </w:rPr>
            </w:pPr>
            <w:r w:rsidRPr="00DB18E5">
              <w:rPr>
                <w:rFonts w:asciiTheme="majorBidi" w:hAnsiTheme="majorBidi" w:cstheme="majorBidi"/>
              </w:rPr>
              <w:t>HDL cholesterol</w:t>
            </w:r>
          </w:p>
        </w:tc>
        <w:tc>
          <w:tcPr>
            <w:tcW w:w="0" w:type="auto"/>
            <w:vAlign w:val="center"/>
            <w:hideMark/>
          </w:tcPr>
          <w:p w14:paraId="647B7D43"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HDL value to index date within preceding five years</w:t>
            </w:r>
          </w:p>
        </w:tc>
      </w:tr>
      <w:tr w:rsidR="00902CB1" w:rsidRPr="00DB18E5" w14:paraId="5EEFB5A5" w14:textId="77777777" w:rsidTr="006C0228">
        <w:trPr>
          <w:tblCellSpacing w:w="15" w:type="dxa"/>
        </w:trPr>
        <w:tc>
          <w:tcPr>
            <w:tcW w:w="0" w:type="auto"/>
            <w:vAlign w:val="center"/>
            <w:hideMark/>
          </w:tcPr>
          <w:p w14:paraId="2DB3D5C7" w14:textId="77777777" w:rsidR="00902CB1" w:rsidRPr="00DB18E5" w:rsidRDefault="00902CB1" w:rsidP="006C0228">
            <w:pPr>
              <w:rPr>
                <w:rFonts w:asciiTheme="majorBidi" w:hAnsiTheme="majorBidi" w:cstheme="majorBidi"/>
              </w:rPr>
            </w:pPr>
            <w:r w:rsidRPr="00DB18E5">
              <w:rPr>
                <w:rFonts w:asciiTheme="majorBidi" w:hAnsiTheme="majorBidi" w:cstheme="majorBidi"/>
              </w:rPr>
              <w:t>Triglycerides</w:t>
            </w:r>
          </w:p>
        </w:tc>
        <w:tc>
          <w:tcPr>
            <w:tcW w:w="0" w:type="auto"/>
            <w:vAlign w:val="center"/>
            <w:hideMark/>
          </w:tcPr>
          <w:p w14:paraId="671D0257"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triglyceride value to index date within preceding five years</w:t>
            </w:r>
          </w:p>
        </w:tc>
      </w:tr>
      <w:tr w:rsidR="00902CB1" w:rsidRPr="00DB18E5" w14:paraId="2A1B9052" w14:textId="77777777" w:rsidTr="006C0228">
        <w:trPr>
          <w:tblCellSpacing w:w="15" w:type="dxa"/>
        </w:trPr>
        <w:tc>
          <w:tcPr>
            <w:tcW w:w="0" w:type="auto"/>
            <w:vAlign w:val="center"/>
            <w:hideMark/>
          </w:tcPr>
          <w:p w14:paraId="2D186651" w14:textId="77777777" w:rsidR="00902CB1" w:rsidRPr="00DB18E5" w:rsidRDefault="00902CB1" w:rsidP="006C0228">
            <w:pPr>
              <w:rPr>
                <w:rFonts w:asciiTheme="majorBidi" w:hAnsiTheme="majorBidi" w:cstheme="majorBidi"/>
              </w:rPr>
            </w:pPr>
            <w:r w:rsidRPr="00DB18E5">
              <w:rPr>
                <w:rFonts w:asciiTheme="majorBidi" w:hAnsiTheme="majorBidi" w:cstheme="majorBidi"/>
              </w:rPr>
              <w:t>Serum creatinine</w:t>
            </w:r>
          </w:p>
        </w:tc>
        <w:tc>
          <w:tcPr>
            <w:tcW w:w="0" w:type="auto"/>
            <w:vAlign w:val="center"/>
            <w:hideMark/>
          </w:tcPr>
          <w:p w14:paraId="1C19F011"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creatinine value to index date within preceding five years</w:t>
            </w:r>
          </w:p>
        </w:tc>
      </w:tr>
      <w:tr w:rsidR="00902CB1" w:rsidRPr="00DB18E5" w14:paraId="108E7A59" w14:textId="77777777" w:rsidTr="006C0228">
        <w:trPr>
          <w:tblCellSpacing w:w="15" w:type="dxa"/>
        </w:trPr>
        <w:tc>
          <w:tcPr>
            <w:tcW w:w="0" w:type="auto"/>
            <w:vAlign w:val="center"/>
            <w:hideMark/>
          </w:tcPr>
          <w:p w14:paraId="7E7C72F3" w14:textId="77777777" w:rsidR="00902CB1" w:rsidRPr="00DB18E5" w:rsidRDefault="00902CB1" w:rsidP="006C0228">
            <w:pPr>
              <w:rPr>
                <w:rFonts w:asciiTheme="majorBidi" w:hAnsiTheme="majorBidi" w:cstheme="majorBidi"/>
              </w:rPr>
            </w:pPr>
            <w:r w:rsidRPr="00DB18E5">
              <w:rPr>
                <w:rFonts w:asciiTheme="majorBidi" w:hAnsiTheme="majorBidi" w:cstheme="majorBidi"/>
              </w:rPr>
              <w:t>Hemoglobin</w:t>
            </w:r>
          </w:p>
        </w:tc>
        <w:tc>
          <w:tcPr>
            <w:tcW w:w="0" w:type="auto"/>
            <w:vAlign w:val="center"/>
            <w:hideMark/>
          </w:tcPr>
          <w:p w14:paraId="0752DA54"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hemoglobin value to index date within preceding five years</w:t>
            </w:r>
          </w:p>
        </w:tc>
      </w:tr>
      <w:tr w:rsidR="00902CB1" w:rsidRPr="00DB18E5" w14:paraId="4B9F331A" w14:textId="77777777" w:rsidTr="006C0228">
        <w:trPr>
          <w:tblCellSpacing w:w="15" w:type="dxa"/>
        </w:trPr>
        <w:tc>
          <w:tcPr>
            <w:tcW w:w="0" w:type="auto"/>
            <w:vAlign w:val="center"/>
            <w:hideMark/>
          </w:tcPr>
          <w:p w14:paraId="44F853CA" w14:textId="77777777" w:rsidR="00902CB1" w:rsidRPr="00DB18E5" w:rsidRDefault="00902CB1" w:rsidP="006C0228">
            <w:pPr>
              <w:rPr>
                <w:rFonts w:asciiTheme="majorBidi" w:hAnsiTheme="majorBidi" w:cstheme="majorBidi"/>
              </w:rPr>
            </w:pPr>
            <w:r w:rsidRPr="00DB18E5">
              <w:rPr>
                <w:rFonts w:asciiTheme="majorBidi" w:hAnsiTheme="majorBidi" w:cstheme="majorBidi"/>
              </w:rPr>
              <w:t>Platelet count</w:t>
            </w:r>
          </w:p>
        </w:tc>
        <w:tc>
          <w:tcPr>
            <w:tcW w:w="0" w:type="auto"/>
            <w:vAlign w:val="center"/>
            <w:hideMark/>
          </w:tcPr>
          <w:p w14:paraId="05B353B6"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platelet count to index date within preceding five years</w:t>
            </w:r>
          </w:p>
        </w:tc>
      </w:tr>
      <w:tr w:rsidR="00902CB1" w:rsidRPr="00DB18E5" w14:paraId="4DA900A7" w14:textId="77777777" w:rsidTr="006C0228">
        <w:trPr>
          <w:tblCellSpacing w:w="15" w:type="dxa"/>
        </w:trPr>
        <w:tc>
          <w:tcPr>
            <w:tcW w:w="0" w:type="auto"/>
            <w:vAlign w:val="center"/>
            <w:hideMark/>
          </w:tcPr>
          <w:p w14:paraId="357838F3" w14:textId="77777777" w:rsidR="00902CB1" w:rsidRPr="00DB18E5" w:rsidRDefault="00902CB1" w:rsidP="006C0228">
            <w:pPr>
              <w:rPr>
                <w:rFonts w:asciiTheme="majorBidi" w:hAnsiTheme="majorBidi" w:cstheme="majorBidi"/>
              </w:rPr>
            </w:pPr>
            <w:r w:rsidRPr="00DB18E5">
              <w:rPr>
                <w:rFonts w:asciiTheme="majorBidi" w:hAnsiTheme="majorBidi" w:cstheme="majorBidi"/>
              </w:rPr>
              <w:t>White blood cell count</w:t>
            </w:r>
          </w:p>
        </w:tc>
        <w:tc>
          <w:tcPr>
            <w:tcW w:w="0" w:type="auto"/>
            <w:vAlign w:val="center"/>
            <w:hideMark/>
          </w:tcPr>
          <w:p w14:paraId="602D8736" w14:textId="77777777" w:rsidR="00902CB1" w:rsidRPr="00DB18E5" w:rsidRDefault="00902CB1" w:rsidP="006C0228">
            <w:pPr>
              <w:rPr>
                <w:rFonts w:asciiTheme="majorBidi" w:hAnsiTheme="majorBidi" w:cstheme="majorBidi"/>
              </w:rPr>
            </w:pPr>
            <w:r w:rsidRPr="00DB18E5">
              <w:rPr>
                <w:rFonts w:asciiTheme="majorBidi" w:hAnsiTheme="majorBidi" w:cstheme="majorBidi"/>
              </w:rPr>
              <w:t>Closest WBC count to index date within preceding five years</w:t>
            </w:r>
          </w:p>
        </w:tc>
      </w:tr>
      <w:tr w:rsidR="00902CB1" w:rsidRPr="00DB18E5" w14:paraId="28D61D3E" w14:textId="77777777" w:rsidTr="006C0228">
        <w:trPr>
          <w:tblCellSpacing w:w="15" w:type="dxa"/>
        </w:trPr>
        <w:tc>
          <w:tcPr>
            <w:tcW w:w="0" w:type="auto"/>
            <w:vAlign w:val="center"/>
            <w:hideMark/>
          </w:tcPr>
          <w:p w14:paraId="678ADEEE" w14:textId="77777777" w:rsidR="00902CB1" w:rsidRPr="00DB18E5" w:rsidRDefault="00902CB1" w:rsidP="006C0228">
            <w:pPr>
              <w:rPr>
                <w:rFonts w:asciiTheme="majorBidi" w:hAnsiTheme="majorBidi" w:cstheme="majorBidi"/>
              </w:rPr>
            </w:pPr>
            <w:r w:rsidRPr="00DB18E5">
              <w:rPr>
                <w:rFonts w:asciiTheme="majorBidi" w:hAnsiTheme="majorBidi" w:cstheme="majorBidi"/>
              </w:rPr>
              <w:t>Comorbidities</w:t>
            </w:r>
          </w:p>
        </w:tc>
        <w:tc>
          <w:tcPr>
            <w:tcW w:w="0" w:type="auto"/>
            <w:vAlign w:val="center"/>
            <w:hideMark/>
          </w:tcPr>
          <w:p w14:paraId="55974F9D" w14:textId="77777777" w:rsidR="00902CB1" w:rsidRPr="00DB18E5" w:rsidRDefault="00902CB1" w:rsidP="006C0228">
            <w:pPr>
              <w:rPr>
                <w:rFonts w:asciiTheme="majorBidi" w:hAnsiTheme="majorBidi" w:cstheme="majorBidi"/>
              </w:rPr>
            </w:pPr>
            <w:r w:rsidRPr="00DB18E5">
              <w:rPr>
                <w:rFonts w:asciiTheme="majorBidi" w:hAnsiTheme="majorBidi" w:cstheme="majorBidi"/>
              </w:rPr>
              <w:t>Defined using ICD-10 diagnosis codes recorded before or at index date</w:t>
            </w:r>
          </w:p>
        </w:tc>
      </w:tr>
      <w:tr w:rsidR="00902CB1" w:rsidRPr="00DB18E5" w14:paraId="5FC5C852" w14:textId="77777777" w:rsidTr="006C0228">
        <w:trPr>
          <w:tblCellSpacing w:w="15" w:type="dxa"/>
        </w:trPr>
        <w:tc>
          <w:tcPr>
            <w:tcW w:w="0" w:type="auto"/>
            <w:vAlign w:val="center"/>
            <w:hideMark/>
          </w:tcPr>
          <w:p w14:paraId="392C99E2" w14:textId="77777777" w:rsidR="00902CB1" w:rsidRPr="00DB18E5" w:rsidRDefault="00902CB1" w:rsidP="006C0228">
            <w:pPr>
              <w:rPr>
                <w:rFonts w:asciiTheme="majorBidi" w:hAnsiTheme="majorBidi" w:cstheme="majorBidi"/>
              </w:rPr>
            </w:pPr>
            <w:r w:rsidRPr="00DB18E5">
              <w:rPr>
                <w:rFonts w:asciiTheme="majorBidi" w:hAnsiTheme="majorBidi" w:cstheme="majorBidi"/>
              </w:rPr>
              <w:t>Chronic medications</w:t>
            </w:r>
          </w:p>
        </w:tc>
        <w:tc>
          <w:tcPr>
            <w:tcW w:w="0" w:type="auto"/>
            <w:vAlign w:val="center"/>
            <w:hideMark/>
          </w:tcPr>
          <w:p w14:paraId="7F183C14" w14:textId="77777777" w:rsidR="00902CB1" w:rsidRPr="00DB18E5" w:rsidRDefault="00902CB1" w:rsidP="006C0228">
            <w:pPr>
              <w:rPr>
                <w:rFonts w:asciiTheme="majorBidi" w:hAnsiTheme="majorBidi" w:cstheme="majorBidi"/>
              </w:rPr>
            </w:pPr>
            <w:r w:rsidRPr="00DB18E5">
              <w:rPr>
                <w:rFonts w:asciiTheme="majorBidi" w:hAnsiTheme="majorBidi" w:cstheme="majorBidi"/>
              </w:rPr>
              <w:t>Defined using ATC medication dispensing records before or around index date</w:t>
            </w:r>
          </w:p>
        </w:tc>
      </w:tr>
    </w:tbl>
    <w:p w14:paraId="41A2D1C6" w14:textId="77777777" w:rsidR="00902CB1" w:rsidRPr="00DB18E5" w:rsidRDefault="00902CB1" w:rsidP="00902CB1">
      <w:pPr>
        <w:rPr>
          <w:rFonts w:asciiTheme="majorBidi" w:hAnsiTheme="majorBidi" w:cstheme="majorBidi"/>
        </w:rPr>
      </w:pPr>
    </w:p>
    <w:p w14:paraId="28EA25A8" w14:textId="657F8844" w:rsidR="00C10DAC" w:rsidRDefault="00C10DAC" w:rsidP="006C0228">
      <w:pPr>
        <w:rPr>
          <w:rFonts w:asciiTheme="majorBidi" w:hAnsiTheme="majorBidi" w:cstheme="majorBidi"/>
          <w:b/>
          <w:bCs/>
        </w:rPr>
      </w:pPr>
    </w:p>
    <w:p w14:paraId="3019B097" w14:textId="77777777" w:rsidR="00C10DAC" w:rsidRDefault="00C10DAC" w:rsidP="00C10DAC">
      <w:pPr>
        <w:rPr>
          <w:rFonts w:asciiTheme="majorBidi" w:hAnsiTheme="majorBidi" w:cstheme="majorBidi"/>
          <w:b/>
          <w:bCs/>
        </w:rPr>
      </w:pPr>
    </w:p>
    <w:p w14:paraId="41F7F1BD" w14:textId="77777777" w:rsidR="00C10DAC" w:rsidRDefault="00C10DAC" w:rsidP="00C10DAC">
      <w:pPr>
        <w:rPr>
          <w:rFonts w:asciiTheme="majorBidi" w:hAnsiTheme="majorBidi" w:cstheme="majorBidi"/>
          <w:b/>
          <w:bCs/>
        </w:rPr>
      </w:pPr>
    </w:p>
    <w:p w14:paraId="3D58B39F" w14:textId="77777777" w:rsidR="00C10DAC" w:rsidRDefault="00C10DAC" w:rsidP="00C10DAC">
      <w:pPr>
        <w:rPr>
          <w:rFonts w:asciiTheme="majorBidi" w:hAnsiTheme="majorBidi" w:cstheme="majorBidi"/>
          <w:b/>
          <w:bCs/>
        </w:rPr>
      </w:pPr>
    </w:p>
    <w:p w14:paraId="1B359D89" w14:textId="77777777" w:rsidR="00C10DAC" w:rsidRDefault="00C10DAC" w:rsidP="00C10DAC">
      <w:pPr>
        <w:rPr>
          <w:rFonts w:asciiTheme="majorBidi" w:hAnsiTheme="majorBidi" w:cstheme="majorBidi"/>
          <w:b/>
          <w:bCs/>
        </w:rPr>
      </w:pPr>
    </w:p>
    <w:p w14:paraId="7CF9D361" w14:textId="77777777" w:rsidR="00C10DAC" w:rsidRDefault="00C10DAC" w:rsidP="00C10DAC">
      <w:pPr>
        <w:rPr>
          <w:rFonts w:asciiTheme="majorBidi" w:hAnsiTheme="majorBidi" w:cstheme="majorBidi"/>
          <w:b/>
          <w:bCs/>
        </w:rPr>
      </w:pPr>
    </w:p>
    <w:p w14:paraId="0714BFCE" w14:textId="77777777" w:rsidR="00C10DAC" w:rsidRDefault="00C10DAC" w:rsidP="00C10DAC">
      <w:pPr>
        <w:rPr>
          <w:rFonts w:asciiTheme="majorBidi" w:hAnsiTheme="majorBidi" w:cstheme="majorBidi"/>
          <w:b/>
          <w:bCs/>
        </w:rPr>
      </w:pPr>
    </w:p>
    <w:p w14:paraId="50C6882D" w14:textId="77777777" w:rsidR="00C10DAC" w:rsidRDefault="00C10DAC" w:rsidP="00C10DAC">
      <w:pPr>
        <w:rPr>
          <w:rFonts w:asciiTheme="majorBidi" w:hAnsiTheme="majorBidi" w:cstheme="majorBidi"/>
          <w:b/>
          <w:bCs/>
        </w:rPr>
      </w:pPr>
    </w:p>
    <w:p w14:paraId="51B74FD7" w14:textId="77777777" w:rsidR="00C10DAC" w:rsidRDefault="00C10DAC" w:rsidP="00C10DAC">
      <w:pPr>
        <w:rPr>
          <w:rFonts w:asciiTheme="majorBidi" w:hAnsiTheme="majorBidi" w:cstheme="majorBidi"/>
          <w:b/>
          <w:bCs/>
        </w:rPr>
      </w:pPr>
    </w:p>
    <w:p w14:paraId="576D267F" w14:textId="47043897" w:rsidR="00C10DAC" w:rsidRDefault="00C10DAC" w:rsidP="00C10DAC">
      <w:pPr>
        <w:rPr>
          <w:rFonts w:asciiTheme="majorBidi" w:hAnsiTheme="majorBidi" w:cstheme="majorBidi"/>
          <w:b/>
          <w:bCs/>
        </w:rPr>
      </w:pPr>
    </w:p>
    <w:p w14:paraId="49630826" w14:textId="77777777" w:rsidR="00C10DAC" w:rsidRDefault="00C10DAC" w:rsidP="00C10DAC">
      <w:pPr>
        <w:rPr>
          <w:rFonts w:asciiTheme="majorBidi" w:hAnsiTheme="majorBidi" w:cstheme="majorBidi"/>
          <w:b/>
          <w:bCs/>
        </w:rPr>
      </w:pPr>
    </w:p>
    <w:p w14:paraId="67245BFB" w14:textId="77777777" w:rsidR="00C10DAC" w:rsidRDefault="00C10DAC" w:rsidP="00C10DAC">
      <w:pPr>
        <w:rPr>
          <w:rFonts w:asciiTheme="majorBidi" w:hAnsiTheme="majorBidi" w:cstheme="majorBidi"/>
          <w:b/>
          <w:bCs/>
        </w:rPr>
      </w:pPr>
    </w:p>
    <w:p w14:paraId="1EEFCF5F" w14:textId="5405333F" w:rsidR="00C10DAC" w:rsidRPr="00C10DAC" w:rsidRDefault="00C10DAC" w:rsidP="00C10DAC">
      <w:pPr>
        <w:rPr>
          <w:rFonts w:asciiTheme="majorBidi" w:hAnsiTheme="majorBidi" w:cstheme="majorBidi"/>
          <w:b/>
          <w:bCs/>
        </w:rPr>
      </w:pPr>
      <w:proofErr w:type="spellStart"/>
      <w:r>
        <w:rPr>
          <w:rFonts w:asciiTheme="majorBidi" w:hAnsiTheme="majorBidi" w:cstheme="majorBidi"/>
          <w:b/>
          <w:bCs/>
        </w:rPr>
        <w:t>e</w:t>
      </w:r>
      <w:r w:rsidR="00F83A6F">
        <w:rPr>
          <w:rFonts w:asciiTheme="majorBidi" w:hAnsiTheme="majorBidi" w:cstheme="majorBidi"/>
          <w:b/>
          <w:bCs/>
        </w:rPr>
        <w:t>Table</w:t>
      </w:r>
      <w:proofErr w:type="spellEnd"/>
      <w:r w:rsidR="00F83A6F">
        <w:rPr>
          <w:rFonts w:asciiTheme="majorBidi" w:hAnsiTheme="majorBidi" w:cstheme="majorBidi"/>
          <w:b/>
          <w:bCs/>
        </w:rPr>
        <w:t xml:space="preserve"> 5</w:t>
      </w:r>
      <w:r w:rsidRPr="00C10DAC">
        <w:rPr>
          <w:rFonts w:asciiTheme="majorBidi" w:hAnsiTheme="majorBidi" w:cstheme="majorBidi"/>
          <w:b/>
          <w:bCs/>
        </w:rPr>
        <w:t>. Sensitivity Analyses for IPTW-Weighted Clinical Outcomes</w:t>
      </w:r>
    </w:p>
    <w:tbl>
      <w:tblPr>
        <w:tblW w:w="0" w:type="auto"/>
        <w:jc w:val="center"/>
        <w:tblLook w:val="04A0" w:firstRow="1" w:lastRow="0" w:firstColumn="1" w:lastColumn="0" w:noHBand="0" w:noVBand="1"/>
      </w:tblPr>
      <w:tblGrid>
        <w:gridCol w:w="1923"/>
        <w:gridCol w:w="1922"/>
        <w:gridCol w:w="1785"/>
        <w:gridCol w:w="1785"/>
        <w:gridCol w:w="1935"/>
      </w:tblGrid>
      <w:tr w:rsidR="00C10DAC" w:rsidRPr="00C10DAC" w14:paraId="7776C477" w14:textId="77777777">
        <w:trPr>
          <w:tblHeader/>
          <w:jc w:val="center"/>
        </w:trPr>
        <w:tc>
          <w:tcPr>
            <w:tcW w:w="210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70F343F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Outcome</w:t>
            </w:r>
          </w:p>
        </w:tc>
        <w:tc>
          <w:tcPr>
            <w:tcW w:w="220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3F82DCAE"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Sensitivity analysis</w:t>
            </w:r>
          </w:p>
        </w:tc>
        <w:tc>
          <w:tcPr>
            <w:tcW w:w="210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1A58CE9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GLP1 alone vs no GLP1/no SGLT2</w:t>
            </w:r>
            <w:r w:rsidRPr="00C10DAC">
              <w:rPr>
                <w:rFonts w:asciiTheme="majorBidi" w:hAnsiTheme="majorBidi" w:cstheme="majorBidi"/>
                <w:b/>
                <w:bCs/>
                <w:sz w:val="16"/>
                <w:szCs w:val="16"/>
              </w:rPr>
              <w:br/>
              <w:t>HR (95% CI); P value</w:t>
            </w:r>
          </w:p>
        </w:tc>
        <w:tc>
          <w:tcPr>
            <w:tcW w:w="210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5BF92B8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SGLT2 alone vs no GLP1/no SGLT2</w:t>
            </w:r>
            <w:r w:rsidRPr="00C10DAC">
              <w:rPr>
                <w:rFonts w:asciiTheme="majorBidi" w:hAnsiTheme="majorBidi" w:cstheme="majorBidi"/>
                <w:b/>
                <w:bCs/>
                <w:sz w:val="16"/>
                <w:szCs w:val="16"/>
              </w:rPr>
              <w:br/>
              <w:t>HR (95% CI); P value</w:t>
            </w:r>
          </w:p>
        </w:tc>
        <w:tc>
          <w:tcPr>
            <w:tcW w:w="2300" w:type="dxa"/>
            <w:tcBorders>
              <w:top w:val="single" w:sz="4" w:space="0" w:color="000000"/>
              <w:left w:val="single" w:sz="4" w:space="0" w:color="000000"/>
              <w:bottom w:val="single" w:sz="4" w:space="0" w:color="000000"/>
              <w:right w:val="single" w:sz="4" w:space="0" w:color="000000"/>
            </w:tcBorders>
            <w:shd w:val="clear" w:color="auto" w:fill="D9EAD3"/>
            <w:vAlign w:val="center"/>
            <w:hideMark/>
          </w:tcPr>
          <w:p w14:paraId="0106A86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GLP1 + SGLT2 vs no GLP1/no SGLT2</w:t>
            </w:r>
            <w:r w:rsidRPr="00C10DAC">
              <w:rPr>
                <w:rFonts w:asciiTheme="majorBidi" w:hAnsiTheme="majorBidi" w:cstheme="majorBidi"/>
                <w:b/>
                <w:bCs/>
                <w:sz w:val="16"/>
                <w:szCs w:val="16"/>
              </w:rPr>
              <w:br/>
              <w:t>HR (95% CI); P value</w:t>
            </w:r>
          </w:p>
        </w:tc>
      </w:tr>
      <w:tr w:rsidR="00C10DAC" w:rsidRPr="00C10DAC" w14:paraId="35DD9BA9"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hideMark/>
          </w:tcPr>
          <w:p w14:paraId="225BF5A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Major adverse limb events (MALE)</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CEBE6C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Untruncated stabilized IPTW</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10040D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0.53 (0.24-1.13); P=.098</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1C48A4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0.72 (0.49-1.06); P=.099</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2BFA215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0.38 (0.23-0.62); P&lt;.001</w:t>
            </w:r>
          </w:p>
        </w:tc>
      </w:tr>
      <w:tr w:rsidR="00C10DAC" w:rsidRPr="00C10DAC" w14:paraId="4BAB8596"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11A97DCF"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2E4C38C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1st-99th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D2A13B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0.55 (0.26-1.16); P=.116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2421D0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0.67 (0.52-0.88); P=.004</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D608A6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(0.33-0.75); P&lt;.001</w:t>
            </w:r>
          </w:p>
        </w:tc>
      </w:tr>
      <w:tr w:rsidR="00C10DAC" w:rsidRPr="00C10DAC" w14:paraId="7156478E"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0E30AD5A"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C7711B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5th-95th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EEF5FE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0.55 (0.30-1.04); P=.065</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03F63F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0.73 (0.57-0.92); P=.008</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5AEA80A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0.60 (0.41-0.88); P=.008</w:t>
            </w:r>
          </w:p>
        </w:tc>
      </w:tr>
      <w:tr w:rsidR="00C10DAC" w:rsidRPr="00C10DAC" w14:paraId="13D8F8E1"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1603F7F8"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14C8F6E"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IPTW plus covariate adjustment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1273A7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0.44 (0.21-0.92); P=.030</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8FBAAD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0.67 (0.51-0.88); P=.004</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29D60DB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0.47 (0.31-0.70); P&lt;.001</w:t>
            </w:r>
          </w:p>
        </w:tc>
      </w:tr>
      <w:tr w:rsidR="00C10DAC" w:rsidRPr="00C10DAC" w14:paraId="101AE9D8"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05D08996"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2C3AFBA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Excluding events within 90 days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DD556C3"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0.54 (0.25-1.15); P=.110</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C6E64E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0.74 (0.54-1.01); P=.062</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2222120B"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(0.30-0.84); P=.008</w:t>
            </w:r>
          </w:p>
        </w:tc>
      </w:tr>
      <w:tr w:rsidR="00C10DAC" w:rsidRPr="00C10DAC" w14:paraId="159EFC99"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7389BFA2"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689A49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5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97BD65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(0.22-1.14); P=.098</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EDAF59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0.61 (0.46-0.80);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10C72D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0.46 (0.30-0.72); P&lt;.001</w:t>
            </w:r>
          </w:p>
        </w:tc>
      </w:tr>
      <w:tr w:rsidR="00C10DAC" w:rsidRPr="00C10DAC" w14:paraId="4BE88C15"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0F4D4689"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2297BE2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10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266A37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0.55 (0.26-1.16); P=.116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69A59D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0.67 (0.52-0.88); P=.004</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A752A6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(0.33-0.75); P&lt;.001</w:t>
            </w:r>
          </w:p>
        </w:tc>
      </w:tr>
      <w:tr w:rsidR="00C10DAC" w:rsidRPr="00C10DAC" w14:paraId="41DC9A65"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hideMark/>
          </w:tcPr>
          <w:p w14:paraId="3352D33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Limb revascularization</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B7E2A7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Untruncated stabilized IPTW</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230F62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0.75 (0.27-2.08); P=.575</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B5ECEA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0.66 (0.44-0.99); P=.043</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6F2A391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0.53 (0.29-0.99); P=.047</w:t>
            </w:r>
          </w:p>
        </w:tc>
      </w:tr>
      <w:tr w:rsidR="00C10DAC" w:rsidRPr="00C10DAC" w14:paraId="478B351F"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71BDE59"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132DC50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1st-99th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5DEBE54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0.81 (0.30-2.22); P=.687</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DC7787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0.72 (0.50-1.03); P=.070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28650C0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0.73 (0.43-1.24); P=.249</w:t>
            </w:r>
          </w:p>
        </w:tc>
      </w:tr>
      <w:tr w:rsidR="00C10DAC" w:rsidRPr="00C10DAC" w14:paraId="49ED487A"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281B22A"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49CCF2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5th-95th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EC4A3A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0.78 (0.34-1.79); P=.560</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8C6066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0.81 (0.58-1.13); P=.223</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FF01F4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0.91 (0.56-1.47); P=.704</w:t>
            </w:r>
          </w:p>
        </w:tc>
      </w:tr>
      <w:tr w:rsidR="00C10DAC" w:rsidRPr="00C10DAC" w14:paraId="16945019"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F024E0F"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67951D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IPTW plus covariate adjustment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7458E6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0.69 (0.26-1.83); P=.454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27400F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0.69 (0.48-0.99); P=.044</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7755185B"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0.68 (0.40-1.15); P=.147</w:t>
            </w:r>
          </w:p>
        </w:tc>
      </w:tr>
      <w:tr w:rsidR="00C10DAC" w:rsidRPr="00C10DAC" w14:paraId="25FE1097"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52D19E6E"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4EB7C983"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Excluding events within 90 days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BBA817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0.82 (0.27-2.52); P=.732</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D060BD3"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1.11 (0.69-1.78); P=.667</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2C0063B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0.93 (0.45-1.91); P=.845</w:t>
            </w:r>
          </w:p>
        </w:tc>
      </w:tr>
      <w:tr w:rsidR="00C10DAC" w:rsidRPr="00C10DAC" w14:paraId="1FAF891F"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1ECF31AC"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DB14B8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5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5AB752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0.81 (0.30-2.22); P=.686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DBA1D5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0.67 (0.46-0.96); P=.030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6804EAC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0.69 (0.40-1.20); P=.187</w:t>
            </w:r>
          </w:p>
        </w:tc>
      </w:tr>
      <w:tr w:rsidR="00C10DAC" w:rsidRPr="00C10DAC" w14:paraId="0F18BD23"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C2C1FE9"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3D1099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10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5696E1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0.81 (0.30-2.22); P=.687</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8B18E2B"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0.72 (0.50-1.03); P=.070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7EA806C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0.73 (0.43-1.24); P=.249</w:t>
            </w:r>
          </w:p>
        </w:tc>
      </w:tr>
      <w:tr w:rsidR="00C10DAC" w:rsidRPr="00C10DAC" w14:paraId="31C779DE"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hideMark/>
          </w:tcPr>
          <w:p w14:paraId="431CAE13"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Major amputation</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E4ED7E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Untruncated stabilized IPTW</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1BCCFC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0.45 (0.17-1.15); P=.095</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37C7EA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0.74 (0.42-1.30); P=.289</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A13B9B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0.23 (0.12-0.42); P&lt;.001</w:t>
            </w:r>
          </w:p>
        </w:tc>
      </w:tr>
      <w:tr w:rsidR="00C10DAC" w:rsidRPr="00C10DAC" w14:paraId="5BB0A08A"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C9B06D3"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261A9E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1st-99th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7C13B8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0.45 (0.18-1.15); P=.097</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B1452C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0.61 (0.43-0.89); P=.010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15B8556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0.30 (0.17-0.53); P&lt;.001</w:t>
            </w:r>
          </w:p>
        </w:tc>
      </w:tr>
      <w:tr w:rsidR="00C10DAC" w:rsidRPr="00C10DAC" w14:paraId="6FC42CCC"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20BA55A"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3D331A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5th-95th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824CA3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0.48 (0.20-1.14); P=.094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66E145E"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0.64 (0.46-0.88); P=.007</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8102E1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0.36 (0.21-0.62); P&lt;.001</w:t>
            </w:r>
          </w:p>
        </w:tc>
      </w:tr>
      <w:tr w:rsidR="00C10DAC" w:rsidRPr="00C10DAC" w14:paraId="6A3AD5F8"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53F77A28"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581627AC"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IPTW plus covariate adjustment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4FCD4D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0.33 (0.13-0.88); P=.026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527E106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0.64 (0.44-0.93); P=.020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948002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0.28 (0.16-0.50); P&lt;.001</w:t>
            </w:r>
          </w:p>
        </w:tc>
      </w:tr>
      <w:tr w:rsidR="00C10DAC" w:rsidRPr="00C10DAC" w14:paraId="196EA4C9"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6E2F8A52"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0DA55F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Excluding events within 90 days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320A70B"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0.59 (0.22-1.58); P=.294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56B5215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0.57 (0.39-0.84); P=.005</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7DCC15D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0.32 (0.17-0.59); P&lt;.001</w:t>
            </w:r>
          </w:p>
        </w:tc>
      </w:tr>
      <w:tr w:rsidR="00C10DAC" w:rsidRPr="00C10DAC" w14:paraId="1B3BCA80"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4B4782E"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5A73494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5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3CF67C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0.36 (0.11-1.16); P=.086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6CD63F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0.54 (0.36-0.81); P=.003</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607FA07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0.28 (0.15-0.51); P&lt;.001</w:t>
            </w:r>
          </w:p>
        </w:tc>
      </w:tr>
      <w:tr w:rsidR="00C10DAC" w:rsidRPr="00C10DAC" w14:paraId="7397819F"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5FD45F19"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15130AC"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10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52C53A9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0.45 (0.18-1.15); P=.097</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36548F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0.61 (0.43-0.89); P=.010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FACCF40"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0.30 (0.17-0.53); P&lt;.001</w:t>
            </w:r>
          </w:p>
        </w:tc>
      </w:tr>
      <w:tr w:rsidR="00C10DAC" w:rsidRPr="00C10DAC" w14:paraId="22E3060D"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hideMark/>
          </w:tcPr>
          <w:p w14:paraId="1654938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Minor amputation</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45AC186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Untruncated stabilized IPTW</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6300A8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1.93 (0.40-9.41); P=.414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2C105C8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1.48 (0.65-3.38); P=.353</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ABA29D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0.98 (0.49-1.99); P=.963</w:t>
            </w:r>
          </w:p>
        </w:tc>
      </w:tr>
      <w:tr w:rsidR="00C10DAC" w:rsidRPr="00C10DAC" w14:paraId="3D7435B4"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7A6BF35E"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1A64446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1st-99th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3A0E29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1.38 (0.32-5.95); P=.666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E214CB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1.10 (0.62-1.97); P=.738</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7E87DE9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1.28 (0.67-2.45); P=.450</w:t>
            </w:r>
          </w:p>
        </w:tc>
      </w:tr>
      <w:tr w:rsidR="00C10DAC" w:rsidRPr="00C10DAC" w14:paraId="700D3E8B"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E3D2038"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A09D86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5th-95th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6C02CB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0.94 (0.27-3.30); P=.924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57FD94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1.09 (0.65-1.83); P=.740</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4BF0AC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1.52 (0.82-2.80); P=.183</w:t>
            </w:r>
          </w:p>
        </w:tc>
      </w:tr>
      <w:tr w:rsidR="00C10DAC" w:rsidRPr="00C10DAC" w14:paraId="0537AC1D"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7255AEC"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F1DF67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IPTW plus covariate adjustment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B84E7D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1.14 (0.25-5.19); P=.864</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4BE9DA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1.15 (0.64-2.06); P=.646</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FB2461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1.20 (0.62-2.32); P=.585</w:t>
            </w:r>
          </w:p>
        </w:tc>
      </w:tr>
      <w:tr w:rsidR="00C10DAC" w:rsidRPr="00C10DAC" w14:paraId="2649BA3E"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43D27A26"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CA4E4A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Excluding events within 90 days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5CE6087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1.26 (0.22-7.37); P=.795</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FDF462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0.87 (0.42-1.79); P=.708</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3392EAE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1.37 (0.68-2.77); P=.382</w:t>
            </w:r>
          </w:p>
        </w:tc>
      </w:tr>
      <w:tr w:rsidR="00C10DAC" w:rsidRPr="00C10DAC" w14:paraId="5434BB7E"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757AA3B4"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7CE71FA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5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9B6663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1.39 (0.32-5.99); P=.660</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57B50D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1.01 (0.55-1.85); P=.964</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16DA6A8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1.09 (0.56-2.16); P=.795</w:t>
            </w:r>
          </w:p>
        </w:tc>
      </w:tr>
      <w:tr w:rsidR="00C10DAC" w:rsidRPr="00C10DAC" w14:paraId="2DBAA011"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0609A872"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B8FBE7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10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48A6C5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1.38 (0.32-5.95); P=.666</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D6A22C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1.10 (0.62-1.97); P=.738</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BC55E2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1.28 (0.67-2.45); P=.450</w:t>
            </w:r>
          </w:p>
        </w:tc>
      </w:tr>
      <w:tr w:rsidR="00C10DAC" w:rsidRPr="00C10DAC" w14:paraId="2942ECCA"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hideMark/>
          </w:tcPr>
          <w:p w14:paraId="6B9B7D1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All-cause mortality</w:t>
            </w: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471B088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Untruncated stabilized IPTW</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322811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0.53 (0.40-0.69);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DBF916C"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0.43 (0.38-0.49);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93AA11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0.18 (0.11-0.27); P&lt;.001</w:t>
            </w:r>
          </w:p>
        </w:tc>
      </w:tr>
      <w:tr w:rsidR="00C10DAC" w:rsidRPr="00C10DAC" w14:paraId="354BD77F"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0782B769"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CC2E93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1st-99th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C7909E5"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(0.39-0.63);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A7D4AC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0.42 (0.38-0.46);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63AB14D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0.23 (0.19-0.28); P&lt;.001</w:t>
            </w:r>
          </w:p>
        </w:tc>
      </w:tr>
      <w:tr w:rsidR="00C10DAC" w:rsidRPr="00C10DAC" w14:paraId="4A2941D3"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3996F6FB"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6F8DDED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Truncated IPTW at 5th-95th percentile</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0AAA7E9"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0.43 (0.34-0.53);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1DF86C57"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0.40 (0.37-0.44);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5E60FF2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0.22 (0.18-0.26); P&lt;.001</w:t>
            </w:r>
          </w:p>
        </w:tc>
      </w:tr>
      <w:tr w:rsidR="00C10DAC" w:rsidRPr="00C10DAC" w14:paraId="2C3AADD9"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BCF2082"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441EE16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IPTW plus covariate adjustment</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6FBB40B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0.41 (0.33-0.52);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DAF24D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0.41 (0.37-0.46);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32637E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0.21 (0.17-0.26); P&lt;.001</w:t>
            </w:r>
          </w:p>
        </w:tc>
      </w:tr>
      <w:tr w:rsidR="00C10DAC" w:rsidRPr="00C10DAC" w14:paraId="00A72727"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622C2204"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5221D88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Excluding events within 90 days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77CB48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0.54 (0.42-0.68);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0626275D"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0.45 (0.40-0.50);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00C0D48F"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0.25 (0.20-0.30); P&lt;.001</w:t>
            </w:r>
          </w:p>
        </w:tc>
      </w:tr>
      <w:tr w:rsidR="00C10DAC" w:rsidRPr="00C10DAC" w14:paraId="6BF9784B"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2795B54C"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3558F77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5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119788A"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0.46 (0.34-0.63);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39321718"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0.37 (0.33-0.42);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51ACC47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0.15 (0.11-0.20); P&lt;.001</w:t>
            </w:r>
          </w:p>
        </w:tc>
      </w:tr>
      <w:tr w:rsidR="00C10DAC" w:rsidRPr="00C10DAC" w14:paraId="7832106B" w14:textId="77777777">
        <w:trPr>
          <w:jc w:val="center"/>
        </w:trPr>
        <w:tc>
          <w:tcPr>
            <w:tcW w:w="2100" w:type="dxa"/>
            <w:tcBorders>
              <w:top w:val="single" w:sz="4" w:space="0" w:color="000000"/>
              <w:left w:val="single" w:sz="4" w:space="0" w:color="000000"/>
              <w:bottom w:val="single" w:sz="4" w:space="0" w:color="000000"/>
              <w:right w:val="single" w:sz="4" w:space="0" w:color="000000"/>
            </w:tcBorders>
            <w:vAlign w:val="center"/>
          </w:tcPr>
          <w:p w14:paraId="5C88D380" w14:textId="77777777" w:rsidR="00C10DAC" w:rsidRPr="00C10DAC" w:rsidRDefault="00C10DAC" w:rsidP="00C10DAC">
            <w:pPr>
              <w:rPr>
                <w:rFonts w:asciiTheme="majorBidi" w:hAnsiTheme="majorBidi" w:cstheme="majorBidi"/>
                <w:b/>
                <w:bCs/>
                <w:sz w:val="16"/>
                <w:szCs w:val="16"/>
              </w:rPr>
            </w:pPr>
          </w:p>
        </w:tc>
        <w:tc>
          <w:tcPr>
            <w:tcW w:w="2200" w:type="dxa"/>
            <w:tcBorders>
              <w:top w:val="single" w:sz="4" w:space="0" w:color="000000"/>
              <w:left w:val="single" w:sz="4" w:space="0" w:color="000000"/>
              <w:bottom w:val="single" w:sz="4" w:space="0" w:color="000000"/>
              <w:right w:val="single" w:sz="4" w:space="0" w:color="000000"/>
            </w:tcBorders>
            <w:vAlign w:val="center"/>
            <w:hideMark/>
          </w:tcPr>
          <w:p w14:paraId="0826B1E4"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Follow-up truncated at 10 years</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4F8329E1"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0.50 (0.40-0.64); P&lt;.001</w:t>
            </w:r>
          </w:p>
        </w:tc>
        <w:tc>
          <w:tcPr>
            <w:tcW w:w="2100" w:type="dxa"/>
            <w:tcBorders>
              <w:top w:val="single" w:sz="4" w:space="0" w:color="000000"/>
              <w:left w:val="single" w:sz="4" w:space="0" w:color="000000"/>
              <w:bottom w:val="single" w:sz="4" w:space="0" w:color="000000"/>
              <w:right w:val="single" w:sz="4" w:space="0" w:color="000000"/>
            </w:tcBorders>
            <w:vAlign w:val="center"/>
            <w:hideMark/>
          </w:tcPr>
          <w:p w14:paraId="75EA8376"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0.42 (0.37-0.46); P&lt;.001</w:t>
            </w:r>
          </w:p>
        </w:tc>
        <w:tc>
          <w:tcPr>
            <w:tcW w:w="2300" w:type="dxa"/>
            <w:tcBorders>
              <w:top w:val="single" w:sz="4" w:space="0" w:color="000000"/>
              <w:left w:val="single" w:sz="4" w:space="0" w:color="000000"/>
              <w:bottom w:val="single" w:sz="4" w:space="0" w:color="000000"/>
              <w:right w:val="single" w:sz="4" w:space="0" w:color="000000"/>
            </w:tcBorders>
            <w:vAlign w:val="center"/>
            <w:hideMark/>
          </w:tcPr>
          <w:p w14:paraId="40C24732" w14:textId="77777777" w:rsidR="00C10DAC" w:rsidRPr="00C10DAC" w:rsidRDefault="00C10DAC" w:rsidP="00C10DAC">
            <w:pPr>
              <w:rPr>
                <w:rFonts w:asciiTheme="majorBidi" w:hAnsiTheme="majorBidi" w:cstheme="majorBidi"/>
                <w:b/>
                <w:bCs/>
                <w:sz w:val="16"/>
                <w:szCs w:val="16"/>
              </w:rPr>
            </w:pPr>
            <w:r w:rsidRPr="00C10DAC">
              <w:rPr>
                <w:rFonts w:asciiTheme="majorBidi" w:hAnsiTheme="majorBidi" w:cstheme="majorBidi"/>
                <w:b/>
                <w:bCs/>
                <w:sz w:val="16"/>
                <w:szCs w:val="16"/>
              </w:rPr>
              <w:t>0.22 (0.18-0.27); P&lt;.001</w:t>
            </w:r>
          </w:p>
        </w:tc>
      </w:tr>
    </w:tbl>
    <w:p w14:paraId="33ACCF1C" w14:textId="77777777" w:rsidR="00C10DAC" w:rsidRPr="00C10DAC" w:rsidRDefault="00C10DAC" w:rsidP="00C10DAC">
      <w:pPr>
        <w:rPr>
          <w:rFonts w:asciiTheme="majorBidi" w:hAnsiTheme="majorBidi" w:cstheme="majorBidi"/>
          <w:b/>
          <w:bCs/>
          <w:sz w:val="18"/>
          <w:szCs w:val="18"/>
        </w:rPr>
      </w:pPr>
      <w:r w:rsidRPr="00C10DAC">
        <w:rPr>
          <w:rFonts w:asciiTheme="majorBidi" w:hAnsiTheme="majorBidi" w:cstheme="majorBidi"/>
          <w:b/>
          <w:bCs/>
          <w:sz w:val="18"/>
          <w:szCs w:val="18"/>
        </w:rPr>
        <w:t>Note. Sensitivity analyses repeated the weighted Cox proportional hazards models using alternative weight specifications and analytic definitions. The primary model used stabilized IPTW truncated at the 1st and 99th percentiles. The covariate-adjusted IPTW model additionally included available baseline covariates. Early-event sensitivity analyses excluded events occurring within 90 days, and follow-up truncation analyses censored follow-up at 5 or 10 years. Abbreviations: CI, confidence interval; GLP1, glucagon-like peptide-1 receptor agonist; HR, hazard ratio; IPTW, inverse probability of treatment weighting; MALE, major adverse limb events; SGLT2, sodium-glucose cotransporter-2 inhibitor.</w:t>
      </w:r>
    </w:p>
    <w:p w14:paraId="259A3D97" w14:textId="77777777" w:rsidR="00C10DAC" w:rsidRDefault="00C10DAC" w:rsidP="00C10DAC">
      <w:pPr>
        <w:rPr>
          <w:rFonts w:asciiTheme="majorBidi" w:hAnsiTheme="majorBidi" w:cstheme="majorBidi"/>
          <w:b/>
          <w:bCs/>
        </w:rPr>
      </w:pPr>
    </w:p>
    <w:p w14:paraId="6157F5AE" w14:textId="77777777" w:rsidR="004711D4" w:rsidRDefault="004711D4" w:rsidP="00C10DAC">
      <w:pPr>
        <w:rPr>
          <w:rFonts w:asciiTheme="majorBidi" w:hAnsiTheme="majorBidi" w:cstheme="majorBidi"/>
          <w:b/>
          <w:bCs/>
        </w:rPr>
      </w:pPr>
    </w:p>
    <w:p w14:paraId="33FA5866" w14:textId="77777777" w:rsidR="003954FA" w:rsidRPr="003954FA" w:rsidRDefault="003954FA" w:rsidP="003954FA">
      <w:pPr>
        <w:rPr>
          <w:rFonts w:asciiTheme="majorBidi" w:hAnsiTheme="majorBidi" w:cstheme="majorBidi"/>
          <w:b/>
          <w:bCs/>
        </w:rPr>
      </w:pPr>
      <w:proofErr w:type="spellStart"/>
      <w:r w:rsidRPr="003954FA">
        <w:rPr>
          <w:rFonts w:asciiTheme="majorBidi" w:hAnsiTheme="majorBidi" w:cstheme="majorBidi"/>
          <w:b/>
          <w:bCs/>
        </w:rPr>
        <w:t>eTable</w:t>
      </w:r>
      <w:proofErr w:type="spellEnd"/>
      <w:r w:rsidRPr="003954FA">
        <w:rPr>
          <w:rFonts w:asciiTheme="majorBidi" w:hAnsiTheme="majorBidi" w:cstheme="majorBidi"/>
          <w:b/>
          <w:bCs/>
        </w:rPr>
        <w:t xml:space="preserve"> 6. Sensitivity analysis after excluding patients with GLP1-RA or SGLT2 inhibitor use before PAD diagnosis/index date</w:t>
      </w:r>
    </w:p>
    <w:p w14:paraId="261E1E44" w14:textId="77777777" w:rsidR="003954FA" w:rsidRPr="003954FA" w:rsidRDefault="003954FA" w:rsidP="003954FA">
      <w:pPr>
        <w:rPr>
          <w:rFonts w:asciiTheme="majorBidi" w:hAnsiTheme="majorBidi" w:cstheme="majorBidi"/>
          <w:b/>
          <w:bCs/>
        </w:rPr>
      </w:pPr>
      <w:r w:rsidRPr="003954FA">
        <w:rPr>
          <w:rFonts w:asciiTheme="majorBidi" w:hAnsiTheme="majorBidi" w:cstheme="majorBidi"/>
          <w:b/>
          <w:bCs/>
        </w:rPr>
        <w:t>Panel A. Exposure group distribution after exclusion</w:t>
      </w:r>
    </w:p>
    <w:tbl>
      <w:tblPr>
        <w:tblStyle w:val="TableGrid"/>
        <w:tblW w:w="0" w:type="auto"/>
        <w:jc w:val="center"/>
        <w:tblLook w:val="04A0" w:firstRow="1" w:lastRow="0" w:firstColumn="1" w:lastColumn="0" w:noHBand="0" w:noVBand="1"/>
      </w:tblPr>
      <w:tblGrid>
        <w:gridCol w:w="2328"/>
        <w:gridCol w:w="2451"/>
        <w:gridCol w:w="2240"/>
        <w:gridCol w:w="2331"/>
      </w:tblGrid>
      <w:tr w:rsidR="003954FA" w:rsidRPr="003954FA" w14:paraId="46279D94" w14:textId="77777777">
        <w:trPr>
          <w:tblHeader/>
          <w:jc w:val="center"/>
        </w:trPr>
        <w:tc>
          <w:tcPr>
            <w:tcW w:w="363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6C7BEF0B"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Exposure group</w:t>
            </w:r>
          </w:p>
        </w:tc>
        <w:tc>
          <w:tcPr>
            <w:tcW w:w="363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698E58C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Unweighted N</w:t>
            </w:r>
          </w:p>
        </w:tc>
        <w:tc>
          <w:tcPr>
            <w:tcW w:w="363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4EFC35A"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Percent</w:t>
            </w:r>
          </w:p>
        </w:tc>
        <w:tc>
          <w:tcPr>
            <w:tcW w:w="3636"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D260200"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Weighted N</w:t>
            </w:r>
          </w:p>
        </w:tc>
      </w:tr>
      <w:tr w:rsidR="003954FA" w:rsidRPr="003954FA" w14:paraId="25E81AC7" w14:textId="77777777">
        <w:trPr>
          <w:jc w:val="center"/>
        </w:trPr>
        <w:tc>
          <w:tcPr>
            <w:tcW w:w="3636" w:type="dxa"/>
            <w:tcBorders>
              <w:top w:val="single" w:sz="4" w:space="0" w:color="auto"/>
              <w:left w:val="single" w:sz="4" w:space="0" w:color="auto"/>
              <w:bottom w:val="single" w:sz="4" w:space="0" w:color="auto"/>
              <w:right w:val="single" w:sz="4" w:space="0" w:color="auto"/>
            </w:tcBorders>
            <w:vAlign w:val="center"/>
            <w:hideMark/>
          </w:tcPr>
          <w:p w14:paraId="78D51FF6"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No GLP1-RA/no SGLT2i</w:t>
            </w:r>
          </w:p>
        </w:tc>
        <w:tc>
          <w:tcPr>
            <w:tcW w:w="3636" w:type="dxa"/>
            <w:tcBorders>
              <w:top w:val="single" w:sz="4" w:space="0" w:color="auto"/>
              <w:left w:val="single" w:sz="4" w:space="0" w:color="auto"/>
              <w:bottom w:val="single" w:sz="4" w:space="0" w:color="auto"/>
              <w:right w:val="single" w:sz="4" w:space="0" w:color="auto"/>
            </w:tcBorders>
            <w:vAlign w:val="center"/>
            <w:hideMark/>
          </w:tcPr>
          <w:p w14:paraId="2338217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6,016</w:t>
            </w:r>
          </w:p>
        </w:tc>
        <w:tc>
          <w:tcPr>
            <w:tcW w:w="3636" w:type="dxa"/>
            <w:tcBorders>
              <w:top w:val="single" w:sz="4" w:space="0" w:color="auto"/>
              <w:left w:val="single" w:sz="4" w:space="0" w:color="auto"/>
              <w:bottom w:val="single" w:sz="4" w:space="0" w:color="auto"/>
              <w:right w:val="single" w:sz="4" w:space="0" w:color="auto"/>
            </w:tcBorders>
            <w:vAlign w:val="center"/>
            <w:hideMark/>
          </w:tcPr>
          <w:p w14:paraId="3B68D13C"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53.4</w:t>
            </w:r>
          </w:p>
        </w:tc>
        <w:tc>
          <w:tcPr>
            <w:tcW w:w="3636" w:type="dxa"/>
            <w:tcBorders>
              <w:top w:val="single" w:sz="4" w:space="0" w:color="auto"/>
              <w:left w:val="single" w:sz="4" w:space="0" w:color="auto"/>
              <w:bottom w:val="single" w:sz="4" w:space="0" w:color="auto"/>
              <w:right w:val="single" w:sz="4" w:space="0" w:color="auto"/>
            </w:tcBorders>
            <w:vAlign w:val="center"/>
            <w:hideMark/>
          </w:tcPr>
          <w:p w14:paraId="3F2FC01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6,029.94</w:t>
            </w:r>
          </w:p>
        </w:tc>
      </w:tr>
      <w:tr w:rsidR="003954FA" w:rsidRPr="003954FA" w14:paraId="5FFEE2BD" w14:textId="77777777">
        <w:trPr>
          <w:jc w:val="center"/>
        </w:trPr>
        <w:tc>
          <w:tcPr>
            <w:tcW w:w="3636" w:type="dxa"/>
            <w:tcBorders>
              <w:top w:val="single" w:sz="4" w:space="0" w:color="auto"/>
              <w:left w:val="single" w:sz="4" w:space="0" w:color="auto"/>
              <w:bottom w:val="single" w:sz="4" w:space="0" w:color="auto"/>
              <w:right w:val="single" w:sz="4" w:space="0" w:color="auto"/>
            </w:tcBorders>
            <w:vAlign w:val="center"/>
            <w:hideMark/>
          </w:tcPr>
          <w:p w14:paraId="54580C86"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alone</w:t>
            </w:r>
          </w:p>
        </w:tc>
        <w:tc>
          <w:tcPr>
            <w:tcW w:w="3636" w:type="dxa"/>
            <w:tcBorders>
              <w:top w:val="single" w:sz="4" w:space="0" w:color="auto"/>
              <w:left w:val="single" w:sz="4" w:space="0" w:color="auto"/>
              <w:bottom w:val="single" w:sz="4" w:space="0" w:color="auto"/>
              <w:right w:val="single" w:sz="4" w:space="0" w:color="auto"/>
            </w:tcBorders>
            <w:vAlign w:val="center"/>
            <w:hideMark/>
          </w:tcPr>
          <w:p w14:paraId="50E54E6A"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732</w:t>
            </w:r>
          </w:p>
        </w:tc>
        <w:tc>
          <w:tcPr>
            <w:tcW w:w="3636" w:type="dxa"/>
            <w:tcBorders>
              <w:top w:val="single" w:sz="4" w:space="0" w:color="auto"/>
              <w:left w:val="single" w:sz="4" w:space="0" w:color="auto"/>
              <w:bottom w:val="single" w:sz="4" w:space="0" w:color="auto"/>
              <w:right w:val="single" w:sz="4" w:space="0" w:color="auto"/>
            </w:tcBorders>
            <w:vAlign w:val="center"/>
            <w:hideMark/>
          </w:tcPr>
          <w:p w14:paraId="07FE1B4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6.5</w:t>
            </w:r>
          </w:p>
        </w:tc>
        <w:tc>
          <w:tcPr>
            <w:tcW w:w="3636" w:type="dxa"/>
            <w:tcBorders>
              <w:top w:val="single" w:sz="4" w:space="0" w:color="auto"/>
              <w:left w:val="single" w:sz="4" w:space="0" w:color="auto"/>
              <w:bottom w:val="single" w:sz="4" w:space="0" w:color="auto"/>
              <w:right w:val="single" w:sz="4" w:space="0" w:color="auto"/>
            </w:tcBorders>
            <w:vAlign w:val="center"/>
            <w:hideMark/>
          </w:tcPr>
          <w:p w14:paraId="3A68C29D"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627.78</w:t>
            </w:r>
          </w:p>
        </w:tc>
      </w:tr>
      <w:tr w:rsidR="003954FA" w:rsidRPr="003954FA" w14:paraId="3B3A878E" w14:textId="77777777">
        <w:trPr>
          <w:jc w:val="center"/>
        </w:trPr>
        <w:tc>
          <w:tcPr>
            <w:tcW w:w="3636" w:type="dxa"/>
            <w:tcBorders>
              <w:top w:val="single" w:sz="4" w:space="0" w:color="auto"/>
              <w:left w:val="single" w:sz="4" w:space="0" w:color="auto"/>
              <w:bottom w:val="single" w:sz="4" w:space="0" w:color="auto"/>
              <w:right w:val="single" w:sz="4" w:space="0" w:color="auto"/>
            </w:tcBorders>
            <w:vAlign w:val="center"/>
            <w:hideMark/>
          </w:tcPr>
          <w:p w14:paraId="504D6778"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SGLT2i alone</w:t>
            </w:r>
          </w:p>
        </w:tc>
        <w:tc>
          <w:tcPr>
            <w:tcW w:w="3636" w:type="dxa"/>
            <w:tcBorders>
              <w:top w:val="single" w:sz="4" w:space="0" w:color="auto"/>
              <w:left w:val="single" w:sz="4" w:space="0" w:color="auto"/>
              <w:bottom w:val="single" w:sz="4" w:space="0" w:color="auto"/>
              <w:right w:val="single" w:sz="4" w:space="0" w:color="auto"/>
            </w:tcBorders>
            <w:vAlign w:val="center"/>
            <w:hideMark/>
          </w:tcPr>
          <w:p w14:paraId="44873545"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2,720</w:t>
            </w:r>
          </w:p>
        </w:tc>
        <w:tc>
          <w:tcPr>
            <w:tcW w:w="3636" w:type="dxa"/>
            <w:tcBorders>
              <w:top w:val="single" w:sz="4" w:space="0" w:color="auto"/>
              <w:left w:val="single" w:sz="4" w:space="0" w:color="auto"/>
              <w:bottom w:val="single" w:sz="4" w:space="0" w:color="auto"/>
              <w:right w:val="single" w:sz="4" w:space="0" w:color="auto"/>
            </w:tcBorders>
            <w:vAlign w:val="center"/>
            <w:hideMark/>
          </w:tcPr>
          <w:p w14:paraId="12136745"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24.1</w:t>
            </w:r>
          </w:p>
        </w:tc>
        <w:tc>
          <w:tcPr>
            <w:tcW w:w="3636" w:type="dxa"/>
            <w:tcBorders>
              <w:top w:val="single" w:sz="4" w:space="0" w:color="auto"/>
              <w:left w:val="single" w:sz="4" w:space="0" w:color="auto"/>
              <w:bottom w:val="single" w:sz="4" w:space="0" w:color="auto"/>
              <w:right w:val="single" w:sz="4" w:space="0" w:color="auto"/>
            </w:tcBorders>
            <w:vAlign w:val="center"/>
            <w:hideMark/>
          </w:tcPr>
          <w:p w14:paraId="0D6D7552"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2,601.02</w:t>
            </w:r>
          </w:p>
        </w:tc>
      </w:tr>
      <w:tr w:rsidR="003954FA" w:rsidRPr="003954FA" w14:paraId="4EFD325B" w14:textId="77777777">
        <w:trPr>
          <w:jc w:val="center"/>
        </w:trPr>
        <w:tc>
          <w:tcPr>
            <w:tcW w:w="3636" w:type="dxa"/>
            <w:tcBorders>
              <w:top w:val="single" w:sz="4" w:space="0" w:color="auto"/>
              <w:left w:val="single" w:sz="4" w:space="0" w:color="auto"/>
              <w:bottom w:val="single" w:sz="4" w:space="0" w:color="auto"/>
              <w:right w:val="single" w:sz="4" w:space="0" w:color="auto"/>
            </w:tcBorders>
            <w:vAlign w:val="center"/>
            <w:hideMark/>
          </w:tcPr>
          <w:p w14:paraId="4F6F3857"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 SGLT2i</w:t>
            </w:r>
          </w:p>
        </w:tc>
        <w:tc>
          <w:tcPr>
            <w:tcW w:w="3636" w:type="dxa"/>
            <w:tcBorders>
              <w:top w:val="single" w:sz="4" w:space="0" w:color="auto"/>
              <w:left w:val="single" w:sz="4" w:space="0" w:color="auto"/>
              <w:bottom w:val="single" w:sz="4" w:space="0" w:color="auto"/>
              <w:right w:val="single" w:sz="4" w:space="0" w:color="auto"/>
            </w:tcBorders>
            <w:vAlign w:val="center"/>
            <w:hideMark/>
          </w:tcPr>
          <w:p w14:paraId="78D12EB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1,795</w:t>
            </w:r>
          </w:p>
        </w:tc>
        <w:tc>
          <w:tcPr>
            <w:tcW w:w="3636" w:type="dxa"/>
            <w:tcBorders>
              <w:top w:val="single" w:sz="4" w:space="0" w:color="auto"/>
              <w:left w:val="single" w:sz="4" w:space="0" w:color="auto"/>
              <w:bottom w:val="single" w:sz="4" w:space="0" w:color="auto"/>
              <w:right w:val="single" w:sz="4" w:space="0" w:color="auto"/>
            </w:tcBorders>
            <w:vAlign w:val="center"/>
            <w:hideMark/>
          </w:tcPr>
          <w:p w14:paraId="0BF9AC1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15.9</w:t>
            </w:r>
          </w:p>
        </w:tc>
        <w:tc>
          <w:tcPr>
            <w:tcW w:w="3636" w:type="dxa"/>
            <w:tcBorders>
              <w:top w:val="single" w:sz="4" w:space="0" w:color="auto"/>
              <w:left w:val="single" w:sz="4" w:space="0" w:color="auto"/>
              <w:bottom w:val="single" w:sz="4" w:space="0" w:color="auto"/>
              <w:right w:val="single" w:sz="4" w:space="0" w:color="auto"/>
            </w:tcBorders>
            <w:vAlign w:val="center"/>
            <w:hideMark/>
          </w:tcPr>
          <w:p w14:paraId="044B11F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1,451.92</w:t>
            </w:r>
          </w:p>
        </w:tc>
      </w:tr>
      <w:tr w:rsidR="003954FA" w:rsidRPr="003954FA" w14:paraId="3EBABDA4" w14:textId="77777777">
        <w:trPr>
          <w:jc w:val="center"/>
        </w:trPr>
        <w:tc>
          <w:tcPr>
            <w:tcW w:w="3636" w:type="dxa"/>
            <w:tcBorders>
              <w:top w:val="single" w:sz="4" w:space="0" w:color="auto"/>
              <w:left w:val="single" w:sz="4" w:space="0" w:color="auto"/>
              <w:bottom w:val="single" w:sz="4" w:space="0" w:color="auto"/>
              <w:right w:val="single" w:sz="4" w:space="0" w:color="auto"/>
            </w:tcBorders>
            <w:vAlign w:val="center"/>
            <w:hideMark/>
          </w:tcPr>
          <w:p w14:paraId="6281B00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Total</w:t>
            </w:r>
          </w:p>
        </w:tc>
        <w:tc>
          <w:tcPr>
            <w:tcW w:w="3636" w:type="dxa"/>
            <w:tcBorders>
              <w:top w:val="single" w:sz="4" w:space="0" w:color="auto"/>
              <w:left w:val="single" w:sz="4" w:space="0" w:color="auto"/>
              <w:bottom w:val="single" w:sz="4" w:space="0" w:color="auto"/>
              <w:right w:val="single" w:sz="4" w:space="0" w:color="auto"/>
            </w:tcBorders>
            <w:vAlign w:val="center"/>
            <w:hideMark/>
          </w:tcPr>
          <w:p w14:paraId="244B477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11,263</w:t>
            </w:r>
          </w:p>
        </w:tc>
        <w:tc>
          <w:tcPr>
            <w:tcW w:w="3636" w:type="dxa"/>
            <w:tcBorders>
              <w:top w:val="single" w:sz="4" w:space="0" w:color="auto"/>
              <w:left w:val="single" w:sz="4" w:space="0" w:color="auto"/>
              <w:bottom w:val="single" w:sz="4" w:space="0" w:color="auto"/>
              <w:right w:val="single" w:sz="4" w:space="0" w:color="auto"/>
            </w:tcBorders>
            <w:vAlign w:val="center"/>
            <w:hideMark/>
          </w:tcPr>
          <w:p w14:paraId="7700DC1E"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100.0</w:t>
            </w:r>
          </w:p>
        </w:tc>
        <w:tc>
          <w:tcPr>
            <w:tcW w:w="3636" w:type="dxa"/>
            <w:tcBorders>
              <w:top w:val="single" w:sz="4" w:space="0" w:color="auto"/>
              <w:left w:val="single" w:sz="4" w:space="0" w:color="auto"/>
              <w:bottom w:val="single" w:sz="4" w:space="0" w:color="auto"/>
              <w:right w:val="single" w:sz="4" w:space="0" w:color="auto"/>
            </w:tcBorders>
            <w:vAlign w:val="center"/>
            <w:hideMark/>
          </w:tcPr>
          <w:p w14:paraId="770966D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10,710.66</w:t>
            </w:r>
          </w:p>
        </w:tc>
      </w:tr>
    </w:tbl>
    <w:p w14:paraId="1D0A0257" w14:textId="77777777" w:rsidR="003954FA" w:rsidRPr="003954FA" w:rsidRDefault="003954FA" w:rsidP="003954FA">
      <w:pPr>
        <w:rPr>
          <w:rFonts w:asciiTheme="majorBidi" w:hAnsiTheme="majorBidi" w:cstheme="majorBidi"/>
          <w:b/>
          <w:bCs/>
        </w:rPr>
      </w:pPr>
      <w:r w:rsidRPr="003954FA">
        <w:rPr>
          <w:rFonts w:asciiTheme="majorBidi" w:hAnsiTheme="majorBidi" w:cstheme="majorBidi"/>
          <w:b/>
          <w:bCs/>
        </w:rPr>
        <w:t>Panel B. IPTW-weighted clinical outcomes after exclusion</w:t>
      </w:r>
    </w:p>
    <w:tbl>
      <w:tblPr>
        <w:tblStyle w:val="TableGrid"/>
        <w:tblW w:w="0" w:type="auto"/>
        <w:jc w:val="center"/>
        <w:tblLook w:val="04A0" w:firstRow="1" w:lastRow="0" w:firstColumn="1" w:lastColumn="0" w:noHBand="0" w:noVBand="1"/>
      </w:tblPr>
      <w:tblGrid>
        <w:gridCol w:w="1857"/>
        <w:gridCol w:w="1130"/>
        <w:gridCol w:w="1130"/>
        <w:gridCol w:w="1130"/>
        <w:gridCol w:w="1130"/>
        <w:gridCol w:w="929"/>
        <w:gridCol w:w="1022"/>
        <w:gridCol w:w="1022"/>
      </w:tblGrid>
      <w:tr w:rsidR="003954FA" w:rsidRPr="003954FA" w14:paraId="6FB25FEA" w14:textId="77777777">
        <w:trPr>
          <w:tblHeader/>
          <w:jc w:val="center"/>
        </w:trPr>
        <w:tc>
          <w:tcPr>
            <w:tcW w:w="208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4087B3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Outcome</w:t>
            </w:r>
          </w:p>
        </w:tc>
        <w:tc>
          <w:tcPr>
            <w:tcW w:w="1512"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46B4B2F"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No GLP1-RA/no SGLT2i incidence rate (95% CI)</w:t>
            </w:r>
          </w:p>
        </w:tc>
        <w:tc>
          <w:tcPr>
            <w:tcW w:w="1512"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53304D5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alone incidence rate (95% CI)</w:t>
            </w:r>
          </w:p>
        </w:tc>
        <w:tc>
          <w:tcPr>
            <w:tcW w:w="1512"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F14322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SGLT2i alone incidence rate (95% CI)</w:t>
            </w:r>
          </w:p>
        </w:tc>
        <w:tc>
          <w:tcPr>
            <w:tcW w:w="1512"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4D53F2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 SGLT2i incidence rate (95% CI)</w:t>
            </w:r>
          </w:p>
        </w:tc>
        <w:tc>
          <w:tcPr>
            <w:tcW w:w="1800"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3E3FF7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alone HR (95% CI); P value</w:t>
            </w:r>
          </w:p>
        </w:tc>
        <w:tc>
          <w:tcPr>
            <w:tcW w:w="1800"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CCBC18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SGLT2i alone HR (95% CI); P value</w:t>
            </w:r>
          </w:p>
        </w:tc>
        <w:tc>
          <w:tcPr>
            <w:tcW w:w="1800"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FCC67AE"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GLP1-RA + SGLT2i HR (95% CI); P value</w:t>
            </w:r>
          </w:p>
        </w:tc>
      </w:tr>
      <w:tr w:rsidR="003954FA" w:rsidRPr="003954FA" w14:paraId="540095DD" w14:textId="77777777">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14:paraId="29168ED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Major adverse limb events (MALE)</w:t>
            </w:r>
          </w:p>
        </w:tc>
        <w:tc>
          <w:tcPr>
            <w:tcW w:w="1512" w:type="dxa"/>
            <w:tcBorders>
              <w:top w:val="single" w:sz="4" w:space="0" w:color="auto"/>
              <w:left w:val="single" w:sz="4" w:space="0" w:color="auto"/>
              <w:bottom w:val="single" w:sz="4" w:space="0" w:color="auto"/>
              <w:right w:val="single" w:sz="4" w:space="0" w:color="auto"/>
            </w:tcBorders>
            <w:vAlign w:val="center"/>
            <w:hideMark/>
          </w:tcPr>
          <w:p w14:paraId="6171B6AC"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0.6 (0.6-0.7)</w:t>
            </w:r>
          </w:p>
        </w:tc>
        <w:tc>
          <w:tcPr>
            <w:tcW w:w="1512" w:type="dxa"/>
            <w:tcBorders>
              <w:top w:val="single" w:sz="4" w:space="0" w:color="auto"/>
              <w:left w:val="single" w:sz="4" w:space="0" w:color="auto"/>
              <w:bottom w:val="single" w:sz="4" w:space="0" w:color="auto"/>
              <w:right w:val="single" w:sz="4" w:space="0" w:color="auto"/>
            </w:tcBorders>
            <w:vAlign w:val="center"/>
            <w:hideMark/>
          </w:tcPr>
          <w:p w14:paraId="6279E10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0.3 (0.1-0.5)</w:t>
            </w:r>
          </w:p>
        </w:tc>
        <w:tc>
          <w:tcPr>
            <w:tcW w:w="1512" w:type="dxa"/>
            <w:tcBorders>
              <w:top w:val="single" w:sz="4" w:space="0" w:color="auto"/>
              <w:left w:val="single" w:sz="4" w:space="0" w:color="auto"/>
              <w:bottom w:val="single" w:sz="4" w:space="0" w:color="auto"/>
              <w:right w:val="single" w:sz="4" w:space="0" w:color="auto"/>
            </w:tcBorders>
            <w:vAlign w:val="center"/>
            <w:hideMark/>
          </w:tcPr>
          <w:p w14:paraId="78BA2BF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0.4 (0.3-0.5)</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934C66C"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0.3 (0.2-0.4)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8ACD91B"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0.51 (0.26-1.00); .052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A11994E"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0.55 (0.41-0.75); &lt;.001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0331D87"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HR not visible; &lt;.001</w:t>
            </w:r>
          </w:p>
        </w:tc>
      </w:tr>
      <w:tr w:rsidR="003954FA" w:rsidRPr="003954FA" w14:paraId="17812529" w14:textId="77777777">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14:paraId="3582269D"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Limb revascularization</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D101B0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0.3 (0.3-0.4)</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DE95B5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(0.1-0.4)</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C611DBA"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(0.1-0.3)</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4BE203F"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(0.1-0.3)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CE7C2CB"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0.67 (0.27-1.66); .391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228982D"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0.56 (0.37-0.84); .006</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62B330"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HR not visible; .138</w:t>
            </w:r>
          </w:p>
        </w:tc>
      </w:tr>
      <w:tr w:rsidR="003954FA" w:rsidRPr="003954FA" w14:paraId="64A8B126" w14:textId="77777777">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14:paraId="507B5EE0"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Major amputation</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7F38E12"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0.4 (0.3-0.4)</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59E0215"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0.1 (0.0-0.3)</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9C2CCA6"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(0.1-0.3)</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131E12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0.1 (0.0-0.2)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197A81B"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0.39 (0.17-0.91); .030</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218CEDB"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0.52 (0.35-0.78); .002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CC46022"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HR not visible; &lt;.001</w:t>
            </w:r>
          </w:p>
        </w:tc>
      </w:tr>
      <w:tr w:rsidR="003954FA" w:rsidRPr="003954FA" w14:paraId="09CDA70E" w14:textId="77777777">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14:paraId="36A0E380"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lastRenderedPageBreak/>
              <w:t>Minor amputation</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54474D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0.1 (0.1-0.2)</w:t>
            </w:r>
          </w:p>
        </w:tc>
        <w:tc>
          <w:tcPr>
            <w:tcW w:w="1512" w:type="dxa"/>
            <w:tcBorders>
              <w:top w:val="single" w:sz="4" w:space="0" w:color="auto"/>
              <w:left w:val="single" w:sz="4" w:space="0" w:color="auto"/>
              <w:bottom w:val="single" w:sz="4" w:space="0" w:color="auto"/>
              <w:right w:val="single" w:sz="4" w:space="0" w:color="auto"/>
            </w:tcBorders>
            <w:vAlign w:val="center"/>
            <w:hideMark/>
          </w:tcPr>
          <w:p w14:paraId="3E439062"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(0.0-0.3)</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106DA7D"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0.1 (0.0-0.2)</w:t>
            </w:r>
          </w:p>
        </w:tc>
        <w:tc>
          <w:tcPr>
            <w:tcW w:w="1512" w:type="dxa"/>
            <w:tcBorders>
              <w:top w:val="single" w:sz="4" w:space="0" w:color="auto"/>
              <w:left w:val="single" w:sz="4" w:space="0" w:color="auto"/>
              <w:bottom w:val="single" w:sz="4" w:space="0" w:color="auto"/>
              <w:right w:val="single" w:sz="4" w:space="0" w:color="auto"/>
            </w:tcBorders>
            <w:vAlign w:val="center"/>
            <w:hideMark/>
          </w:tcPr>
          <w:p w14:paraId="3EF8D3EA"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0.2 (0.1-0.2)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AE67E10"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1.31 (0.31-5.60); .713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77F25A6"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0.68 (0.36-1.25); .215</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3D41244"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HR not visible; .754</w:t>
            </w:r>
          </w:p>
        </w:tc>
      </w:tr>
      <w:tr w:rsidR="003954FA" w:rsidRPr="003954FA" w14:paraId="5DFDADF9" w14:textId="77777777">
        <w:trPr>
          <w:jc w:val="center"/>
        </w:trPr>
        <w:tc>
          <w:tcPr>
            <w:tcW w:w="2088" w:type="dxa"/>
            <w:tcBorders>
              <w:top w:val="single" w:sz="4" w:space="0" w:color="auto"/>
              <w:left w:val="single" w:sz="4" w:space="0" w:color="auto"/>
              <w:bottom w:val="single" w:sz="4" w:space="0" w:color="auto"/>
              <w:right w:val="single" w:sz="4" w:space="0" w:color="auto"/>
            </w:tcBorders>
            <w:vAlign w:val="center"/>
            <w:hideMark/>
          </w:tcPr>
          <w:p w14:paraId="318E6A3A"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All-cause mortality</w:t>
            </w:r>
          </w:p>
        </w:tc>
        <w:tc>
          <w:tcPr>
            <w:tcW w:w="1512" w:type="dxa"/>
            <w:tcBorders>
              <w:top w:val="single" w:sz="4" w:space="0" w:color="auto"/>
              <w:left w:val="single" w:sz="4" w:space="0" w:color="auto"/>
              <w:bottom w:val="single" w:sz="4" w:space="0" w:color="auto"/>
              <w:right w:val="single" w:sz="4" w:space="0" w:color="auto"/>
            </w:tcBorders>
            <w:vAlign w:val="center"/>
            <w:hideMark/>
          </w:tcPr>
          <w:p w14:paraId="3F8DF80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8.5 (8.1-8.8)</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4701C66"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4.0 (3.4-4.7)</w:t>
            </w:r>
          </w:p>
        </w:tc>
        <w:tc>
          <w:tcPr>
            <w:tcW w:w="1512" w:type="dxa"/>
            <w:tcBorders>
              <w:top w:val="single" w:sz="4" w:space="0" w:color="auto"/>
              <w:left w:val="single" w:sz="4" w:space="0" w:color="auto"/>
              <w:bottom w:val="single" w:sz="4" w:space="0" w:color="auto"/>
              <w:right w:val="single" w:sz="4" w:space="0" w:color="auto"/>
            </w:tcBorders>
            <w:vAlign w:val="center"/>
            <w:hideMark/>
          </w:tcPr>
          <w:p w14:paraId="1BFE4D53"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3.6 (3.3-3.9)</w:t>
            </w:r>
          </w:p>
        </w:tc>
        <w:tc>
          <w:tcPr>
            <w:tcW w:w="1512" w:type="dxa"/>
            <w:tcBorders>
              <w:top w:val="single" w:sz="4" w:space="0" w:color="auto"/>
              <w:left w:val="single" w:sz="4" w:space="0" w:color="auto"/>
              <w:bottom w:val="single" w:sz="4" w:space="0" w:color="auto"/>
              <w:right w:val="single" w:sz="4" w:space="0" w:color="auto"/>
            </w:tcBorders>
            <w:vAlign w:val="center"/>
            <w:hideMark/>
          </w:tcPr>
          <w:p w14:paraId="05E91B95"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1.9 (1.6-2.2)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D3DFF8"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0.47 (0.37-0.60); &lt;.001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D4419D1"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0.42 (0.38-0.48); &lt;.001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9F2FE9" w14:textId="77777777" w:rsidR="003954FA" w:rsidRPr="003954FA" w:rsidRDefault="003954FA" w:rsidP="003954FA">
            <w:pPr>
              <w:spacing w:after="160" w:line="278" w:lineRule="auto"/>
              <w:rPr>
                <w:rFonts w:asciiTheme="majorBidi" w:hAnsiTheme="majorBidi" w:cstheme="majorBidi"/>
                <w:b/>
                <w:bCs/>
              </w:rPr>
            </w:pPr>
            <w:r w:rsidRPr="003954FA">
              <w:rPr>
                <w:rFonts w:asciiTheme="majorBidi" w:hAnsiTheme="majorBidi" w:cstheme="majorBidi"/>
                <w:b/>
                <w:bCs/>
              </w:rPr>
              <w:t>HR not visible; &lt;.001</w:t>
            </w:r>
          </w:p>
        </w:tc>
      </w:tr>
    </w:tbl>
    <w:p w14:paraId="6808095D" w14:textId="77777777" w:rsidR="003954FA" w:rsidRPr="003954FA" w:rsidRDefault="003954FA" w:rsidP="003954FA">
      <w:pPr>
        <w:rPr>
          <w:rFonts w:asciiTheme="majorBidi" w:hAnsiTheme="majorBidi" w:cstheme="majorBidi"/>
        </w:rPr>
      </w:pPr>
      <w:r w:rsidRPr="003954FA">
        <w:rPr>
          <w:rFonts w:asciiTheme="majorBidi" w:hAnsiTheme="majorBidi" w:cstheme="majorBidi"/>
        </w:rPr>
        <w:t>Note. Incidence rates are IPTW-weighted events per 100 person-years with 95% confidence intervals. Hazard ratios were estimated using IPTW-weighted Cox proportional hazards models with robust standard errors. The no GLP1-RA/no SGLT2i group served as the reference category. The sensitivity cohort excluded patients with evidence of GLP1-RA or SGLT2i use before the PAD diagnosis/index date. GLP1-RA indicates glucagon-like peptide-1 receptor agonist; SGLT2i, sodium-glucose cotransporter-2 inhibitor; IPTW, inverse probability of treatment weighting; HR, hazard ratio; CI, confidence interval; MALE, major adverse limb events; PAD, peripheral artery disease.</w:t>
      </w:r>
    </w:p>
    <w:p w14:paraId="175C21CF" w14:textId="77777777" w:rsidR="003954FA" w:rsidRPr="003954FA" w:rsidRDefault="003954FA" w:rsidP="003954FA">
      <w:pPr>
        <w:rPr>
          <w:rFonts w:asciiTheme="majorBidi" w:hAnsiTheme="majorBidi" w:cstheme="majorBidi"/>
        </w:rPr>
      </w:pPr>
      <w:r w:rsidRPr="003954FA">
        <w:rPr>
          <w:rFonts w:asciiTheme="majorBidi" w:hAnsiTheme="majorBidi" w:cstheme="majorBidi"/>
          <w:i/>
        </w:rPr>
        <w:t>Data source note. Values were transcribed from the screenshots provided by the user. The GLP1-RA + SGLT2i HR (95% CI) column was not visible in the screenshot and should be inserted from the original unhidden Excel output before journal submission.</w:t>
      </w:r>
    </w:p>
    <w:p w14:paraId="705322AA" w14:textId="13EF04AE" w:rsidR="003D1758" w:rsidRPr="003D1758" w:rsidRDefault="003D1758" w:rsidP="003D1758">
      <w:pPr>
        <w:rPr>
          <w:rFonts w:asciiTheme="majorBidi" w:hAnsiTheme="majorBidi" w:cstheme="majorBidi"/>
          <w:b/>
          <w:bCs/>
        </w:rPr>
      </w:pPr>
      <w:proofErr w:type="spellStart"/>
      <w:r w:rsidRPr="003D1758">
        <w:rPr>
          <w:rFonts w:asciiTheme="majorBidi" w:hAnsiTheme="majorBidi" w:cstheme="majorBidi"/>
          <w:b/>
          <w:bCs/>
        </w:rPr>
        <w:t>eTable</w:t>
      </w:r>
      <w:proofErr w:type="spellEnd"/>
      <w:r w:rsidRPr="003D1758">
        <w:rPr>
          <w:rFonts w:asciiTheme="majorBidi" w:hAnsiTheme="majorBidi" w:cstheme="majorBidi"/>
          <w:b/>
          <w:bCs/>
        </w:rPr>
        <w:t xml:space="preserve"> </w:t>
      </w:r>
      <w:r>
        <w:rPr>
          <w:rFonts w:asciiTheme="majorBidi" w:hAnsiTheme="majorBidi" w:cstheme="majorBidi"/>
          <w:b/>
          <w:bCs/>
        </w:rPr>
        <w:t>7</w:t>
      </w:r>
      <w:r w:rsidRPr="003D1758">
        <w:rPr>
          <w:rFonts w:asciiTheme="majorBidi" w:hAnsiTheme="majorBidi" w:cstheme="majorBidi"/>
          <w:b/>
          <w:bCs/>
        </w:rPr>
        <w:t>. Time-Varying Cox Proportional Hazards Analysis According to GLP1-RA/SGLT2i Exposure Group</w:t>
      </w:r>
    </w:p>
    <w:p w14:paraId="4065D89B"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Hazard ratios were estimated using time-varying exposure definitions based on first GLP1-RA and first SGLT2i dispensing dates.</w:t>
      </w:r>
    </w:p>
    <w:tbl>
      <w:tblPr>
        <w:tblW w:w="0" w:type="auto"/>
        <w:jc w:val="center"/>
        <w:tblLayout w:type="fixed"/>
        <w:tblLook w:val="04A0" w:firstRow="1" w:lastRow="0" w:firstColumn="1" w:lastColumn="0" w:noHBand="0" w:noVBand="1"/>
      </w:tblPr>
      <w:tblGrid>
        <w:gridCol w:w="2376"/>
        <w:gridCol w:w="3960"/>
        <w:gridCol w:w="2088"/>
        <w:gridCol w:w="1224"/>
      </w:tblGrid>
      <w:tr w:rsidR="003D1758" w:rsidRPr="003D1758" w14:paraId="59E2E350" w14:textId="77777777">
        <w:trPr>
          <w:tblHeader/>
          <w:jc w:val="center"/>
        </w:trPr>
        <w:tc>
          <w:tcPr>
            <w:tcW w:w="2376" w:type="dxa"/>
            <w:tcBorders>
              <w:top w:val="single" w:sz="8" w:space="0" w:color="000000"/>
              <w:left w:val="nil"/>
              <w:bottom w:val="single" w:sz="8" w:space="0" w:color="000000"/>
              <w:right w:val="nil"/>
            </w:tcBorders>
            <w:tcMar>
              <w:top w:w="25" w:type="dxa"/>
              <w:left w:w="70" w:type="dxa"/>
              <w:bottom w:w="25" w:type="dxa"/>
              <w:right w:w="70" w:type="dxa"/>
            </w:tcMar>
            <w:hideMark/>
          </w:tcPr>
          <w:p w14:paraId="1E338E19"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Outcome</w:t>
            </w:r>
          </w:p>
        </w:tc>
        <w:tc>
          <w:tcPr>
            <w:tcW w:w="3960" w:type="dxa"/>
            <w:tcBorders>
              <w:top w:val="single" w:sz="8" w:space="0" w:color="000000"/>
              <w:left w:val="nil"/>
              <w:bottom w:val="single" w:sz="8" w:space="0" w:color="000000"/>
              <w:right w:val="nil"/>
            </w:tcBorders>
            <w:tcMar>
              <w:top w:w="25" w:type="dxa"/>
              <w:left w:w="70" w:type="dxa"/>
              <w:bottom w:w="25" w:type="dxa"/>
              <w:right w:w="70" w:type="dxa"/>
            </w:tcMar>
            <w:hideMark/>
          </w:tcPr>
          <w:p w14:paraId="3ADF1C1D"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Exposure group</w:t>
            </w:r>
          </w:p>
        </w:tc>
        <w:tc>
          <w:tcPr>
            <w:tcW w:w="2088" w:type="dxa"/>
            <w:tcBorders>
              <w:top w:val="single" w:sz="8" w:space="0" w:color="000000"/>
              <w:left w:val="nil"/>
              <w:bottom w:val="single" w:sz="8" w:space="0" w:color="000000"/>
              <w:right w:val="nil"/>
            </w:tcBorders>
            <w:tcMar>
              <w:top w:w="25" w:type="dxa"/>
              <w:left w:w="70" w:type="dxa"/>
              <w:bottom w:w="25" w:type="dxa"/>
              <w:right w:w="70" w:type="dxa"/>
            </w:tcMar>
            <w:hideMark/>
          </w:tcPr>
          <w:p w14:paraId="1C4665DF"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HR (95% CI)</w:t>
            </w:r>
          </w:p>
        </w:tc>
        <w:tc>
          <w:tcPr>
            <w:tcW w:w="1224" w:type="dxa"/>
            <w:tcBorders>
              <w:top w:val="single" w:sz="8" w:space="0" w:color="000000"/>
              <w:left w:val="nil"/>
              <w:bottom w:val="single" w:sz="8" w:space="0" w:color="000000"/>
              <w:right w:val="nil"/>
            </w:tcBorders>
            <w:tcMar>
              <w:top w:w="25" w:type="dxa"/>
              <w:left w:w="70" w:type="dxa"/>
              <w:bottom w:w="25" w:type="dxa"/>
              <w:right w:w="70" w:type="dxa"/>
            </w:tcMar>
            <w:hideMark/>
          </w:tcPr>
          <w:p w14:paraId="53BECD9D"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P value</w:t>
            </w:r>
          </w:p>
        </w:tc>
      </w:tr>
      <w:tr w:rsidR="003D1758" w:rsidRPr="003D1758" w14:paraId="333B817C" w14:textId="77777777">
        <w:trPr>
          <w:jc w:val="center"/>
        </w:trPr>
        <w:tc>
          <w:tcPr>
            <w:tcW w:w="2376" w:type="dxa"/>
            <w:tcBorders>
              <w:top w:val="single" w:sz="4" w:space="0" w:color="BFBFBF"/>
              <w:left w:val="nil"/>
              <w:bottom w:val="nil"/>
              <w:right w:val="nil"/>
            </w:tcBorders>
            <w:tcMar>
              <w:top w:w="25" w:type="dxa"/>
              <w:left w:w="70" w:type="dxa"/>
              <w:bottom w:w="25" w:type="dxa"/>
              <w:right w:w="70" w:type="dxa"/>
            </w:tcMar>
            <w:hideMark/>
          </w:tcPr>
          <w:p w14:paraId="703767C0"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MALE</w:t>
            </w:r>
          </w:p>
        </w:tc>
        <w:tc>
          <w:tcPr>
            <w:tcW w:w="3960" w:type="dxa"/>
            <w:tcBorders>
              <w:top w:val="single" w:sz="4" w:space="0" w:color="BFBFBF"/>
              <w:left w:val="nil"/>
              <w:bottom w:val="nil"/>
              <w:right w:val="nil"/>
            </w:tcBorders>
            <w:tcMar>
              <w:top w:w="25" w:type="dxa"/>
              <w:left w:w="70" w:type="dxa"/>
              <w:bottom w:w="25" w:type="dxa"/>
              <w:right w:w="70" w:type="dxa"/>
            </w:tcMar>
            <w:hideMark/>
          </w:tcPr>
          <w:p w14:paraId="18941BFA"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No GLP1-RA and no SGLT2i</w:t>
            </w:r>
          </w:p>
        </w:tc>
        <w:tc>
          <w:tcPr>
            <w:tcW w:w="2088" w:type="dxa"/>
            <w:tcBorders>
              <w:top w:val="single" w:sz="4" w:space="0" w:color="BFBFBF"/>
              <w:left w:val="nil"/>
              <w:bottom w:val="nil"/>
              <w:right w:val="nil"/>
            </w:tcBorders>
            <w:tcMar>
              <w:top w:w="25" w:type="dxa"/>
              <w:left w:w="70" w:type="dxa"/>
              <w:bottom w:w="25" w:type="dxa"/>
              <w:right w:w="70" w:type="dxa"/>
            </w:tcMar>
            <w:hideMark/>
          </w:tcPr>
          <w:p w14:paraId="0501F69A" w14:textId="77777777" w:rsidR="003D1758" w:rsidRPr="003D1758" w:rsidRDefault="003D1758" w:rsidP="003D1758">
            <w:pPr>
              <w:rPr>
                <w:rFonts w:asciiTheme="majorBidi" w:hAnsiTheme="majorBidi" w:cstheme="majorBidi"/>
              </w:rPr>
            </w:pPr>
            <w:r w:rsidRPr="003D1758">
              <w:rPr>
                <w:rFonts w:asciiTheme="majorBidi" w:hAnsiTheme="majorBidi" w:cstheme="majorBidi"/>
              </w:rPr>
              <w:t>Reference</w:t>
            </w:r>
          </w:p>
        </w:tc>
        <w:tc>
          <w:tcPr>
            <w:tcW w:w="1224" w:type="dxa"/>
            <w:tcBorders>
              <w:top w:val="single" w:sz="4" w:space="0" w:color="BFBFBF"/>
              <w:left w:val="nil"/>
              <w:bottom w:val="nil"/>
              <w:right w:val="nil"/>
            </w:tcBorders>
            <w:tcMar>
              <w:top w:w="25" w:type="dxa"/>
              <w:left w:w="70" w:type="dxa"/>
              <w:bottom w:w="25" w:type="dxa"/>
              <w:right w:w="70" w:type="dxa"/>
            </w:tcMar>
          </w:tcPr>
          <w:p w14:paraId="375E2EF0" w14:textId="77777777" w:rsidR="003D1758" w:rsidRPr="003D1758" w:rsidRDefault="003D1758" w:rsidP="003D1758">
            <w:pPr>
              <w:rPr>
                <w:rFonts w:asciiTheme="majorBidi" w:hAnsiTheme="majorBidi" w:cstheme="majorBidi"/>
              </w:rPr>
            </w:pPr>
          </w:p>
        </w:tc>
      </w:tr>
      <w:tr w:rsidR="003D1758" w:rsidRPr="003D1758" w14:paraId="22D3DA69" w14:textId="77777777">
        <w:trPr>
          <w:jc w:val="center"/>
        </w:trPr>
        <w:tc>
          <w:tcPr>
            <w:tcW w:w="2376" w:type="dxa"/>
            <w:tcMar>
              <w:top w:w="25" w:type="dxa"/>
              <w:left w:w="70" w:type="dxa"/>
              <w:bottom w:w="25" w:type="dxa"/>
              <w:right w:w="70" w:type="dxa"/>
            </w:tcMar>
          </w:tcPr>
          <w:p w14:paraId="0CE332CA"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03202077"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alone</w:t>
            </w:r>
          </w:p>
        </w:tc>
        <w:tc>
          <w:tcPr>
            <w:tcW w:w="2088" w:type="dxa"/>
            <w:tcMar>
              <w:top w:w="25" w:type="dxa"/>
              <w:left w:w="70" w:type="dxa"/>
              <w:bottom w:w="25" w:type="dxa"/>
              <w:right w:w="70" w:type="dxa"/>
            </w:tcMar>
            <w:hideMark/>
          </w:tcPr>
          <w:p w14:paraId="028A27BC" w14:textId="77777777" w:rsidR="003D1758" w:rsidRPr="003D1758" w:rsidRDefault="003D1758" w:rsidP="003D1758">
            <w:pPr>
              <w:rPr>
                <w:rFonts w:asciiTheme="majorBidi" w:hAnsiTheme="majorBidi" w:cstheme="majorBidi"/>
              </w:rPr>
            </w:pPr>
            <w:r w:rsidRPr="003D1758">
              <w:rPr>
                <w:rFonts w:asciiTheme="majorBidi" w:hAnsiTheme="majorBidi" w:cstheme="majorBidi"/>
              </w:rPr>
              <w:t>0.86 (0.61-1.22)</w:t>
            </w:r>
          </w:p>
        </w:tc>
        <w:tc>
          <w:tcPr>
            <w:tcW w:w="1224" w:type="dxa"/>
            <w:tcMar>
              <w:top w:w="25" w:type="dxa"/>
              <w:left w:w="70" w:type="dxa"/>
              <w:bottom w:w="25" w:type="dxa"/>
              <w:right w:w="70" w:type="dxa"/>
            </w:tcMar>
            <w:hideMark/>
          </w:tcPr>
          <w:p w14:paraId="09231B1D" w14:textId="77777777" w:rsidR="003D1758" w:rsidRPr="003D1758" w:rsidRDefault="003D1758" w:rsidP="003D1758">
            <w:pPr>
              <w:rPr>
                <w:rFonts w:asciiTheme="majorBidi" w:hAnsiTheme="majorBidi" w:cstheme="majorBidi"/>
              </w:rPr>
            </w:pPr>
            <w:r w:rsidRPr="003D1758">
              <w:rPr>
                <w:rFonts w:asciiTheme="majorBidi" w:hAnsiTheme="majorBidi" w:cstheme="majorBidi"/>
              </w:rPr>
              <w:t>.408</w:t>
            </w:r>
          </w:p>
        </w:tc>
      </w:tr>
      <w:tr w:rsidR="003D1758" w:rsidRPr="003D1758" w14:paraId="473C68C2" w14:textId="77777777">
        <w:trPr>
          <w:jc w:val="center"/>
        </w:trPr>
        <w:tc>
          <w:tcPr>
            <w:tcW w:w="2376" w:type="dxa"/>
            <w:tcMar>
              <w:top w:w="25" w:type="dxa"/>
              <w:left w:w="70" w:type="dxa"/>
              <w:bottom w:w="25" w:type="dxa"/>
              <w:right w:w="70" w:type="dxa"/>
            </w:tcMar>
          </w:tcPr>
          <w:p w14:paraId="346EA6CF"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14023176"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SGLT2i alone</w:t>
            </w:r>
          </w:p>
        </w:tc>
        <w:tc>
          <w:tcPr>
            <w:tcW w:w="2088" w:type="dxa"/>
            <w:tcMar>
              <w:top w:w="25" w:type="dxa"/>
              <w:left w:w="70" w:type="dxa"/>
              <w:bottom w:w="25" w:type="dxa"/>
              <w:right w:w="70" w:type="dxa"/>
            </w:tcMar>
            <w:hideMark/>
          </w:tcPr>
          <w:p w14:paraId="333042AD" w14:textId="77777777" w:rsidR="003D1758" w:rsidRPr="003D1758" w:rsidRDefault="003D1758" w:rsidP="003D1758">
            <w:pPr>
              <w:rPr>
                <w:rFonts w:asciiTheme="majorBidi" w:hAnsiTheme="majorBidi" w:cstheme="majorBidi"/>
              </w:rPr>
            </w:pPr>
            <w:r w:rsidRPr="003D1758">
              <w:rPr>
                <w:rFonts w:asciiTheme="majorBidi" w:hAnsiTheme="majorBidi" w:cstheme="majorBidi"/>
              </w:rPr>
              <w:t>1.38 (1.04-1.84)</w:t>
            </w:r>
          </w:p>
        </w:tc>
        <w:tc>
          <w:tcPr>
            <w:tcW w:w="1224" w:type="dxa"/>
            <w:tcMar>
              <w:top w:w="25" w:type="dxa"/>
              <w:left w:w="70" w:type="dxa"/>
              <w:bottom w:w="25" w:type="dxa"/>
              <w:right w:w="70" w:type="dxa"/>
            </w:tcMar>
            <w:hideMark/>
          </w:tcPr>
          <w:p w14:paraId="5D7AB346" w14:textId="77777777" w:rsidR="003D1758" w:rsidRPr="003D1758" w:rsidRDefault="003D1758" w:rsidP="003D1758">
            <w:pPr>
              <w:rPr>
                <w:rFonts w:asciiTheme="majorBidi" w:hAnsiTheme="majorBidi" w:cstheme="majorBidi"/>
              </w:rPr>
            </w:pPr>
            <w:r w:rsidRPr="003D1758">
              <w:rPr>
                <w:rFonts w:asciiTheme="majorBidi" w:hAnsiTheme="majorBidi" w:cstheme="majorBidi"/>
              </w:rPr>
              <w:t>.026</w:t>
            </w:r>
          </w:p>
        </w:tc>
      </w:tr>
      <w:tr w:rsidR="003D1758" w:rsidRPr="003D1758" w14:paraId="4392E7AD" w14:textId="77777777">
        <w:trPr>
          <w:jc w:val="center"/>
        </w:trPr>
        <w:tc>
          <w:tcPr>
            <w:tcW w:w="2376" w:type="dxa"/>
            <w:tcMar>
              <w:top w:w="25" w:type="dxa"/>
              <w:left w:w="70" w:type="dxa"/>
              <w:bottom w:w="25" w:type="dxa"/>
              <w:right w:w="70" w:type="dxa"/>
            </w:tcMar>
          </w:tcPr>
          <w:p w14:paraId="738BBCA1"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52D06ABE"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 SGLT2i</w:t>
            </w:r>
          </w:p>
        </w:tc>
        <w:tc>
          <w:tcPr>
            <w:tcW w:w="2088" w:type="dxa"/>
            <w:tcMar>
              <w:top w:w="25" w:type="dxa"/>
              <w:left w:w="70" w:type="dxa"/>
              <w:bottom w:w="25" w:type="dxa"/>
              <w:right w:w="70" w:type="dxa"/>
            </w:tcMar>
            <w:hideMark/>
          </w:tcPr>
          <w:p w14:paraId="209BD76A" w14:textId="77777777" w:rsidR="003D1758" w:rsidRPr="003D1758" w:rsidRDefault="003D1758" w:rsidP="003D1758">
            <w:pPr>
              <w:rPr>
                <w:rFonts w:asciiTheme="majorBidi" w:hAnsiTheme="majorBidi" w:cstheme="majorBidi"/>
              </w:rPr>
            </w:pPr>
            <w:r w:rsidRPr="003D1758">
              <w:rPr>
                <w:rFonts w:asciiTheme="majorBidi" w:hAnsiTheme="majorBidi" w:cstheme="majorBidi"/>
              </w:rPr>
              <w:t>1.26 (0.93-1.71)</w:t>
            </w:r>
          </w:p>
        </w:tc>
        <w:tc>
          <w:tcPr>
            <w:tcW w:w="1224" w:type="dxa"/>
            <w:tcMar>
              <w:top w:w="25" w:type="dxa"/>
              <w:left w:w="70" w:type="dxa"/>
              <w:bottom w:w="25" w:type="dxa"/>
              <w:right w:w="70" w:type="dxa"/>
            </w:tcMar>
            <w:hideMark/>
          </w:tcPr>
          <w:p w14:paraId="15A3AF90" w14:textId="77777777" w:rsidR="003D1758" w:rsidRPr="003D1758" w:rsidRDefault="003D1758" w:rsidP="003D1758">
            <w:pPr>
              <w:rPr>
                <w:rFonts w:asciiTheme="majorBidi" w:hAnsiTheme="majorBidi" w:cstheme="majorBidi"/>
              </w:rPr>
            </w:pPr>
            <w:r w:rsidRPr="003D1758">
              <w:rPr>
                <w:rFonts w:asciiTheme="majorBidi" w:hAnsiTheme="majorBidi" w:cstheme="majorBidi"/>
              </w:rPr>
              <w:t>.129</w:t>
            </w:r>
          </w:p>
        </w:tc>
      </w:tr>
      <w:tr w:rsidR="003D1758" w:rsidRPr="003D1758" w14:paraId="574437CF" w14:textId="77777777">
        <w:trPr>
          <w:jc w:val="center"/>
        </w:trPr>
        <w:tc>
          <w:tcPr>
            <w:tcW w:w="2376" w:type="dxa"/>
            <w:tcBorders>
              <w:top w:val="single" w:sz="4" w:space="0" w:color="BFBFBF"/>
              <w:left w:val="nil"/>
              <w:bottom w:val="nil"/>
              <w:right w:val="nil"/>
            </w:tcBorders>
            <w:tcMar>
              <w:top w:w="25" w:type="dxa"/>
              <w:left w:w="70" w:type="dxa"/>
              <w:bottom w:w="25" w:type="dxa"/>
              <w:right w:w="70" w:type="dxa"/>
            </w:tcMar>
            <w:hideMark/>
          </w:tcPr>
          <w:p w14:paraId="75CEB2CF"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Limb revascularization</w:t>
            </w:r>
          </w:p>
        </w:tc>
        <w:tc>
          <w:tcPr>
            <w:tcW w:w="3960" w:type="dxa"/>
            <w:tcBorders>
              <w:top w:val="single" w:sz="4" w:space="0" w:color="BFBFBF"/>
              <w:left w:val="nil"/>
              <w:bottom w:val="nil"/>
              <w:right w:val="nil"/>
            </w:tcBorders>
            <w:tcMar>
              <w:top w:w="25" w:type="dxa"/>
              <w:left w:w="70" w:type="dxa"/>
              <w:bottom w:w="25" w:type="dxa"/>
              <w:right w:w="70" w:type="dxa"/>
            </w:tcMar>
            <w:hideMark/>
          </w:tcPr>
          <w:p w14:paraId="15AE9CAC"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No GLP1-RA and no SGLT2i</w:t>
            </w:r>
          </w:p>
        </w:tc>
        <w:tc>
          <w:tcPr>
            <w:tcW w:w="2088" w:type="dxa"/>
            <w:tcBorders>
              <w:top w:val="single" w:sz="4" w:space="0" w:color="BFBFBF"/>
              <w:left w:val="nil"/>
              <w:bottom w:val="nil"/>
              <w:right w:val="nil"/>
            </w:tcBorders>
            <w:tcMar>
              <w:top w:w="25" w:type="dxa"/>
              <w:left w:w="70" w:type="dxa"/>
              <w:bottom w:w="25" w:type="dxa"/>
              <w:right w:w="70" w:type="dxa"/>
            </w:tcMar>
            <w:hideMark/>
          </w:tcPr>
          <w:p w14:paraId="66BD347F" w14:textId="77777777" w:rsidR="003D1758" w:rsidRPr="003D1758" w:rsidRDefault="003D1758" w:rsidP="003D1758">
            <w:pPr>
              <w:rPr>
                <w:rFonts w:asciiTheme="majorBidi" w:hAnsiTheme="majorBidi" w:cstheme="majorBidi"/>
              </w:rPr>
            </w:pPr>
            <w:r w:rsidRPr="003D1758">
              <w:rPr>
                <w:rFonts w:asciiTheme="majorBidi" w:hAnsiTheme="majorBidi" w:cstheme="majorBidi"/>
              </w:rPr>
              <w:t>Reference</w:t>
            </w:r>
          </w:p>
        </w:tc>
        <w:tc>
          <w:tcPr>
            <w:tcW w:w="1224" w:type="dxa"/>
            <w:tcBorders>
              <w:top w:val="single" w:sz="4" w:space="0" w:color="BFBFBF"/>
              <w:left w:val="nil"/>
              <w:bottom w:val="nil"/>
              <w:right w:val="nil"/>
            </w:tcBorders>
            <w:tcMar>
              <w:top w:w="25" w:type="dxa"/>
              <w:left w:w="70" w:type="dxa"/>
              <w:bottom w:w="25" w:type="dxa"/>
              <w:right w:w="70" w:type="dxa"/>
            </w:tcMar>
          </w:tcPr>
          <w:p w14:paraId="0393C6F4" w14:textId="77777777" w:rsidR="003D1758" w:rsidRPr="003D1758" w:rsidRDefault="003D1758" w:rsidP="003D1758">
            <w:pPr>
              <w:rPr>
                <w:rFonts w:asciiTheme="majorBidi" w:hAnsiTheme="majorBidi" w:cstheme="majorBidi"/>
              </w:rPr>
            </w:pPr>
          </w:p>
        </w:tc>
      </w:tr>
      <w:tr w:rsidR="003D1758" w:rsidRPr="003D1758" w14:paraId="5752A98F" w14:textId="77777777">
        <w:trPr>
          <w:jc w:val="center"/>
        </w:trPr>
        <w:tc>
          <w:tcPr>
            <w:tcW w:w="2376" w:type="dxa"/>
            <w:tcMar>
              <w:top w:w="25" w:type="dxa"/>
              <w:left w:w="70" w:type="dxa"/>
              <w:bottom w:w="25" w:type="dxa"/>
              <w:right w:w="70" w:type="dxa"/>
            </w:tcMar>
          </w:tcPr>
          <w:p w14:paraId="6F1DF0BD"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6AA97C1E"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alone</w:t>
            </w:r>
          </w:p>
        </w:tc>
        <w:tc>
          <w:tcPr>
            <w:tcW w:w="2088" w:type="dxa"/>
            <w:tcMar>
              <w:top w:w="25" w:type="dxa"/>
              <w:left w:w="70" w:type="dxa"/>
              <w:bottom w:w="25" w:type="dxa"/>
              <w:right w:w="70" w:type="dxa"/>
            </w:tcMar>
            <w:hideMark/>
          </w:tcPr>
          <w:p w14:paraId="030B75AD" w14:textId="77777777" w:rsidR="003D1758" w:rsidRPr="003D1758" w:rsidRDefault="003D1758" w:rsidP="003D1758">
            <w:pPr>
              <w:rPr>
                <w:rFonts w:asciiTheme="majorBidi" w:hAnsiTheme="majorBidi" w:cstheme="majorBidi"/>
              </w:rPr>
            </w:pPr>
            <w:r w:rsidRPr="003D1758">
              <w:rPr>
                <w:rFonts w:asciiTheme="majorBidi" w:hAnsiTheme="majorBidi" w:cstheme="majorBidi"/>
              </w:rPr>
              <w:t>0.67 (0.40-1.14)</w:t>
            </w:r>
          </w:p>
        </w:tc>
        <w:tc>
          <w:tcPr>
            <w:tcW w:w="1224" w:type="dxa"/>
            <w:tcMar>
              <w:top w:w="25" w:type="dxa"/>
              <w:left w:w="70" w:type="dxa"/>
              <w:bottom w:w="25" w:type="dxa"/>
              <w:right w:w="70" w:type="dxa"/>
            </w:tcMar>
            <w:hideMark/>
          </w:tcPr>
          <w:p w14:paraId="69AE1B1A" w14:textId="77777777" w:rsidR="003D1758" w:rsidRPr="003D1758" w:rsidRDefault="003D1758" w:rsidP="003D1758">
            <w:pPr>
              <w:rPr>
                <w:rFonts w:asciiTheme="majorBidi" w:hAnsiTheme="majorBidi" w:cstheme="majorBidi"/>
              </w:rPr>
            </w:pPr>
            <w:r w:rsidRPr="003D1758">
              <w:rPr>
                <w:rFonts w:asciiTheme="majorBidi" w:hAnsiTheme="majorBidi" w:cstheme="majorBidi"/>
              </w:rPr>
              <w:t>.143</w:t>
            </w:r>
          </w:p>
        </w:tc>
      </w:tr>
      <w:tr w:rsidR="003D1758" w:rsidRPr="003D1758" w14:paraId="782EB2CF" w14:textId="77777777">
        <w:trPr>
          <w:jc w:val="center"/>
        </w:trPr>
        <w:tc>
          <w:tcPr>
            <w:tcW w:w="2376" w:type="dxa"/>
            <w:tcMar>
              <w:top w:w="25" w:type="dxa"/>
              <w:left w:w="70" w:type="dxa"/>
              <w:bottom w:w="25" w:type="dxa"/>
              <w:right w:w="70" w:type="dxa"/>
            </w:tcMar>
          </w:tcPr>
          <w:p w14:paraId="193FC01F"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3DBA31B0"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SGLT2i alone</w:t>
            </w:r>
          </w:p>
        </w:tc>
        <w:tc>
          <w:tcPr>
            <w:tcW w:w="2088" w:type="dxa"/>
            <w:tcMar>
              <w:top w:w="25" w:type="dxa"/>
              <w:left w:w="70" w:type="dxa"/>
              <w:bottom w:w="25" w:type="dxa"/>
              <w:right w:w="70" w:type="dxa"/>
            </w:tcMar>
            <w:hideMark/>
          </w:tcPr>
          <w:p w14:paraId="2B111145" w14:textId="77777777" w:rsidR="003D1758" w:rsidRPr="003D1758" w:rsidRDefault="003D1758" w:rsidP="003D1758">
            <w:pPr>
              <w:rPr>
                <w:rFonts w:asciiTheme="majorBidi" w:hAnsiTheme="majorBidi" w:cstheme="majorBidi"/>
              </w:rPr>
            </w:pPr>
            <w:r w:rsidRPr="003D1758">
              <w:rPr>
                <w:rFonts w:asciiTheme="majorBidi" w:hAnsiTheme="majorBidi" w:cstheme="majorBidi"/>
              </w:rPr>
              <w:t>1.64 (1.12-2.41)</w:t>
            </w:r>
          </w:p>
        </w:tc>
        <w:tc>
          <w:tcPr>
            <w:tcW w:w="1224" w:type="dxa"/>
            <w:tcMar>
              <w:top w:w="25" w:type="dxa"/>
              <w:left w:w="70" w:type="dxa"/>
              <w:bottom w:w="25" w:type="dxa"/>
              <w:right w:w="70" w:type="dxa"/>
            </w:tcMar>
            <w:hideMark/>
          </w:tcPr>
          <w:p w14:paraId="48D03FDC" w14:textId="77777777" w:rsidR="003D1758" w:rsidRPr="003D1758" w:rsidRDefault="003D1758" w:rsidP="003D1758">
            <w:pPr>
              <w:rPr>
                <w:rFonts w:asciiTheme="majorBidi" w:hAnsiTheme="majorBidi" w:cstheme="majorBidi"/>
              </w:rPr>
            </w:pPr>
            <w:r w:rsidRPr="003D1758">
              <w:rPr>
                <w:rFonts w:asciiTheme="majorBidi" w:hAnsiTheme="majorBidi" w:cstheme="majorBidi"/>
              </w:rPr>
              <w:t>.012</w:t>
            </w:r>
          </w:p>
        </w:tc>
      </w:tr>
      <w:tr w:rsidR="003D1758" w:rsidRPr="003D1758" w14:paraId="727FB609" w14:textId="77777777">
        <w:trPr>
          <w:jc w:val="center"/>
        </w:trPr>
        <w:tc>
          <w:tcPr>
            <w:tcW w:w="2376" w:type="dxa"/>
            <w:tcMar>
              <w:top w:w="25" w:type="dxa"/>
              <w:left w:w="70" w:type="dxa"/>
              <w:bottom w:w="25" w:type="dxa"/>
              <w:right w:w="70" w:type="dxa"/>
            </w:tcMar>
          </w:tcPr>
          <w:p w14:paraId="328EB1E0"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274AAFD3"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 SGLT2i</w:t>
            </w:r>
          </w:p>
        </w:tc>
        <w:tc>
          <w:tcPr>
            <w:tcW w:w="2088" w:type="dxa"/>
            <w:tcMar>
              <w:top w:w="25" w:type="dxa"/>
              <w:left w:w="70" w:type="dxa"/>
              <w:bottom w:w="25" w:type="dxa"/>
              <w:right w:w="70" w:type="dxa"/>
            </w:tcMar>
            <w:hideMark/>
          </w:tcPr>
          <w:p w14:paraId="7747F622" w14:textId="77777777" w:rsidR="003D1758" w:rsidRPr="003D1758" w:rsidRDefault="003D1758" w:rsidP="003D1758">
            <w:pPr>
              <w:rPr>
                <w:rFonts w:asciiTheme="majorBidi" w:hAnsiTheme="majorBidi" w:cstheme="majorBidi"/>
              </w:rPr>
            </w:pPr>
            <w:r w:rsidRPr="003D1758">
              <w:rPr>
                <w:rFonts w:asciiTheme="majorBidi" w:hAnsiTheme="majorBidi" w:cstheme="majorBidi"/>
              </w:rPr>
              <w:t>1.33 (0.86-2.05)</w:t>
            </w:r>
          </w:p>
        </w:tc>
        <w:tc>
          <w:tcPr>
            <w:tcW w:w="1224" w:type="dxa"/>
            <w:tcMar>
              <w:top w:w="25" w:type="dxa"/>
              <w:left w:w="70" w:type="dxa"/>
              <w:bottom w:w="25" w:type="dxa"/>
              <w:right w:w="70" w:type="dxa"/>
            </w:tcMar>
            <w:hideMark/>
          </w:tcPr>
          <w:p w14:paraId="1EBA774E" w14:textId="77777777" w:rsidR="003D1758" w:rsidRPr="003D1758" w:rsidRDefault="003D1758" w:rsidP="003D1758">
            <w:pPr>
              <w:rPr>
                <w:rFonts w:asciiTheme="majorBidi" w:hAnsiTheme="majorBidi" w:cstheme="majorBidi"/>
              </w:rPr>
            </w:pPr>
            <w:r w:rsidRPr="003D1758">
              <w:rPr>
                <w:rFonts w:asciiTheme="majorBidi" w:hAnsiTheme="majorBidi" w:cstheme="majorBidi"/>
              </w:rPr>
              <w:t>.202</w:t>
            </w:r>
          </w:p>
        </w:tc>
      </w:tr>
      <w:tr w:rsidR="003D1758" w:rsidRPr="003D1758" w14:paraId="0357C091" w14:textId="77777777">
        <w:trPr>
          <w:jc w:val="center"/>
        </w:trPr>
        <w:tc>
          <w:tcPr>
            <w:tcW w:w="2376" w:type="dxa"/>
            <w:tcBorders>
              <w:top w:val="single" w:sz="4" w:space="0" w:color="BFBFBF"/>
              <w:left w:val="nil"/>
              <w:bottom w:val="nil"/>
              <w:right w:val="nil"/>
            </w:tcBorders>
            <w:tcMar>
              <w:top w:w="25" w:type="dxa"/>
              <w:left w:w="70" w:type="dxa"/>
              <w:bottom w:w="25" w:type="dxa"/>
              <w:right w:w="70" w:type="dxa"/>
            </w:tcMar>
            <w:hideMark/>
          </w:tcPr>
          <w:p w14:paraId="28777B25"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Major amputation</w:t>
            </w:r>
          </w:p>
        </w:tc>
        <w:tc>
          <w:tcPr>
            <w:tcW w:w="3960" w:type="dxa"/>
            <w:tcBorders>
              <w:top w:val="single" w:sz="4" w:space="0" w:color="BFBFBF"/>
              <w:left w:val="nil"/>
              <w:bottom w:val="nil"/>
              <w:right w:val="nil"/>
            </w:tcBorders>
            <w:tcMar>
              <w:top w:w="25" w:type="dxa"/>
              <w:left w:w="70" w:type="dxa"/>
              <w:bottom w:w="25" w:type="dxa"/>
              <w:right w:w="70" w:type="dxa"/>
            </w:tcMar>
            <w:hideMark/>
          </w:tcPr>
          <w:p w14:paraId="0ABC084C"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No GLP1-RA and no SGLT2i</w:t>
            </w:r>
          </w:p>
        </w:tc>
        <w:tc>
          <w:tcPr>
            <w:tcW w:w="2088" w:type="dxa"/>
            <w:tcBorders>
              <w:top w:val="single" w:sz="4" w:space="0" w:color="BFBFBF"/>
              <w:left w:val="nil"/>
              <w:bottom w:val="nil"/>
              <w:right w:val="nil"/>
            </w:tcBorders>
            <w:tcMar>
              <w:top w:w="25" w:type="dxa"/>
              <w:left w:w="70" w:type="dxa"/>
              <w:bottom w:w="25" w:type="dxa"/>
              <w:right w:w="70" w:type="dxa"/>
            </w:tcMar>
            <w:hideMark/>
          </w:tcPr>
          <w:p w14:paraId="6A96F485" w14:textId="77777777" w:rsidR="003D1758" w:rsidRPr="003D1758" w:rsidRDefault="003D1758" w:rsidP="003D1758">
            <w:pPr>
              <w:rPr>
                <w:rFonts w:asciiTheme="majorBidi" w:hAnsiTheme="majorBidi" w:cstheme="majorBidi"/>
              </w:rPr>
            </w:pPr>
            <w:r w:rsidRPr="003D1758">
              <w:rPr>
                <w:rFonts w:asciiTheme="majorBidi" w:hAnsiTheme="majorBidi" w:cstheme="majorBidi"/>
              </w:rPr>
              <w:t>Reference</w:t>
            </w:r>
          </w:p>
        </w:tc>
        <w:tc>
          <w:tcPr>
            <w:tcW w:w="1224" w:type="dxa"/>
            <w:tcBorders>
              <w:top w:val="single" w:sz="4" w:space="0" w:color="BFBFBF"/>
              <w:left w:val="nil"/>
              <w:bottom w:val="nil"/>
              <w:right w:val="nil"/>
            </w:tcBorders>
            <w:tcMar>
              <w:top w:w="25" w:type="dxa"/>
              <w:left w:w="70" w:type="dxa"/>
              <w:bottom w:w="25" w:type="dxa"/>
              <w:right w:w="70" w:type="dxa"/>
            </w:tcMar>
          </w:tcPr>
          <w:p w14:paraId="3C2F72E6" w14:textId="77777777" w:rsidR="003D1758" w:rsidRPr="003D1758" w:rsidRDefault="003D1758" w:rsidP="003D1758">
            <w:pPr>
              <w:rPr>
                <w:rFonts w:asciiTheme="majorBidi" w:hAnsiTheme="majorBidi" w:cstheme="majorBidi"/>
              </w:rPr>
            </w:pPr>
          </w:p>
        </w:tc>
      </w:tr>
      <w:tr w:rsidR="003D1758" w:rsidRPr="003D1758" w14:paraId="6A68A60D" w14:textId="77777777">
        <w:trPr>
          <w:jc w:val="center"/>
        </w:trPr>
        <w:tc>
          <w:tcPr>
            <w:tcW w:w="2376" w:type="dxa"/>
            <w:tcMar>
              <w:top w:w="25" w:type="dxa"/>
              <w:left w:w="70" w:type="dxa"/>
              <w:bottom w:w="25" w:type="dxa"/>
              <w:right w:w="70" w:type="dxa"/>
            </w:tcMar>
          </w:tcPr>
          <w:p w14:paraId="58833A70"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3D65CAA1"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alone</w:t>
            </w:r>
          </w:p>
        </w:tc>
        <w:tc>
          <w:tcPr>
            <w:tcW w:w="2088" w:type="dxa"/>
            <w:tcMar>
              <w:top w:w="25" w:type="dxa"/>
              <w:left w:w="70" w:type="dxa"/>
              <w:bottom w:w="25" w:type="dxa"/>
              <w:right w:w="70" w:type="dxa"/>
            </w:tcMar>
            <w:hideMark/>
          </w:tcPr>
          <w:p w14:paraId="051B6A91" w14:textId="77777777" w:rsidR="003D1758" w:rsidRPr="003D1758" w:rsidRDefault="003D1758" w:rsidP="003D1758">
            <w:pPr>
              <w:rPr>
                <w:rFonts w:asciiTheme="majorBidi" w:hAnsiTheme="majorBidi" w:cstheme="majorBidi"/>
              </w:rPr>
            </w:pPr>
            <w:r w:rsidRPr="003D1758">
              <w:rPr>
                <w:rFonts w:asciiTheme="majorBidi" w:hAnsiTheme="majorBidi" w:cstheme="majorBidi"/>
              </w:rPr>
              <w:t>1.03 (0.66-1.60)</w:t>
            </w:r>
          </w:p>
        </w:tc>
        <w:tc>
          <w:tcPr>
            <w:tcW w:w="1224" w:type="dxa"/>
            <w:tcMar>
              <w:top w:w="25" w:type="dxa"/>
              <w:left w:w="70" w:type="dxa"/>
              <w:bottom w:w="25" w:type="dxa"/>
              <w:right w:w="70" w:type="dxa"/>
            </w:tcMar>
            <w:hideMark/>
          </w:tcPr>
          <w:p w14:paraId="07D3FB9F" w14:textId="77777777" w:rsidR="003D1758" w:rsidRPr="003D1758" w:rsidRDefault="003D1758" w:rsidP="003D1758">
            <w:pPr>
              <w:rPr>
                <w:rFonts w:asciiTheme="majorBidi" w:hAnsiTheme="majorBidi" w:cstheme="majorBidi"/>
              </w:rPr>
            </w:pPr>
            <w:r w:rsidRPr="003D1758">
              <w:rPr>
                <w:rFonts w:asciiTheme="majorBidi" w:hAnsiTheme="majorBidi" w:cstheme="majorBidi"/>
              </w:rPr>
              <w:t>.909</w:t>
            </w:r>
          </w:p>
        </w:tc>
      </w:tr>
      <w:tr w:rsidR="003D1758" w:rsidRPr="003D1758" w14:paraId="0A4F03B1" w14:textId="77777777">
        <w:trPr>
          <w:jc w:val="center"/>
        </w:trPr>
        <w:tc>
          <w:tcPr>
            <w:tcW w:w="2376" w:type="dxa"/>
            <w:tcMar>
              <w:top w:w="25" w:type="dxa"/>
              <w:left w:w="70" w:type="dxa"/>
              <w:bottom w:w="25" w:type="dxa"/>
              <w:right w:w="70" w:type="dxa"/>
            </w:tcMar>
          </w:tcPr>
          <w:p w14:paraId="4BB72FC4"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4DB05362"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SGLT2i alone</w:t>
            </w:r>
          </w:p>
        </w:tc>
        <w:tc>
          <w:tcPr>
            <w:tcW w:w="2088" w:type="dxa"/>
            <w:tcMar>
              <w:top w:w="25" w:type="dxa"/>
              <w:left w:w="70" w:type="dxa"/>
              <w:bottom w:w="25" w:type="dxa"/>
              <w:right w:w="70" w:type="dxa"/>
            </w:tcMar>
            <w:hideMark/>
          </w:tcPr>
          <w:p w14:paraId="007BC700" w14:textId="77777777" w:rsidR="003D1758" w:rsidRPr="003D1758" w:rsidRDefault="003D1758" w:rsidP="003D1758">
            <w:pPr>
              <w:rPr>
                <w:rFonts w:asciiTheme="majorBidi" w:hAnsiTheme="majorBidi" w:cstheme="majorBidi"/>
              </w:rPr>
            </w:pPr>
            <w:r w:rsidRPr="003D1758">
              <w:rPr>
                <w:rFonts w:asciiTheme="majorBidi" w:hAnsiTheme="majorBidi" w:cstheme="majorBidi"/>
              </w:rPr>
              <w:t>1.26 (0.87-1.83)</w:t>
            </w:r>
          </w:p>
        </w:tc>
        <w:tc>
          <w:tcPr>
            <w:tcW w:w="1224" w:type="dxa"/>
            <w:tcMar>
              <w:top w:w="25" w:type="dxa"/>
              <w:left w:w="70" w:type="dxa"/>
              <w:bottom w:w="25" w:type="dxa"/>
              <w:right w:w="70" w:type="dxa"/>
            </w:tcMar>
            <w:hideMark/>
          </w:tcPr>
          <w:p w14:paraId="278DE9CC" w14:textId="77777777" w:rsidR="003D1758" w:rsidRPr="003D1758" w:rsidRDefault="003D1758" w:rsidP="003D1758">
            <w:pPr>
              <w:rPr>
                <w:rFonts w:asciiTheme="majorBidi" w:hAnsiTheme="majorBidi" w:cstheme="majorBidi"/>
              </w:rPr>
            </w:pPr>
            <w:r w:rsidRPr="003D1758">
              <w:rPr>
                <w:rFonts w:asciiTheme="majorBidi" w:hAnsiTheme="majorBidi" w:cstheme="majorBidi"/>
              </w:rPr>
              <w:t>.216</w:t>
            </w:r>
          </w:p>
        </w:tc>
      </w:tr>
      <w:tr w:rsidR="003D1758" w:rsidRPr="003D1758" w14:paraId="1BEC4A7B" w14:textId="77777777">
        <w:trPr>
          <w:jc w:val="center"/>
        </w:trPr>
        <w:tc>
          <w:tcPr>
            <w:tcW w:w="2376" w:type="dxa"/>
            <w:tcMar>
              <w:top w:w="25" w:type="dxa"/>
              <w:left w:w="70" w:type="dxa"/>
              <w:bottom w:w="25" w:type="dxa"/>
              <w:right w:w="70" w:type="dxa"/>
            </w:tcMar>
          </w:tcPr>
          <w:p w14:paraId="144D4E58"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74C3482A"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 SGLT2i</w:t>
            </w:r>
          </w:p>
        </w:tc>
        <w:tc>
          <w:tcPr>
            <w:tcW w:w="2088" w:type="dxa"/>
            <w:tcMar>
              <w:top w:w="25" w:type="dxa"/>
              <w:left w:w="70" w:type="dxa"/>
              <w:bottom w:w="25" w:type="dxa"/>
              <w:right w:w="70" w:type="dxa"/>
            </w:tcMar>
            <w:hideMark/>
          </w:tcPr>
          <w:p w14:paraId="02B472AD" w14:textId="77777777" w:rsidR="003D1758" w:rsidRPr="003D1758" w:rsidRDefault="003D1758" w:rsidP="003D1758">
            <w:pPr>
              <w:rPr>
                <w:rFonts w:asciiTheme="majorBidi" w:hAnsiTheme="majorBidi" w:cstheme="majorBidi"/>
              </w:rPr>
            </w:pPr>
            <w:r w:rsidRPr="003D1758">
              <w:rPr>
                <w:rFonts w:asciiTheme="majorBidi" w:hAnsiTheme="majorBidi" w:cstheme="majorBidi"/>
              </w:rPr>
              <w:t>1.24 (0.85-1.82)</w:t>
            </w:r>
          </w:p>
        </w:tc>
        <w:tc>
          <w:tcPr>
            <w:tcW w:w="1224" w:type="dxa"/>
            <w:tcMar>
              <w:top w:w="25" w:type="dxa"/>
              <w:left w:w="70" w:type="dxa"/>
              <w:bottom w:w="25" w:type="dxa"/>
              <w:right w:w="70" w:type="dxa"/>
            </w:tcMar>
            <w:hideMark/>
          </w:tcPr>
          <w:p w14:paraId="5FA01902" w14:textId="77777777" w:rsidR="003D1758" w:rsidRPr="003D1758" w:rsidRDefault="003D1758" w:rsidP="003D1758">
            <w:pPr>
              <w:rPr>
                <w:rFonts w:asciiTheme="majorBidi" w:hAnsiTheme="majorBidi" w:cstheme="majorBidi"/>
              </w:rPr>
            </w:pPr>
            <w:r w:rsidRPr="003D1758">
              <w:rPr>
                <w:rFonts w:asciiTheme="majorBidi" w:hAnsiTheme="majorBidi" w:cstheme="majorBidi"/>
              </w:rPr>
              <w:t>.259</w:t>
            </w:r>
          </w:p>
        </w:tc>
      </w:tr>
      <w:tr w:rsidR="003D1758" w:rsidRPr="003D1758" w14:paraId="3ABBDEE8" w14:textId="77777777">
        <w:trPr>
          <w:jc w:val="center"/>
        </w:trPr>
        <w:tc>
          <w:tcPr>
            <w:tcW w:w="2376" w:type="dxa"/>
            <w:tcBorders>
              <w:top w:val="single" w:sz="4" w:space="0" w:color="BFBFBF"/>
              <w:left w:val="nil"/>
              <w:bottom w:val="nil"/>
              <w:right w:val="nil"/>
            </w:tcBorders>
            <w:tcMar>
              <w:top w:w="25" w:type="dxa"/>
              <w:left w:w="70" w:type="dxa"/>
              <w:bottom w:w="25" w:type="dxa"/>
              <w:right w:w="70" w:type="dxa"/>
            </w:tcMar>
            <w:hideMark/>
          </w:tcPr>
          <w:p w14:paraId="52F2189D"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All-cause mortality</w:t>
            </w:r>
          </w:p>
        </w:tc>
        <w:tc>
          <w:tcPr>
            <w:tcW w:w="3960" w:type="dxa"/>
            <w:tcBorders>
              <w:top w:val="single" w:sz="4" w:space="0" w:color="BFBFBF"/>
              <w:left w:val="nil"/>
              <w:bottom w:val="nil"/>
              <w:right w:val="nil"/>
            </w:tcBorders>
            <w:tcMar>
              <w:top w:w="25" w:type="dxa"/>
              <w:left w:w="70" w:type="dxa"/>
              <w:bottom w:w="25" w:type="dxa"/>
              <w:right w:w="70" w:type="dxa"/>
            </w:tcMar>
            <w:hideMark/>
          </w:tcPr>
          <w:p w14:paraId="2CA72743"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No GLP1-RA and no SGLT2i</w:t>
            </w:r>
          </w:p>
        </w:tc>
        <w:tc>
          <w:tcPr>
            <w:tcW w:w="2088" w:type="dxa"/>
            <w:tcBorders>
              <w:top w:val="single" w:sz="4" w:space="0" w:color="BFBFBF"/>
              <w:left w:val="nil"/>
              <w:bottom w:val="nil"/>
              <w:right w:val="nil"/>
            </w:tcBorders>
            <w:tcMar>
              <w:top w:w="25" w:type="dxa"/>
              <w:left w:w="70" w:type="dxa"/>
              <w:bottom w:w="25" w:type="dxa"/>
              <w:right w:w="70" w:type="dxa"/>
            </w:tcMar>
            <w:hideMark/>
          </w:tcPr>
          <w:p w14:paraId="239A0238" w14:textId="77777777" w:rsidR="003D1758" w:rsidRPr="003D1758" w:rsidRDefault="003D1758" w:rsidP="003D1758">
            <w:pPr>
              <w:rPr>
                <w:rFonts w:asciiTheme="majorBidi" w:hAnsiTheme="majorBidi" w:cstheme="majorBidi"/>
              </w:rPr>
            </w:pPr>
            <w:r w:rsidRPr="003D1758">
              <w:rPr>
                <w:rFonts w:asciiTheme="majorBidi" w:hAnsiTheme="majorBidi" w:cstheme="majorBidi"/>
              </w:rPr>
              <w:t>Reference</w:t>
            </w:r>
          </w:p>
        </w:tc>
        <w:tc>
          <w:tcPr>
            <w:tcW w:w="1224" w:type="dxa"/>
            <w:tcBorders>
              <w:top w:val="single" w:sz="4" w:space="0" w:color="BFBFBF"/>
              <w:left w:val="nil"/>
              <w:bottom w:val="nil"/>
              <w:right w:val="nil"/>
            </w:tcBorders>
            <w:tcMar>
              <w:top w:w="25" w:type="dxa"/>
              <w:left w:w="70" w:type="dxa"/>
              <w:bottom w:w="25" w:type="dxa"/>
              <w:right w:w="70" w:type="dxa"/>
            </w:tcMar>
          </w:tcPr>
          <w:p w14:paraId="6653DFC1" w14:textId="77777777" w:rsidR="003D1758" w:rsidRPr="003D1758" w:rsidRDefault="003D1758" w:rsidP="003D1758">
            <w:pPr>
              <w:rPr>
                <w:rFonts w:asciiTheme="majorBidi" w:hAnsiTheme="majorBidi" w:cstheme="majorBidi"/>
              </w:rPr>
            </w:pPr>
          </w:p>
        </w:tc>
      </w:tr>
      <w:tr w:rsidR="003D1758" w:rsidRPr="003D1758" w14:paraId="0BADA25B" w14:textId="77777777">
        <w:trPr>
          <w:jc w:val="center"/>
        </w:trPr>
        <w:tc>
          <w:tcPr>
            <w:tcW w:w="2376" w:type="dxa"/>
            <w:tcMar>
              <w:top w:w="25" w:type="dxa"/>
              <w:left w:w="70" w:type="dxa"/>
              <w:bottom w:w="25" w:type="dxa"/>
              <w:right w:w="70" w:type="dxa"/>
            </w:tcMar>
          </w:tcPr>
          <w:p w14:paraId="5463446B"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7F44AA6A"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alone</w:t>
            </w:r>
          </w:p>
        </w:tc>
        <w:tc>
          <w:tcPr>
            <w:tcW w:w="2088" w:type="dxa"/>
            <w:tcMar>
              <w:top w:w="25" w:type="dxa"/>
              <w:left w:w="70" w:type="dxa"/>
              <w:bottom w:w="25" w:type="dxa"/>
              <w:right w:w="70" w:type="dxa"/>
            </w:tcMar>
            <w:hideMark/>
          </w:tcPr>
          <w:p w14:paraId="084A93C8" w14:textId="77777777" w:rsidR="003D1758" w:rsidRPr="003D1758" w:rsidRDefault="003D1758" w:rsidP="003D1758">
            <w:pPr>
              <w:rPr>
                <w:rFonts w:asciiTheme="majorBidi" w:hAnsiTheme="majorBidi" w:cstheme="majorBidi"/>
              </w:rPr>
            </w:pPr>
            <w:r w:rsidRPr="003D1758">
              <w:rPr>
                <w:rFonts w:asciiTheme="majorBidi" w:hAnsiTheme="majorBidi" w:cstheme="majorBidi"/>
              </w:rPr>
              <w:t>0.63 (0.55-0.72)</w:t>
            </w:r>
          </w:p>
        </w:tc>
        <w:tc>
          <w:tcPr>
            <w:tcW w:w="1224" w:type="dxa"/>
            <w:tcMar>
              <w:top w:w="25" w:type="dxa"/>
              <w:left w:w="70" w:type="dxa"/>
              <w:bottom w:w="25" w:type="dxa"/>
              <w:right w:w="70" w:type="dxa"/>
            </w:tcMar>
            <w:hideMark/>
          </w:tcPr>
          <w:p w14:paraId="30140918" w14:textId="77777777" w:rsidR="003D1758" w:rsidRPr="003D1758" w:rsidRDefault="003D1758" w:rsidP="003D1758">
            <w:pPr>
              <w:rPr>
                <w:rFonts w:asciiTheme="majorBidi" w:hAnsiTheme="majorBidi" w:cstheme="majorBidi"/>
              </w:rPr>
            </w:pPr>
            <w:r w:rsidRPr="003D1758">
              <w:rPr>
                <w:rFonts w:asciiTheme="majorBidi" w:hAnsiTheme="majorBidi" w:cstheme="majorBidi"/>
              </w:rPr>
              <w:t>&lt;.001</w:t>
            </w:r>
          </w:p>
        </w:tc>
      </w:tr>
      <w:tr w:rsidR="003D1758" w:rsidRPr="003D1758" w14:paraId="4921F1DE" w14:textId="77777777">
        <w:trPr>
          <w:jc w:val="center"/>
        </w:trPr>
        <w:tc>
          <w:tcPr>
            <w:tcW w:w="2376" w:type="dxa"/>
            <w:tcMar>
              <w:top w:w="25" w:type="dxa"/>
              <w:left w:w="70" w:type="dxa"/>
              <w:bottom w:w="25" w:type="dxa"/>
              <w:right w:w="70" w:type="dxa"/>
            </w:tcMar>
          </w:tcPr>
          <w:p w14:paraId="1F3A3F39" w14:textId="77777777" w:rsidR="003D1758" w:rsidRPr="003D1758" w:rsidRDefault="003D1758" w:rsidP="003D1758">
            <w:pPr>
              <w:rPr>
                <w:rFonts w:asciiTheme="majorBidi" w:hAnsiTheme="majorBidi" w:cstheme="majorBidi"/>
                <w:b/>
                <w:bCs/>
              </w:rPr>
            </w:pPr>
          </w:p>
        </w:tc>
        <w:tc>
          <w:tcPr>
            <w:tcW w:w="3960" w:type="dxa"/>
            <w:tcMar>
              <w:top w:w="25" w:type="dxa"/>
              <w:left w:w="70" w:type="dxa"/>
              <w:bottom w:w="25" w:type="dxa"/>
              <w:right w:w="70" w:type="dxa"/>
            </w:tcMar>
            <w:hideMark/>
          </w:tcPr>
          <w:p w14:paraId="18983019"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SGLT2i alone</w:t>
            </w:r>
          </w:p>
        </w:tc>
        <w:tc>
          <w:tcPr>
            <w:tcW w:w="2088" w:type="dxa"/>
            <w:tcMar>
              <w:top w:w="25" w:type="dxa"/>
              <w:left w:w="70" w:type="dxa"/>
              <w:bottom w:w="25" w:type="dxa"/>
              <w:right w:w="70" w:type="dxa"/>
            </w:tcMar>
            <w:hideMark/>
          </w:tcPr>
          <w:p w14:paraId="2179E003" w14:textId="77777777" w:rsidR="003D1758" w:rsidRPr="003D1758" w:rsidRDefault="003D1758" w:rsidP="003D1758">
            <w:pPr>
              <w:rPr>
                <w:rFonts w:asciiTheme="majorBidi" w:hAnsiTheme="majorBidi" w:cstheme="majorBidi"/>
              </w:rPr>
            </w:pPr>
            <w:r w:rsidRPr="003D1758">
              <w:rPr>
                <w:rFonts w:asciiTheme="majorBidi" w:hAnsiTheme="majorBidi" w:cstheme="majorBidi"/>
              </w:rPr>
              <w:t>0.82 (0.75-0.91)</w:t>
            </w:r>
          </w:p>
        </w:tc>
        <w:tc>
          <w:tcPr>
            <w:tcW w:w="1224" w:type="dxa"/>
            <w:tcMar>
              <w:top w:w="25" w:type="dxa"/>
              <w:left w:w="70" w:type="dxa"/>
              <w:bottom w:w="25" w:type="dxa"/>
              <w:right w:w="70" w:type="dxa"/>
            </w:tcMar>
            <w:hideMark/>
          </w:tcPr>
          <w:p w14:paraId="5B939E04" w14:textId="77777777" w:rsidR="003D1758" w:rsidRPr="003D1758" w:rsidRDefault="003D1758" w:rsidP="003D1758">
            <w:pPr>
              <w:rPr>
                <w:rFonts w:asciiTheme="majorBidi" w:hAnsiTheme="majorBidi" w:cstheme="majorBidi"/>
              </w:rPr>
            </w:pPr>
            <w:r w:rsidRPr="003D1758">
              <w:rPr>
                <w:rFonts w:asciiTheme="majorBidi" w:hAnsiTheme="majorBidi" w:cstheme="majorBidi"/>
              </w:rPr>
              <w:t>&lt;.001</w:t>
            </w:r>
          </w:p>
        </w:tc>
      </w:tr>
      <w:tr w:rsidR="003D1758" w:rsidRPr="003D1758" w14:paraId="6C44ECC0" w14:textId="77777777">
        <w:trPr>
          <w:jc w:val="center"/>
        </w:trPr>
        <w:tc>
          <w:tcPr>
            <w:tcW w:w="2376" w:type="dxa"/>
            <w:tcBorders>
              <w:top w:val="nil"/>
              <w:left w:val="nil"/>
              <w:bottom w:val="single" w:sz="8" w:space="0" w:color="000000"/>
              <w:right w:val="nil"/>
            </w:tcBorders>
            <w:tcMar>
              <w:top w:w="25" w:type="dxa"/>
              <w:left w:w="70" w:type="dxa"/>
              <w:bottom w:w="25" w:type="dxa"/>
              <w:right w:w="70" w:type="dxa"/>
            </w:tcMar>
          </w:tcPr>
          <w:p w14:paraId="3648B980" w14:textId="77777777" w:rsidR="003D1758" w:rsidRPr="003D1758" w:rsidRDefault="003D1758" w:rsidP="003D1758">
            <w:pPr>
              <w:rPr>
                <w:rFonts w:asciiTheme="majorBidi" w:hAnsiTheme="majorBidi" w:cstheme="majorBidi"/>
                <w:b/>
                <w:bCs/>
              </w:rPr>
            </w:pPr>
          </w:p>
        </w:tc>
        <w:tc>
          <w:tcPr>
            <w:tcW w:w="3960" w:type="dxa"/>
            <w:tcBorders>
              <w:top w:val="nil"/>
              <w:left w:val="nil"/>
              <w:bottom w:val="single" w:sz="8" w:space="0" w:color="000000"/>
              <w:right w:val="nil"/>
            </w:tcBorders>
            <w:tcMar>
              <w:top w:w="25" w:type="dxa"/>
              <w:left w:w="70" w:type="dxa"/>
              <w:bottom w:w="25" w:type="dxa"/>
              <w:right w:w="70" w:type="dxa"/>
            </w:tcMar>
            <w:hideMark/>
          </w:tcPr>
          <w:p w14:paraId="1F0133E7" w14:textId="77777777" w:rsidR="003D1758" w:rsidRPr="003D1758" w:rsidRDefault="003D1758" w:rsidP="003D1758">
            <w:pPr>
              <w:rPr>
                <w:rFonts w:asciiTheme="majorBidi" w:hAnsiTheme="majorBidi" w:cstheme="majorBidi"/>
                <w:b/>
                <w:bCs/>
              </w:rPr>
            </w:pPr>
            <w:r w:rsidRPr="003D1758">
              <w:rPr>
                <w:rFonts w:asciiTheme="majorBidi" w:hAnsiTheme="majorBidi" w:cstheme="majorBidi"/>
                <w:b/>
                <w:bCs/>
              </w:rPr>
              <w:t>GLP1-RA + SGLT2i</w:t>
            </w:r>
          </w:p>
        </w:tc>
        <w:tc>
          <w:tcPr>
            <w:tcW w:w="2088" w:type="dxa"/>
            <w:tcBorders>
              <w:top w:val="nil"/>
              <w:left w:val="nil"/>
              <w:bottom w:val="single" w:sz="8" w:space="0" w:color="000000"/>
              <w:right w:val="nil"/>
            </w:tcBorders>
            <w:tcMar>
              <w:top w:w="25" w:type="dxa"/>
              <w:left w:w="70" w:type="dxa"/>
              <w:bottom w:w="25" w:type="dxa"/>
              <w:right w:w="70" w:type="dxa"/>
            </w:tcMar>
            <w:hideMark/>
          </w:tcPr>
          <w:p w14:paraId="0C30D493" w14:textId="77777777" w:rsidR="003D1758" w:rsidRPr="003D1758" w:rsidRDefault="003D1758" w:rsidP="003D1758">
            <w:pPr>
              <w:rPr>
                <w:rFonts w:asciiTheme="majorBidi" w:hAnsiTheme="majorBidi" w:cstheme="majorBidi"/>
              </w:rPr>
            </w:pPr>
            <w:r w:rsidRPr="003D1758">
              <w:rPr>
                <w:rFonts w:asciiTheme="majorBidi" w:hAnsiTheme="majorBidi" w:cstheme="majorBidi"/>
              </w:rPr>
              <w:t>0.63 (0.57-0.70)</w:t>
            </w:r>
          </w:p>
        </w:tc>
        <w:tc>
          <w:tcPr>
            <w:tcW w:w="1224" w:type="dxa"/>
            <w:tcBorders>
              <w:top w:val="nil"/>
              <w:left w:val="nil"/>
              <w:bottom w:val="single" w:sz="8" w:space="0" w:color="000000"/>
              <w:right w:val="nil"/>
            </w:tcBorders>
            <w:tcMar>
              <w:top w:w="25" w:type="dxa"/>
              <w:left w:w="70" w:type="dxa"/>
              <w:bottom w:w="25" w:type="dxa"/>
              <w:right w:w="70" w:type="dxa"/>
            </w:tcMar>
            <w:hideMark/>
          </w:tcPr>
          <w:p w14:paraId="4857D2F5" w14:textId="77777777" w:rsidR="003D1758" w:rsidRPr="003D1758" w:rsidRDefault="003D1758" w:rsidP="003D1758">
            <w:pPr>
              <w:rPr>
                <w:rFonts w:asciiTheme="majorBidi" w:hAnsiTheme="majorBidi" w:cstheme="majorBidi"/>
              </w:rPr>
            </w:pPr>
            <w:r w:rsidRPr="003D1758">
              <w:rPr>
                <w:rFonts w:asciiTheme="majorBidi" w:hAnsiTheme="majorBidi" w:cstheme="majorBidi"/>
              </w:rPr>
              <w:t>&lt;.001</w:t>
            </w:r>
          </w:p>
        </w:tc>
      </w:tr>
    </w:tbl>
    <w:p w14:paraId="2B3B633C" w14:textId="77777777" w:rsidR="003D1758" w:rsidRPr="003D1758" w:rsidRDefault="003D1758" w:rsidP="003D1758">
      <w:pPr>
        <w:rPr>
          <w:rFonts w:asciiTheme="majorBidi" w:hAnsiTheme="majorBidi" w:cstheme="majorBidi"/>
        </w:rPr>
      </w:pPr>
      <w:r w:rsidRPr="003D1758">
        <w:rPr>
          <w:rFonts w:asciiTheme="majorBidi" w:hAnsiTheme="majorBidi" w:cstheme="majorBidi"/>
        </w:rPr>
        <w:t>Abbreviations: CI, confidence interval; GLP1-RA, glucagon-like peptide-1 receptor agonist; HR, hazard ratio; MALE, major adverse limb events; SGLT2i, sodium-glucose cotransporter-2 inhibitor.</w:t>
      </w:r>
    </w:p>
    <w:p w14:paraId="205AB46A" w14:textId="77777777" w:rsidR="003D1758" w:rsidRPr="003D1758" w:rsidRDefault="003D1758" w:rsidP="003D1758">
      <w:pPr>
        <w:rPr>
          <w:rFonts w:asciiTheme="majorBidi" w:hAnsiTheme="majorBidi" w:cstheme="majorBidi"/>
        </w:rPr>
      </w:pPr>
      <w:r w:rsidRPr="003D1758">
        <w:rPr>
          <w:rFonts w:asciiTheme="majorBidi" w:hAnsiTheme="majorBidi" w:cstheme="majorBidi"/>
        </w:rPr>
        <w:t>Note: In the time-varying analysis, patients contributed person-time to the no-treatment group until initiation of either therapy, to the corresponding monotherapy group after initiation of one drug class, and to the combined therapy group only after both GLP1-RA and SGLT2i had been initiated. The no GLP1-RA and no SGLT2i group served as the reference category.</w:t>
      </w:r>
    </w:p>
    <w:p w14:paraId="68AA5662" w14:textId="0E6D26BE" w:rsidR="004711D4" w:rsidRDefault="004711D4" w:rsidP="006C0228">
      <w:pPr>
        <w:rPr>
          <w:rFonts w:asciiTheme="majorBidi" w:hAnsiTheme="majorBidi" w:cstheme="majorBidi"/>
          <w:b/>
          <w:bCs/>
        </w:rPr>
      </w:pPr>
    </w:p>
    <w:p w14:paraId="0C73EF90" w14:textId="56BA250D" w:rsidR="006C0228" w:rsidRDefault="006C0228" w:rsidP="006C0228">
      <w:pPr>
        <w:rPr>
          <w:rFonts w:asciiTheme="majorBidi" w:hAnsiTheme="majorBidi" w:cstheme="majorBidi"/>
          <w:b/>
          <w:bCs/>
        </w:rPr>
      </w:pPr>
    </w:p>
    <w:p w14:paraId="3E2C5756" w14:textId="461F627F" w:rsidR="006C0228" w:rsidRDefault="006C0228" w:rsidP="006C0228">
      <w:pPr>
        <w:rPr>
          <w:rFonts w:asciiTheme="majorBidi" w:hAnsiTheme="majorBidi" w:cstheme="majorBidi"/>
          <w:b/>
          <w:bCs/>
        </w:rPr>
      </w:pPr>
    </w:p>
    <w:p w14:paraId="1158E833" w14:textId="3CA38273" w:rsidR="006C0228" w:rsidRDefault="006C0228" w:rsidP="006C0228">
      <w:pPr>
        <w:rPr>
          <w:rFonts w:asciiTheme="majorBidi" w:hAnsiTheme="majorBidi" w:cstheme="majorBidi"/>
          <w:b/>
          <w:bCs/>
          <w:rtl/>
        </w:rPr>
      </w:pPr>
    </w:p>
    <w:p w14:paraId="67D053BD" w14:textId="3E29566C" w:rsidR="00FB60C5" w:rsidRDefault="00FB60C5" w:rsidP="006C0228">
      <w:pPr>
        <w:rPr>
          <w:rFonts w:asciiTheme="majorBidi" w:hAnsiTheme="majorBidi" w:cstheme="majorBidi"/>
          <w:b/>
          <w:bCs/>
          <w:rtl/>
        </w:rPr>
      </w:pPr>
    </w:p>
    <w:p w14:paraId="52E54221" w14:textId="4026BE1C" w:rsidR="00FB60C5" w:rsidRDefault="00FB60C5" w:rsidP="006C0228">
      <w:pPr>
        <w:rPr>
          <w:rFonts w:asciiTheme="majorBidi" w:hAnsiTheme="majorBidi" w:cstheme="majorBidi"/>
          <w:b/>
          <w:bCs/>
          <w:rtl/>
        </w:rPr>
      </w:pPr>
    </w:p>
    <w:p w14:paraId="29581502" w14:textId="332AC997" w:rsidR="00FB60C5" w:rsidRDefault="00FB60C5" w:rsidP="006C0228">
      <w:pPr>
        <w:rPr>
          <w:rFonts w:asciiTheme="majorBidi" w:hAnsiTheme="majorBidi" w:cstheme="majorBidi"/>
          <w:b/>
          <w:bCs/>
          <w:rtl/>
        </w:rPr>
      </w:pPr>
    </w:p>
    <w:p w14:paraId="0B8473DC" w14:textId="77777777" w:rsidR="00FB60C5" w:rsidRDefault="00FB60C5" w:rsidP="006C0228">
      <w:pPr>
        <w:rPr>
          <w:rFonts w:asciiTheme="majorBidi" w:hAnsiTheme="majorBidi" w:cstheme="majorBidi"/>
          <w:b/>
          <w:bCs/>
        </w:rPr>
      </w:pPr>
    </w:p>
    <w:p w14:paraId="1E5FA20F" w14:textId="77777777" w:rsidR="006C0228" w:rsidRDefault="006C0228" w:rsidP="006C0228">
      <w:pPr>
        <w:rPr>
          <w:rFonts w:asciiTheme="majorBidi" w:hAnsiTheme="majorBidi" w:cstheme="majorBidi"/>
          <w:b/>
          <w:bCs/>
          <w:rtl/>
        </w:rPr>
      </w:pPr>
      <w:r>
        <w:rPr>
          <w:rFonts w:asciiTheme="majorBidi" w:hAnsiTheme="majorBidi" w:cstheme="majorBidi"/>
          <w:b/>
          <w:bCs/>
        </w:rPr>
        <w:t>eFigure1.</w:t>
      </w:r>
      <w:r w:rsidRPr="0075756C">
        <w:t xml:space="preserve"> </w:t>
      </w:r>
      <w:r w:rsidRPr="0075756C">
        <w:rPr>
          <w:rFonts w:asciiTheme="majorBidi" w:hAnsiTheme="majorBidi" w:cstheme="majorBidi"/>
          <w:b/>
          <w:bCs/>
        </w:rPr>
        <w:t>Covariate Balance Before and After Inverse Probability of Treatment Weighting</w:t>
      </w:r>
    </w:p>
    <w:p w14:paraId="55D8CDD3" w14:textId="77777777" w:rsidR="006C0228" w:rsidRDefault="006C0228" w:rsidP="006C0228">
      <w:pPr>
        <w:rPr>
          <w:rFonts w:asciiTheme="majorBidi" w:hAnsiTheme="majorBidi" w:cstheme="majorBidi"/>
          <w:b/>
          <w:bCs/>
        </w:rPr>
      </w:pPr>
      <w:r>
        <w:rPr>
          <w:rFonts w:asciiTheme="majorBidi" w:hAnsiTheme="majorBidi" w:cstheme="majorBidi"/>
          <w:b/>
          <w:bCs/>
          <w:noProof/>
        </w:rPr>
        <w:drawing>
          <wp:inline distT="0" distB="0" distL="0" distR="0" wp14:anchorId="795CF037" wp14:editId="7D7862A4">
            <wp:extent cx="3648584" cy="4572638"/>
            <wp:effectExtent l="0" t="0" r="9525" b="0"/>
            <wp:docPr id="1469926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26654" name="Picture 1469926654"/>
                    <pic:cNvPicPr/>
                  </pic:nvPicPr>
                  <pic:blipFill>
                    <a:blip r:embed="rId4">
                      <a:extLst>
                        <a:ext uri="{28A0092B-C50C-407E-A947-70E740481C1C}">
                          <a14:useLocalDpi xmlns:a14="http://schemas.microsoft.com/office/drawing/2010/main" val="0"/>
                        </a:ext>
                      </a:extLst>
                    </a:blip>
                    <a:stretch>
                      <a:fillRect/>
                    </a:stretch>
                  </pic:blipFill>
                  <pic:spPr>
                    <a:xfrm>
                      <a:off x="0" y="0"/>
                      <a:ext cx="3648584" cy="4572638"/>
                    </a:xfrm>
                    <a:prstGeom prst="rect">
                      <a:avLst/>
                    </a:prstGeom>
                  </pic:spPr>
                </pic:pic>
              </a:graphicData>
            </a:graphic>
          </wp:inline>
        </w:drawing>
      </w:r>
    </w:p>
    <w:p w14:paraId="6E1107A8" w14:textId="77777777" w:rsidR="006C0228" w:rsidRPr="00C10DAC" w:rsidRDefault="006C0228" w:rsidP="006C0228">
      <w:pPr>
        <w:rPr>
          <w:rFonts w:asciiTheme="majorBidi" w:hAnsiTheme="majorBidi" w:cstheme="majorBidi"/>
          <w:b/>
          <w:bCs/>
        </w:rPr>
      </w:pPr>
    </w:p>
    <w:sectPr w:rsidR="006C0228" w:rsidRPr="00C10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6F"/>
    <w:rsid w:val="0000469E"/>
    <w:rsid w:val="002C505C"/>
    <w:rsid w:val="00375661"/>
    <w:rsid w:val="003954FA"/>
    <w:rsid w:val="003D1758"/>
    <w:rsid w:val="0044206A"/>
    <w:rsid w:val="004711D4"/>
    <w:rsid w:val="004D2A15"/>
    <w:rsid w:val="004E15B6"/>
    <w:rsid w:val="006C0228"/>
    <w:rsid w:val="0075756C"/>
    <w:rsid w:val="007D6ECE"/>
    <w:rsid w:val="008B04FB"/>
    <w:rsid w:val="00902CB1"/>
    <w:rsid w:val="00994392"/>
    <w:rsid w:val="00BA1B80"/>
    <w:rsid w:val="00C03C70"/>
    <w:rsid w:val="00C10DAC"/>
    <w:rsid w:val="00CF366F"/>
    <w:rsid w:val="00D401D3"/>
    <w:rsid w:val="00F01F42"/>
    <w:rsid w:val="00F83A6F"/>
    <w:rsid w:val="00FB60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A8A80"/>
  <w15:chartTrackingRefBased/>
  <w15:docId w15:val="{12298DC2-87DB-4426-A73F-61C63CABE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F3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F36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F36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F36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3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6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36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36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36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36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3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66F"/>
    <w:rPr>
      <w:rFonts w:eastAsiaTheme="majorEastAsia" w:cstheme="majorBidi"/>
      <w:color w:val="272727" w:themeColor="text1" w:themeTint="D8"/>
    </w:rPr>
  </w:style>
  <w:style w:type="paragraph" w:styleId="Title">
    <w:name w:val="Title"/>
    <w:basedOn w:val="Normal"/>
    <w:next w:val="Normal"/>
    <w:link w:val="TitleChar"/>
    <w:uiPriority w:val="10"/>
    <w:qFormat/>
    <w:rsid w:val="00CF3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66F"/>
    <w:pPr>
      <w:spacing w:before="160"/>
      <w:jc w:val="center"/>
    </w:pPr>
    <w:rPr>
      <w:i/>
      <w:iCs/>
      <w:color w:val="404040" w:themeColor="text1" w:themeTint="BF"/>
    </w:rPr>
  </w:style>
  <w:style w:type="character" w:customStyle="1" w:styleId="QuoteChar">
    <w:name w:val="Quote Char"/>
    <w:basedOn w:val="DefaultParagraphFont"/>
    <w:link w:val="Quote"/>
    <w:uiPriority w:val="29"/>
    <w:rsid w:val="00CF366F"/>
    <w:rPr>
      <w:i/>
      <w:iCs/>
      <w:color w:val="404040" w:themeColor="text1" w:themeTint="BF"/>
    </w:rPr>
  </w:style>
  <w:style w:type="paragraph" w:styleId="ListParagraph">
    <w:name w:val="List Paragraph"/>
    <w:basedOn w:val="Normal"/>
    <w:uiPriority w:val="34"/>
    <w:qFormat/>
    <w:rsid w:val="00CF366F"/>
    <w:pPr>
      <w:ind w:left="720"/>
      <w:contextualSpacing/>
    </w:pPr>
  </w:style>
  <w:style w:type="character" w:styleId="IntenseEmphasis">
    <w:name w:val="Intense Emphasis"/>
    <w:basedOn w:val="DefaultParagraphFont"/>
    <w:uiPriority w:val="21"/>
    <w:qFormat/>
    <w:rsid w:val="00CF366F"/>
    <w:rPr>
      <w:i/>
      <w:iCs/>
      <w:color w:val="2F5496" w:themeColor="accent1" w:themeShade="BF"/>
    </w:rPr>
  </w:style>
  <w:style w:type="paragraph" w:styleId="IntenseQuote">
    <w:name w:val="Intense Quote"/>
    <w:basedOn w:val="Normal"/>
    <w:next w:val="Normal"/>
    <w:link w:val="IntenseQuoteChar"/>
    <w:uiPriority w:val="30"/>
    <w:qFormat/>
    <w:rsid w:val="00CF3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366F"/>
    <w:rPr>
      <w:i/>
      <w:iCs/>
      <w:color w:val="2F5496" w:themeColor="accent1" w:themeShade="BF"/>
    </w:rPr>
  </w:style>
  <w:style w:type="character" w:styleId="IntenseReference">
    <w:name w:val="Intense Reference"/>
    <w:basedOn w:val="DefaultParagraphFont"/>
    <w:uiPriority w:val="32"/>
    <w:qFormat/>
    <w:rsid w:val="00CF366F"/>
    <w:rPr>
      <w:b/>
      <w:bCs/>
      <w:smallCaps/>
      <w:color w:val="2F5496" w:themeColor="accent1" w:themeShade="BF"/>
      <w:spacing w:val="5"/>
    </w:rPr>
  </w:style>
  <w:style w:type="table" w:styleId="TableGrid">
    <w:name w:val="Table Grid"/>
    <w:basedOn w:val="TableNormal"/>
    <w:uiPriority w:val="39"/>
    <w:rsid w:val="00902CB1"/>
    <w:pPr>
      <w:spacing w:after="0" w:line="240" w:lineRule="auto"/>
    </w:pPr>
    <w:rPr>
      <w:sz w:val="22"/>
      <w:szCs w:val="22"/>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3authornames">
    <w:name w:val="MDPI_1.3_authornames"/>
    <w:next w:val="Normal"/>
    <w:uiPriority w:val="99"/>
    <w:qFormat/>
    <w:rsid w:val="00902CB1"/>
    <w:pPr>
      <w:adjustRightInd w:val="0"/>
      <w:snapToGrid w:val="0"/>
      <w:spacing w:after="360" w:line="260" w:lineRule="atLeast"/>
    </w:pPr>
    <w:rPr>
      <w:rFonts w:ascii="Palatino Linotype" w:eastAsia="Times New Roman" w:hAnsi="Palatino Linotype" w:cs="Times New Roman"/>
      <w:b/>
      <w:color w:val="000000"/>
      <w:kern w:val="0"/>
      <w:sz w:val="20"/>
      <w:szCs w:val="22"/>
      <w:lang w:eastAsia="de-DE" w:bidi="en-US"/>
      <w14:ligatures w14:val="none"/>
    </w:rPr>
  </w:style>
  <w:style w:type="character" w:styleId="CommentReference">
    <w:name w:val="annotation reference"/>
    <w:basedOn w:val="DefaultParagraphFont"/>
    <w:uiPriority w:val="99"/>
    <w:semiHidden/>
    <w:unhideWhenUsed/>
    <w:rsid w:val="00902CB1"/>
    <w:rPr>
      <w:sz w:val="16"/>
      <w:szCs w:val="16"/>
    </w:rPr>
  </w:style>
  <w:style w:type="paragraph" w:styleId="CommentText">
    <w:name w:val="annotation text"/>
    <w:basedOn w:val="Normal"/>
    <w:link w:val="CommentTextChar"/>
    <w:uiPriority w:val="99"/>
    <w:unhideWhenUsed/>
    <w:rsid w:val="00902CB1"/>
    <w:pPr>
      <w:spacing w:line="240" w:lineRule="auto"/>
    </w:pPr>
    <w:rPr>
      <w:sz w:val="20"/>
      <w:szCs w:val="20"/>
    </w:rPr>
  </w:style>
  <w:style w:type="character" w:customStyle="1" w:styleId="CommentTextChar">
    <w:name w:val="Comment Text Char"/>
    <w:basedOn w:val="DefaultParagraphFont"/>
    <w:link w:val="CommentText"/>
    <w:uiPriority w:val="99"/>
    <w:rsid w:val="00902CB1"/>
    <w:rPr>
      <w:sz w:val="20"/>
      <w:szCs w:val="20"/>
    </w:rPr>
  </w:style>
  <w:style w:type="paragraph" w:styleId="BalloonText">
    <w:name w:val="Balloon Text"/>
    <w:basedOn w:val="Normal"/>
    <w:link w:val="BalloonTextChar"/>
    <w:uiPriority w:val="99"/>
    <w:semiHidden/>
    <w:unhideWhenUsed/>
    <w:rsid w:val="00902C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C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12</Pages>
  <Words>2333</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Alnees</dc:creator>
  <cp:keywords/>
  <dc:description/>
  <cp:lastModifiedBy>Lenovo</cp:lastModifiedBy>
  <cp:revision>10</cp:revision>
  <dcterms:created xsi:type="dcterms:W3CDTF">2026-06-04T21:25:00Z</dcterms:created>
  <dcterms:modified xsi:type="dcterms:W3CDTF">2026-10-05T12:12:00Z</dcterms:modified>
</cp:coreProperties>
</file>