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55E" w:rsidRPr="000B504D" w:rsidRDefault="007F155E" w:rsidP="007F155E">
      <w:pPr>
        <w:spacing w:line="480" w:lineRule="auto"/>
        <w:jc w:val="center"/>
        <w:rPr>
          <w:rFonts w:ascii="Helvetica" w:hAnsi="Helvetica" w:cs="Times New Roman"/>
          <w:sz w:val="20"/>
          <w:szCs w:val="20"/>
        </w:rPr>
      </w:pPr>
      <w:r w:rsidRPr="000B504D">
        <w:rPr>
          <w:rFonts w:ascii="Helvetica" w:hAnsi="Helvetica" w:cs="Times New Roman"/>
          <w:bCs/>
          <w:sz w:val="20"/>
          <w:szCs w:val="20"/>
        </w:rPr>
        <w:t>Table S1.</w:t>
      </w:r>
      <w:r w:rsidRPr="000B504D">
        <w:rPr>
          <w:rFonts w:ascii="Helvetica" w:hAnsi="Helvetica" w:cs="Times New Roman"/>
          <w:b/>
          <w:sz w:val="20"/>
          <w:szCs w:val="20"/>
        </w:rPr>
        <w:t xml:space="preserve"> </w:t>
      </w:r>
      <w:r w:rsidRPr="000B504D">
        <w:rPr>
          <w:rFonts w:ascii="Helvetica" w:hAnsi="Helvetica" w:cs="Times New Roman"/>
          <w:sz w:val="20"/>
          <w:szCs w:val="20"/>
        </w:rPr>
        <w:t>Heterogeneity of meta-analyses.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2430"/>
        <w:gridCol w:w="2245"/>
      </w:tblGrid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b/>
                <w:sz w:val="20"/>
                <w:szCs w:val="20"/>
              </w:rPr>
              <w:t>Meta-Analysis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b/>
                <w:sz w:val="20"/>
                <w:szCs w:val="20"/>
              </w:rPr>
              <w:t>χ</w:t>
            </w:r>
            <w:r w:rsidRPr="000B504D">
              <w:rPr>
                <w:rFonts w:ascii="Helvetica" w:hAnsi="Helvetica" w:cs="Times New Roman"/>
                <w:b/>
                <w:sz w:val="20"/>
                <w:szCs w:val="20"/>
                <w:vertAlign w:val="superscript"/>
              </w:rPr>
              <w:t>2</w:t>
            </w:r>
            <w:r w:rsidRPr="000B504D">
              <w:rPr>
                <w:rFonts w:ascii="Helvetica" w:hAnsi="Helvetica" w:cs="Times New Roman"/>
                <w:b/>
                <w:sz w:val="20"/>
                <w:szCs w:val="20"/>
              </w:rPr>
              <w:t>-test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b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b/>
                <w:sz w:val="20"/>
                <w:szCs w:val="20"/>
              </w:rPr>
              <w:t>I</w:t>
            </w:r>
            <w:r w:rsidRPr="000B504D">
              <w:rPr>
                <w:rFonts w:ascii="Helvetica" w:hAnsi="Helvetica" w:cs="Times New Roman"/>
                <w:b/>
                <w:sz w:val="20"/>
                <w:szCs w:val="20"/>
                <w:vertAlign w:val="superscript"/>
              </w:rPr>
              <w:t>2</w:t>
            </w:r>
            <w:r w:rsidRPr="000B504D">
              <w:rPr>
                <w:rFonts w:ascii="Helvetica" w:hAnsi="Helvetica" w:cs="Times New Roman"/>
                <w:b/>
                <w:sz w:val="20"/>
                <w:szCs w:val="20"/>
              </w:rPr>
              <w:t>-test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Deep remission in IBD at 8 weeks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94.020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Deep remission in IBD at 6 months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93.714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Deep remission in IBD at 1 year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80.671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Deep remission in IBD at 2 years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92.586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 xml:space="preserve">Crohn’s disease deep remission at 1 year 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84.798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Ulcerative colitis deep remission at 1 year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0.005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73.289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Anti-TNF naïve deep remission in IBD at 8 weeks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94.020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 xml:space="preserve">Anti-TNF naïve deep remission in IBD at 6 months 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93.714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Anti-TNF naïve deep remission in IBD at 1 year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0.001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76.294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 xml:space="preserve">Anti-TNF naïve deep remission in IBD at 2 years 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0.001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84.793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Infliximab only deep remission in IBD at 1 year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82.380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Infliximab only deep remission in IBD at 2 years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94.778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Infliximab only deep remission in CD at 1 year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0.000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87.828</w:t>
            </w:r>
          </w:p>
        </w:tc>
      </w:tr>
      <w:tr w:rsidR="007F155E" w:rsidRPr="000B504D" w:rsidTr="00F46913">
        <w:tc>
          <w:tcPr>
            <w:tcW w:w="4675" w:type="dxa"/>
          </w:tcPr>
          <w:p w:rsidR="007F155E" w:rsidRPr="000B504D" w:rsidRDefault="007F155E" w:rsidP="00F46913">
            <w:pPr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Infliximab only deep remission in UC at 1 year</w:t>
            </w:r>
          </w:p>
        </w:tc>
        <w:tc>
          <w:tcPr>
            <w:tcW w:w="2430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P = 0.013</w:t>
            </w:r>
          </w:p>
        </w:tc>
        <w:tc>
          <w:tcPr>
            <w:tcW w:w="2245" w:type="dxa"/>
          </w:tcPr>
          <w:p w:rsidR="007F155E" w:rsidRPr="000B504D" w:rsidRDefault="007F155E" w:rsidP="00F46913">
            <w:pPr>
              <w:jc w:val="center"/>
              <w:rPr>
                <w:rFonts w:ascii="Helvetica" w:hAnsi="Helvetica" w:cs="Times New Roman"/>
                <w:sz w:val="20"/>
                <w:szCs w:val="20"/>
              </w:rPr>
            </w:pPr>
            <w:r w:rsidRPr="000B504D">
              <w:rPr>
                <w:rFonts w:ascii="Helvetica" w:hAnsi="Helvetica" w:cs="Times New Roman"/>
                <w:sz w:val="20"/>
                <w:szCs w:val="20"/>
              </w:rPr>
              <w:t>72.100</w:t>
            </w:r>
          </w:p>
        </w:tc>
      </w:tr>
    </w:tbl>
    <w:p w:rsidR="007F155E" w:rsidRPr="000B504D" w:rsidRDefault="007F155E" w:rsidP="007F155E">
      <w:pPr>
        <w:spacing w:line="480" w:lineRule="auto"/>
        <w:rPr>
          <w:rFonts w:ascii="Helvetica" w:hAnsi="Helvetica" w:cs="Times New Roman"/>
          <w:b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7F155E" w:rsidRPr="00F259E7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lastRenderedPageBreak/>
        <w:t xml:space="preserve">Table S2: </w:t>
      </w:r>
      <w:r w:rsidRPr="00F259E7">
        <w:rPr>
          <w:rFonts w:ascii="Times New Roman" w:eastAsia="Times New Roman" w:hAnsi="Times New Roman" w:cs="Times New Roman"/>
          <w:color w:val="000000"/>
          <w:sz w:val="20"/>
          <w:szCs w:val="20"/>
        </w:rPr>
        <w:t>Newcastle Ottawa Scale (NOS) evaluation of the included studies for meta-analysis.</w:t>
      </w:r>
    </w:p>
    <w:p w:rsidR="007F155E" w:rsidRDefault="007F155E" w:rsidP="007F15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="-314"/>
        <w:tblW w:w="12039" w:type="dxa"/>
        <w:tblLayout w:type="fixed"/>
        <w:tblLook w:val="04A0" w:firstRow="1" w:lastRow="0" w:firstColumn="1" w:lastColumn="0" w:noHBand="0" w:noVBand="1"/>
      </w:tblPr>
      <w:tblGrid>
        <w:gridCol w:w="1418"/>
        <w:gridCol w:w="1087"/>
        <w:gridCol w:w="1171"/>
        <w:gridCol w:w="1004"/>
        <w:gridCol w:w="1329"/>
        <w:gridCol w:w="1433"/>
        <w:gridCol w:w="1143"/>
        <w:gridCol w:w="1143"/>
        <w:gridCol w:w="1145"/>
        <w:gridCol w:w="1166"/>
      </w:tblGrid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1" w:type="dxa"/>
            <w:gridSpan w:val="4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b/>
                <w:sz w:val="18"/>
                <w:szCs w:val="18"/>
              </w:rPr>
              <w:t>Selection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b/>
                <w:sz w:val="18"/>
                <w:szCs w:val="18"/>
              </w:rPr>
              <w:t>Comparability</w:t>
            </w:r>
          </w:p>
        </w:tc>
        <w:tc>
          <w:tcPr>
            <w:tcW w:w="3431" w:type="dxa"/>
            <w:gridSpan w:val="3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b/>
                <w:sz w:val="18"/>
                <w:szCs w:val="18"/>
              </w:rPr>
              <w:t>Outcome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b/>
                <w:sz w:val="18"/>
                <w:szCs w:val="18"/>
              </w:rPr>
              <w:t>Total points</w:t>
            </w:r>
          </w:p>
        </w:tc>
      </w:tr>
      <w:tr w:rsidR="007F155E" w:rsidRPr="00F259E7" w:rsidTr="00F46913">
        <w:trPr>
          <w:trHeight w:val="1219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7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Representative of the exposed cohort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Selection of </w:t>
            </w: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non exposed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cohort</w:t>
            </w:r>
          </w:p>
        </w:tc>
        <w:tc>
          <w:tcPr>
            <w:tcW w:w="1004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Ascertainment of exposure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Demonstration that outcome of interest was not present at start of study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Comparability of cohorts on the basis of the design or analysis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Assessment of outcome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Was follow-up long enough for outcomes to occur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Adequacy of follow up of cohorts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Sebkova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Vadan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De </w:t>
            </w: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Vos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2013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7F155E" w:rsidRPr="00F259E7" w:rsidTr="00F46913">
        <w:trPr>
          <w:trHeight w:val="253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Molander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2013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Vadan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2013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Dai 2014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Echarri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2015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Yu 2015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Magro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2016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490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Pinetun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de </w:t>
            </w: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Chambrun</w:t>
            </w:r>
            <w:proofErr w:type="spellEnd"/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Prymak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2016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237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Zhang 2016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7F155E" w:rsidRPr="00F259E7" w:rsidTr="00F46913">
        <w:trPr>
          <w:trHeight w:val="253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Kaymak</w:t>
            </w:r>
            <w:proofErr w:type="spellEnd"/>
            <w:r w:rsidRPr="00F259E7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116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Kumar 2018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7F155E" w:rsidRPr="00F259E7" w:rsidTr="00F46913">
        <w:trPr>
          <w:trHeight w:val="116"/>
        </w:trPr>
        <w:tc>
          <w:tcPr>
            <w:tcW w:w="1418" w:type="dxa"/>
          </w:tcPr>
          <w:p w:rsidR="007F155E" w:rsidRPr="00F259E7" w:rsidRDefault="007F155E" w:rsidP="00F469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Munoz-Villafranca2018</w:t>
            </w:r>
          </w:p>
        </w:tc>
        <w:tc>
          <w:tcPr>
            <w:tcW w:w="108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71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4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327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43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43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66" w:type="dxa"/>
          </w:tcPr>
          <w:p w:rsidR="007F155E" w:rsidRPr="00F259E7" w:rsidRDefault="007F155E" w:rsidP="00F469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59E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</w:tbl>
    <w:p w:rsidR="00B01C1F" w:rsidRDefault="00B01C1F"/>
    <w:sectPr w:rsidR="00B01C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55E"/>
    <w:rsid w:val="007F155E"/>
    <w:rsid w:val="00B0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1976D"/>
  <w15:chartTrackingRefBased/>
  <w15:docId w15:val="{248A0BE7-89DF-44FA-9103-8D1F7303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155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155E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2020-11-23T09:23:00Z</dcterms:created>
  <dcterms:modified xsi:type="dcterms:W3CDTF">2020-11-23T09:23:00Z</dcterms:modified>
</cp:coreProperties>
</file>