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F96CB" w14:textId="20C2FF2D" w:rsidR="004E21C1" w:rsidRDefault="004E21C1" w:rsidP="004E21C1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4"/>
        <w:gridCol w:w="4528"/>
      </w:tblGrid>
      <w:tr w:rsidR="004E21C1" w:rsidRPr="00DC5B9F" w14:paraId="46AE5EB0" w14:textId="77777777" w:rsidTr="003F3D82">
        <w:tc>
          <w:tcPr>
            <w:tcW w:w="4896" w:type="dxa"/>
          </w:tcPr>
          <w:p w14:paraId="4F3869BD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Diagnostic measure</w:t>
            </w:r>
          </w:p>
        </w:tc>
        <w:tc>
          <w:tcPr>
            <w:tcW w:w="4896" w:type="dxa"/>
          </w:tcPr>
          <w:p w14:paraId="423D59E4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Estimate</w:t>
            </w:r>
          </w:p>
        </w:tc>
      </w:tr>
      <w:tr w:rsidR="004E21C1" w:rsidRPr="00DC5B9F" w14:paraId="368C9187" w14:textId="77777777" w:rsidTr="003F3D82">
        <w:tc>
          <w:tcPr>
            <w:tcW w:w="4896" w:type="dxa"/>
          </w:tcPr>
          <w:p w14:paraId="2A735E21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Sensitivity</w:t>
            </w:r>
          </w:p>
        </w:tc>
        <w:tc>
          <w:tcPr>
            <w:tcW w:w="4896" w:type="dxa"/>
          </w:tcPr>
          <w:p w14:paraId="26EEE9D0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0.0% (0/13; 95% CI 0.0%–24.7%)</w:t>
            </w:r>
          </w:p>
        </w:tc>
      </w:tr>
      <w:tr w:rsidR="004E21C1" w:rsidRPr="00DC5B9F" w14:paraId="4BFA044B" w14:textId="77777777" w:rsidTr="003F3D82">
        <w:tc>
          <w:tcPr>
            <w:tcW w:w="4896" w:type="dxa"/>
          </w:tcPr>
          <w:p w14:paraId="49B7AE07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Specificity</w:t>
            </w:r>
          </w:p>
        </w:tc>
        <w:tc>
          <w:tcPr>
            <w:tcW w:w="4896" w:type="dxa"/>
          </w:tcPr>
          <w:p w14:paraId="269C0F0C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99.2% (247/249; 95% CI 97.1%–99.9%)</w:t>
            </w:r>
          </w:p>
        </w:tc>
      </w:tr>
      <w:tr w:rsidR="004E21C1" w:rsidRPr="00DC5B9F" w14:paraId="469D2906" w14:textId="77777777" w:rsidTr="003F3D82">
        <w:tc>
          <w:tcPr>
            <w:tcW w:w="4896" w:type="dxa"/>
          </w:tcPr>
          <w:p w14:paraId="51838F48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Positive predictive value</w:t>
            </w:r>
          </w:p>
        </w:tc>
        <w:tc>
          <w:tcPr>
            <w:tcW w:w="4896" w:type="dxa"/>
          </w:tcPr>
          <w:p w14:paraId="3F1C956C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0.0% (0/2; 95% CI 0.0%–84.2%)</w:t>
            </w:r>
          </w:p>
        </w:tc>
      </w:tr>
      <w:tr w:rsidR="004E21C1" w:rsidRPr="00DC5B9F" w14:paraId="639A8321" w14:textId="77777777" w:rsidTr="003F3D82">
        <w:tc>
          <w:tcPr>
            <w:tcW w:w="4896" w:type="dxa"/>
          </w:tcPr>
          <w:p w14:paraId="163BAE63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Negative predictive value</w:t>
            </w:r>
          </w:p>
        </w:tc>
        <w:tc>
          <w:tcPr>
            <w:tcW w:w="4896" w:type="dxa"/>
          </w:tcPr>
          <w:p w14:paraId="0A9DD253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95.0% (247/260; 95% CI 91.6%–97.3%)</w:t>
            </w:r>
          </w:p>
        </w:tc>
      </w:tr>
      <w:tr w:rsidR="004E21C1" w:rsidRPr="00DC5B9F" w14:paraId="081811F1" w14:textId="77777777" w:rsidTr="003F3D82">
        <w:tc>
          <w:tcPr>
            <w:tcW w:w="4896" w:type="dxa"/>
          </w:tcPr>
          <w:p w14:paraId="39A5860B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Binary agreement</w:t>
            </w:r>
          </w:p>
        </w:tc>
        <w:tc>
          <w:tcPr>
            <w:tcW w:w="4896" w:type="dxa"/>
          </w:tcPr>
          <w:p w14:paraId="1E1433E8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94.3% (247/262; 95% CI 90.7%–96.8%)</w:t>
            </w:r>
          </w:p>
        </w:tc>
      </w:tr>
      <w:tr w:rsidR="004E21C1" w:rsidRPr="00DC5B9F" w14:paraId="1BE2F94D" w14:textId="77777777" w:rsidTr="003F3D82">
        <w:tc>
          <w:tcPr>
            <w:tcW w:w="4896" w:type="dxa"/>
          </w:tcPr>
          <w:p w14:paraId="1E75090B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Binary Cohen kappa</w:t>
            </w:r>
          </w:p>
        </w:tc>
        <w:tc>
          <w:tcPr>
            <w:tcW w:w="4896" w:type="dxa"/>
          </w:tcPr>
          <w:p w14:paraId="0AE8B135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-0.01</w:t>
            </w:r>
          </w:p>
        </w:tc>
      </w:tr>
      <w:tr w:rsidR="004E21C1" w:rsidRPr="00DC5B9F" w14:paraId="7CB2B0E1" w14:textId="77777777" w:rsidTr="003F3D82">
        <w:tc>
          <w:tcPr>
            <w:tcW w:w="4896" w:type="dxa"/>
          </w:tcPr>
          <w:p w14:paraId="6D82B78B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Exact McNemar p</w:t>
            </w:r>
          </w:p>
        </w:tc>
        <w:tc>
          <w:tcPr>
            <w:tcW w:w="4896" w:type="dxa"/>
          </w:tcPr>
          <w:p w14:paraId="4AC82EA8" w14:textId="77777777" w:rsidR="004E21C1" w:rsidRPr="00DC5B9F" w:rsidRDefault="004E21C1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0.00739</w:t>
            </w:r>
          </w:p>
        </w:tc>
      </w:tr>
    </w:tbl>
    <w:p w14:paraId="1E8C4E00" w14:textId="77777777" w:rsidR="00974777" w:rsidRDefault="00974777"/>
    <w:sectPr w:rsidR="00974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1C1"/>
    <w:rsid w:val="0018695A"/>
    <w:rsid w:val="003158BE"/>
    <w:rsid w:val="004E21C1"/>
    <w:rsid w:val="006977BF"/>
    <w:rsid w:val="00974777"/>
    <w:rsid w:val="00AB273C"/>
    <w:rsid w:val="00FF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5E1D"/>
  <w15:chartTrackingRefBased/>
  <w15:docId w15:val="{C637B3E7-E061-4830-9DBE-BC8173C2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1C1"/>
    <w:pPr>
      <w:spacing w:after="0" w:line="360" w:lineRule="auto"/>
    </w:pPr>
    <w:rPr>
      <w:rFonts w:ascii="Times New Roman" w:eastAsia="Times New Roman" w:hAnsi="Times New Roman"/>
      <w:color w:val="000000"/>
      <w:kern w:val="0"/>
      <w:sz w:val="20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4E21C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E21C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E21C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E21C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E21C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E21C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E21C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E21C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E21C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E21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E21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E21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E21C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E21C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E21C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E21C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E21C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E21C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E21C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4E2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E21C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E2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E21C1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4E21C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E21C1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4E21C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E21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E21C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E21C1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4E21C1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294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Runow Stark</dc:creator>
  <cp:keywords/>
  <dc:description/>
  <cp:lastModifiedBy>Christina Runow Stark</cp:lastModifiedBy>
  <cp:revision>2</cp:revision>
  <dcterms:created xsi:type="dcterms:W3CDTF">2026-10-05T14:30:00Z</dcterms:created>
  <dcterms:modified xsi:type="dcterms:W3CDTF">2026-10-05T14:37:00Z</dcterms:modified>
</cp:coreProperties>
</file>