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E119" w14:textId="77777777" w:rsidR="00A97F35" w:rsidRDefault="00A97F35">
      <w:pPr>
        <w:tabs>
          <w:tab w:val="left" w:pos="6999"/>
        </w:tabs>
        <w:rPr>
          <w:rFonts w:asciiTheme="minorHAnsi" w:eastAsiaTheme="minorEastAsia" w:hAnsiTheme="minorHAnsi" w:cstheme="minorBidi"/>
          <w:lang w:val="en-US" w:eastAsia="en-US"/>
        </w:rPr>
      </w:pPr>
    </w:p>
    <w:p w14:paraId="5A1531F4" w14:textId="77777777" w:rsidR="00A97F35" w:rsidRDefault="00A97F35">
      <w:pPr>
        <w:tabs>
          <w:tab w:val="left" w:pos="6999"/>
        </w:tabs>
        <w:rPr>
          <w:rFonts w:asciiTheme="minorHAnsi" w:eastAsiaTheme="minorEastAsia" w:hAnsiTheme="minorHAnsi" w:cstheme="minorBidi"/>
          <w:lang w:val="en-US" w:eastAsia="en-US"/>
        </w:rPr>
      </w:pPr>
    </w:p>
    <w:p w14:paraId="7A2A4E7B" w14:textId="77777777" w:rsidR="00A97F35" w:rsidRDefault="00A97F35">
      <w:pPr>
        <w:tabs>
          <w:tab w:val="left" w:pos="6999"/>
        </w:tabs>
        <w:rPr>
          <w:rFonts w:asciiTheme="minorHAnsi" w:eastAsiaTheme="minorEastAsia" w:hAnsiTheme="minorHAnsi" w:cstheme="minorBidi"/>
          <w:lang w:val="en-US"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1"/>
        <w:gridCol w:w="4131"/>
      </w:tblGrid>
      <w:tr w:rsidR="00A97F35" w14:paraId="27407720" w14:textId="77777777">
        <w:trPr>
          <w:trHeight w:val="5516"/>
        </w:trPr>
        <w:tc>
          <w:tcPr>
            <w:tcW w:w="4255" w:type="dxa"/>
          </w:tcPr>
          <w:p w14:paraId="4411B3A7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7E3F43DE" wp14:editId="5C1B9960">
                  <wp:extent cx="2737300" cy="3474720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9" r="47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308" cy="3482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1" w:type="dxa"/>
          </w:tcPr>
          <w:p w14:paraId="7625E7F4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4F29DF51" wp14:editId="146908A9">
                  <wp:extent cx="2572119" cy="346882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2" r="3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119" cy="3468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5E70AA31" w14:textId="77777777">
        <w:trPr>
          <w:trHeight w:val="5860"/>
        </w:trPr>
        <w:tc>
          <w:tcPr>
            <w:tcW w:w="4255" w:type="dxa"/>
          </w:tcPr>
          <w:p w14:paraId="6F26C749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1C7DF3E5" wp14:editId="27024A05">
                  <wp:extent cx="2719602" cy="3681197"/>
                  <wp:effectExtent l="19050" t="19050" r="24130" b="146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4420" t="9716" r="48882" b="7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7879" cy="367886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1" w:type="dxa"/>
          </w:tcPr>
          <w:p w14:paraId="3DB8325B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1DDE73A4" wp14:editId="7A071B8A">
                  <wp:extent cx="2554420" cy="3654005"/>
                  <wp:effectExtent l="19050" t="19050" r="17780" b="2286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52332" t="9716" r="5308" b="79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304" cy="368244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1F3398A7" w14:textId="77777777">
        <w:trPr>
          <w:trHeight w:val="647"/>
        </w:trPr>
        <w:tc>
          <w:tcPr>
            <w:tcW w:w="8296" w:type="dxa"/>
            <w:gridSpan w:val="2"/>
          </w:tcPr>
          <w:p w14:paraId="233E118A" w14:textId="77777777" w:rsidR="00A97F35" w:rsidRDefault="00D67C4E">
            <w:pPr>
              <w:spacing w:after="0" w:line="240" w:lineRule="auto"/>
              <w:ind w:left="1237" w:hanging="1237"/>
              <w:jc w:val="both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b/>
                <w:color w:val="0070C0"/>
              </w:rPr>
              <w:t>Supplementary figure 3.1</w:t>
            </w:r>
            <w:r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:</w:t>
            </w:r>
            <w:r w:rsidR="00AE79ED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 xml:space="preserve"> 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</w:rPr>
              <w:t>In vitro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assay (by </w:t>
            </w:r>
            <w:r w:rsidR="00AE79ED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dual culture method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) for the assessment of biocontrol potential of endophytic fungi isolated from Bihar, India</w:t>
            </w:r>
          </w:p>
        </w:tc>
      </w:tr>
    </w:tbl>
    <w:p w14:paraId="1973F704" w14:textId="77777777" w:rsidR="00A97F35" w:rsidRDefault="00A97F35">
      <w:pPr>
        <w:tabs>
          <w:tab w:val="left" w:pos="6999"/>
        </w:tabs>
        <w:rPr>
          <w:rFonts w:asciiTheme="minorHAnsi" w:eastAsiaTheme="minorEastAsia" w:hAnsiTheme="minorHAnsi" w:cstheme="minorBidi"/>
          <w:lang w:val="en-US" w:eastAsia="en-US"/>
        </w:rPr>
      </w:pPr>
    </w:p>
    <w:p w14:paraId="10D81EB6" w14:textId="77777777" w:rsidR="00A97F35" w:rsidRDefault="00A97F35">
      <w:pPr>
        <w:tabs>
          <w:tab w:val="left" w:pos="6999"/>
        </w:tabs>
        <w:rPr>
          <w:rFonts w:asciiTheme="minorHAnsi" w:eastAsiaTheme="minorEastAsia" w:hAnsiTheme="minorHAnsi" w:cstheme="minorBidi"/>
          <w:lang w:val="en-US" w:eastAsia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8"/>
        <w:gridCol w:w="4234"/>
      </w:tblGrid>
      <w:tr w:rsidR="00A97F35" w14:paraId="0C6090E5" w14:textId="77777777">
        <w:trPr>
          <w:trHeight w:val="5516"/>
        </w:trPr>
        <w:tc>
          <w:tcPr>
            <w:tcW w:w="4157" w:type="dxa"/>
          </w:tcPr>
          <w:p w14:paraId="4E1EDFD1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7DB8697A" wp14:editId="26B36030">
                  <wp:extent cx="2648810" cy="3557311"/>
                  <wp:effectExtent l="0" t="0" r="0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415" cy="3554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9" w:type="dxa"/>
          </w:tcPr>
          <w:p w14:paraId="117D3B81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4A7DD672" wp14:editId="5898B86B">
                  <wp:extent cx="2613414" cy="355141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5388" cy="3554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46A75D98" w14:textId="77777777">
        <w:trPr>
          <w:trHeight w:val="5860"/>
        </w:trPr>
        <w:tc>
          <w:tcPr>
            <w:tcW w:w="4157" w:type="dxa"/>
          </w:tcPr>
          <w:p w14:paraId="6FA34A2D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75E7B503" wp14:editId="5518339E">
                  <wp:extent cx="2648810" cy="36392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8655" cy="36390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9" w:type="dxa"/>
          </w:tcPr>
          <w:p w14:paraId="666187E6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1C811416" wp14:editId="1EEC41BF">
                  <wp:extent cx="2613414" cy="3637756"/>
                  <wp:effectExtent l="0" t="0" r="0" b="127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1221" cy="36347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2B34476D" w14:textId="77777777">
        <w:trPr>
          <w:trHeight w:val="647"/>
        </w:trPr>
        <w:tc>
          <w:tcPr>
            <w:tcW w:w="8296" w:type="dxa"/>
            <w:gridSpan w:val="2"/>
          </w:tcPr>
          <w:p w14:paraId="1DBE5E4C" w14:textId="77777777" w:rsidR="00A97F35" w:rsidRDefault="00AE79ED">
            <w:pPr>
              <w:spacing w:after="0" w:line="240" w:lineRule="auto"/>
              <w:ind w:left="1237" w:hanging="1237"/>
              <w:jc w:val="both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b/>
                <w:color w:val="0070C0"/>
              </w:rPr>
              <w:t xml:space="preserve"> Supplemen</w:t>
            </w:r>
            <w:r w:rsidR="00EE0211">
              <w:rPr>
                <w:rFonts w:ascii="Times New Roman" w:eastAsiaTheme="minorEastAsia" w:hAnsi="Times New Roman" w:cs="Times New Roman"/>
                <w:b/>
                <w:color w:val="0070C0"/>
              </w:rPr>
              <w:t>tary figure 3.1</w:t>
            </w:r>
            <w:r w:rsidR="00EE0211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:</w:t>
            </w:r>
            <w:r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</w:rPr>
              <w:t>In vitro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assay (by </w:t>
            </w:r>
            <w:r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dual culture method</w:t>
            </w: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) for the assessment of biocontrol potential of endophytic fungi isolated from Bihar, India</w:t>
            </w:r>
          </w:p>
        </w:tc>
      </w:tr>
    </w:tbl>
    <w:p w14:paraId="0FA4F4D2" w14:textId="77777777" w:rsidR="00A97F35" w:rsidRDefault="00A97F35">
      <w:pPr>
        <w:spacing w:line="360" w:lineRule="auto"/>
        <w:jc w:val="both"/>
        <w:rPr>
          <w:rFonts w:ascii="Times New Roman" w:eastAsiaTheme="minorEastAsia" w:hAnsi="Times New Roman" w:cs="Times New Roman"/>
          <w:b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4139"/>
      </w:tblGrid>
      <w:tr w:rsidR="00A97F35" w14:paraId="3B022095" w14:textId="77777777">
        <w:trPr>
          <w:trHeight w:val="4130"/>
        </w:trPr>
        <w:tc>
          <w:tcPr>
            <w:tcW w:w="4786" w:type="dxa"/>
          </w:tcPr>
          <w:p w14:paraId="4650D60F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68A3073D" wp14:editId="51599A9B">
                  <wp:extent cx="2902585" cy="2593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929" t="10498" r="50089" b="41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2688" cy="25943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6" w:type="dxa"/>
          </w:tcPr>
          <w:p w14:paraId="2630D903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758D1847" wp14:editId="40E9522E">
                  <wp:extent cx="2732405" cy="25939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585" cy="2596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732C74B5" w14:textId="77777777">
        <w:trPr>
          <w:trHeight w:val="647"/>
        </w:trPr>
        <w:tc>
          <w:tcPr>
            <w:tcW w:w="9242" w:type="dxa"/>
            <w:gridSpan w:val="2"/>
          </w:tcPr>
          <w:p w14:paraId="5BA8BB76" w14:textId="77777777" w:rsidR="00A97F35" w:rsidRDefault="00BE31CE">
            <w:pPr>
              <w:spacing w:after="0" w:line="240" w:lineRule="auto"/>
              <w:ind w:left="1237" w:hanging="1237"/>
              <w:jc w:val="both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b/>
                <w:color w:val="0070C0"/>
              </w:rPr>
              <w:t>Supplementary figure 3.1:</w:t>
            </w:r>
            <w:r w:rsidR="00AE79ED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 xml:space="preserve"> 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</w:rPr>
              <w:t>In vitro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assay (by </w:t>
            </w:r>
            <w:r w:rsidR="00AE79ED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dual culture method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) for the assessment of biocontrol potential of endophytic fungi isolated from Bihar, India</w:t>
            </w:r>
          </w:p>
        </w:tc>
      </w:tr>
    </w:tbl>
    <w:p w14:paraId="0B86319A" w14:textId="77777777" w:rsidR="00A97F35" w:rsidRDefault="00A97F35">
      <w:pPr>
        <w:spacing w:line="360" w:lineRule="auto"/>
        <w:jc w:val="both"/>
        <w:rPr>
          <w:rFonts w:ascii="Times New Roman" w:eastAsiaTheme="minorEastAsia" w:hAnsi="Times New Roman" w:cs="Times New Roman"/>
          <w:b/>
        </w:rPr>
      </w:pPr>
    </w:p>
    <w:p w14:paraId="36299F83" w14:textId="77777777" w:rsidR="00A97F35" w:rsidRDefault="00A97F35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252525"/>
        </w:rPr>
      </w:pPr>
    </w:p>
    <w:p w14:paraId="75D931C3" w14:textId="77777777" w:rsidR="00A97F35" w:rsidRDefault="00A97F35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252525"/>
        </w:rPr>
      </w:pPr>
    </w:p>
    <w:p w14:paraId="2857097E" w14:textId="77777777" w:rsidR="00A97F35" w:rsidRDefault="00A97F35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252525"/>
        </w:rPr>
      </w:pPr>
    </w:p>
    <w:p w14:paraId="2E13DFCC" w14:textId="77777777" w:rsidR="00105D50" w:rsidRDefault="00105D50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252525"/>
        </w:rPr>
      </w:pPr>
    </w:p>
    <w:p w14:paraId="4B7D515A" w14:textId="77777777" w:rsidR="00105D50" w:rsidRDefault="00105D50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252525"/>
        </w:rPr>
      </w:pPr>
    </w:p>
    <w:p w14:paraId="21A6C509" w14:textId="77777777" w:rsidR="00A97F35" w:rsidRDefault="00A97F35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252525"/>
        </w:rPr>
      </w:pPr>
    </w:p>
    <w:tbl>
      <w:tblPr>
        <w:tblStyle w:val="TableGrid"/>
        <w:tblW w:w="8323" w:type="dxa"/>
        <w:tblLayout w:type="fixed"/>
        <w:tblLook w:val="04A0" w:firstRow="1" w:lastRow="0" w:firstColumn="1" w:lastColumn="0" w:noHBand="0" w:noVBand="1"/>
      </w:tblPr>
      <w:tblGrid>
        <w:gridCol w:w="4069"/>
        <w:gridCol w:w="4254"/>
      </w:tblGrid>
      <w:tr w:rsidR="00A97F35" w14:paraId="1F135955" w14:textId="77777777">
        <w:trPr>
          <w:trHeight w:val="5516"/>
        </w:trPr>
        <w:tc>
          <w:tcPr>
            <w:tcW w:w="4518" w:type="dxa"/>
          </w:tcPr>
          <w:p w14:paraId="15E1ADDC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lastRenderedPageBreak/>
              <w:drawing>
                <wp:inline distT="0" distB="0" distL="0" distR="0" wp14:anchorId="633D6C46" wp14:editId="466FB151">
                  <wp:extent cx="2753360" cy="3434080"/>
                  <wp:effectExtent l="0" t="0" r="889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4790" cy="343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4" w:type="dxa"/>
          </w:tcPr>
          <w:p w14:paraId="0DD77E42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45F23BE1" wp14:editId="78EFFD34">
                  <wp:extent cx="2860040" cy="343408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152" cy="3435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53C773B6" w14:textId="77777777">
        <w:trPr>
          <w:trHeight w:val="5860"/>
        </w:trPr>
        <w:tc>
          <w:tcPr>
            <w:tcW w:w="4518" w:type="dxa"/>
          </w:tcPr>
          <w:p w14:paraId="4456E3ED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noProof/>
                <w:lang w:val="en-US" w:eastAsia="en-US"/>
              </w:rPr>
              <w:drawing>
                <wp:inline distT="0" distB="0" distL="0" distR="0" wp14:anchorId="29D1A542" wp14:editId="6ABDA812">
                  <wp:extent cx="2753360" cy="3646805"/>
                  <wp:effectExtent l="0" t="0" r="889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52" cy="36598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4" w:type="dxa"/>
          </w:tcPr>
          <w:p w14:paraId="5472D0F7" w14:textId="77777777" w:rsidR="00A97F35" w:rsidRDefault="00AE79ED">
            <w:pPr>
              <w:tabs>
                <w:tab w:val="left" w:pos="6999"/>
              </w:tabs>
              <w:spacing w:after="0" w:line="240" w:lineRule="auto"/>
              <w:rPr>
                <w:rFonts w:asciiTheme="minorHAnsi" w:eastAsiaTheme="minorEastAsia" w:hAnsiTheme="minorHAnsi" w:cstheme="minorBidi"/>
                <w:lang w:val="en-US" w:eastAsia="en-US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8E5A53E" wp14:editId="6D00E1CF">
                  <wp:extent cx="2860040" cy="2817495"/>
                  <wp:effectExtent l="0" t="0" r="0" b="190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52505" t="10561" r="5008" b="25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579" cy="2818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7F35" w14:paraId="45CA498A" w14:textId="77777777">
        <w:trPr>
          <w:trHeight w:val="647"/>
        </w:trPr>
        <w:tc>
          <w:tcPr>
            <w:tcW w:w="9242" w:type="dxa"/>
            <w:gridSpan w:val="2"/>
          </w:tcPr>
          <w:p w14:paraId="25AF011C" w14:textId="77777777" w:rsidR="00A97F35" w:rsidRDefault="00B04471">
            <w:pPr>
              <w:spacing w:after="0" w:line="240" w:lineRule="auto"/>
              <w:ind w:left="1237" w:hanging="1237"/>
              <w:jc w:val="both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Theme="minorEastAsia" w:hAnsi="Times New Roman" w:cs="Times New Roman"/>
                <w:b/>
                <w:color w:val="0070C0"/>
              </w:rPr>
              <w:t>Supplementary figure 3.2:</w:t>
            </w:r>
            <w:r w:rsidR="00AE79ED">
              <w:rPr>
                <w:rFonts w:ascii="Times New Roman" w:eastAsiaTheme="minorEastAsia" w:hAnsi="Times New Roman" w:cs="Times New Roman"/>
                <w:b/>
                <w:color w:val="0070C0"/>
              </w:rPr>
              <w:t xml:space="preserve"> 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i/>
                <w:color w:val="000000" w:themeColor="text1"/>
              </w:rPr>
              <w:t>In vitro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 xml:space="preserve"> assay (</w:t>
            </w:r>
            <w:r w:rsidR="00AE79ED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>dual culture method</w:t>
            </w:r>
            <w:r w:rsidR="00AE79ED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</w:rPr>
              <w:t>) for the assessment of biocontrol potential of endophytic fungi isolated from Delhi, India</w:t>
            </w:r>
            <w:r w:rsidR="00AE79ED">
              <w:rPr>
                <w:rFonts w:ascii="Times New Roman" w:eastAsiaTheme="minorEastAsia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</w:tbl>
    <w:p w14:paraId="7C742013" w14:textId="77777777" w:rsidR="00A97F35" w:rsidRDefault="00A97F3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F7D27" w14:textId="77777777" w:rsidR="00A97F35" w:rsidRDefault="00A97F35">
      <w:pPr>
        <w:spacing w:line="240" w:lineRule="auto"/>
        <w:ind w:left="1260" w:hanging="1260"/>
        <w:jc w:val="both"/>
        <w:rPr>
          <w:rFonts w:ascii="Times New Roman" w:hAnsi="Times New Roman" w:cs="Times New Roman"/>
          <w:b/>
          <w:bCs/>
        </w:rPr>
      </w:pPr>
    </w:p>
    <w:p w14:paraId="1D710B93" w14:textId="77777777" w:rsidR="00A97F35" w:rsidRDefault="00A97F35">
      <w:pPr>
        <w:spacing w:line="240" w:lineRule="auto"/>
        <w:ind w:left="1260" w:hanging="1260"/>
        <w:jc w:val="both"/>
        <w:rPr>
          <w:rFonts w:ascii="Times New Roman" w:hAnsi="Times New Roman" w:cs="Times New Roman"/>
          <w:b/>
          <w:bCs/>
        </w:rPr>
      </w:pPr>
    </w:p>
    <w:p w14:paraId="14D5C80B" w14:textId="77777777" w:rsidR="00A97F35" w:rsidRDefault="00A97F35">
      <w:pPr>
        <w:spacing w:line="240" w:lineRule="auto"/>
        <w:ind w:left="1260" w:hanging="1260"/>
        <w:jc w:val="both"/>
        <w:rPr>
          <w:rFonts w:ascii="Times New Roman" w:hAnsi="Times New Roman" w:cs="Times New Roman"/>
          <w:b/>
          <w:bCs/>
        </w:rPr>
      </w:pPr>
    </w:p>
    <w:p w14:paraId="686805F7" w14:textId="77777777" w:rsidR="00A97F35" w:rsidRDefault="00AE79ED" w:rsidP="00105D50">
      <w:pPr>
        <w:spacing w:before="120" w:after="120" w:line="360" w:lineRule="auto"/>
        <w:ind w:left="630" w:hanging="63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</w:rPr>
        <w:lastRenderedPageBreak/>
        <w:t xml:space="preserve"> </w:t>
      </w:r>
    </w:p>
    <w:p w14:paraId="79B9C8DE" w14:textId="77777777" w:rsidR="00A97F35" w:rsidRDefault="00AE79ED">
      <w:pPr>
        <w:spacing w:after="8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Theme="minorHAnsi" w:eastAsiaTheme="minorEastAsia" w:hAnsiTheme="minorHAnsi" w:cstheme="minorBidi"/>
          <w:noProof/>
          <w:lang w:val="en-US" w:eastAsia="en-US"/>
        </w:rPr>
        <w:drawing>
          <wp:inline distT="0" distB="0" distL="0" distR="0" wp14:anchorId="50362D4D" wp14:editId="4974CDE5">
            <wp:extent cx="5274945" cy="3882390"/>
            <wp:effectExtent l="19050" t="19050" r="20955" b="2286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rcRect l="1231" t="2656" r="1025" b="3390"/>
                    <a:stretch>
                      <a:fillRect/>
                    </a:stretch>
                  </pic:blipFill>
                  <pic:spPr>
                    <a:xfrm>
                      <a:off x="0" y="0"/>
                      <a:ext cx="5499632" cy="40476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75BDB51" w14:textId="77777777" w:rsidR="00A97F35" w:rsidRDefault="00AE79ED">
      <w:pPr>
        <w:spacing w:line="240" w:lineRule="auto"/>
        <w:ind w:left="993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sz w:val="18"/>
          <w:szCs w:val="18"/>
          <w:lang w:val="en-US" w:eastAsia="en-US"/>
        </w:rPr>
        <w:t xml:space="preserve">(R- Resistant; MR- </w:t>
      </w:r>
      <w:proofErr w:type="spellStart"/>
      <w:r>
        <w:rPr>
          <w:rFonts w:ascii="Times New Roman" w:eastAsiaTheme="minorEastAsia" w:hAnsi="Times New Roman" w:cs="Times New Roman"/>
          <w:b/>
          <w:sz w:val="18"/>
          <w:szCs w:val="18"/>
          <w:lang w:val="en-US" w:eastAsia="en-US"/>
        </w:rPr>
        <w:t>Moderatly</w:t>
      </w:r>
      <w:proofErr w:type="spellEnd"/>
      <w:r>
        <w:rPr>
          <w:rFonts w:ascii="Times New Roman" w:eastAsiaTheme="minorEastAsia" w:hAnsi="Times New Roman" w:cs="Times New Roman"/>
          <w:b/>
          <w:sz w:val="18"/>
          <w:szCs w:val="18"/>
          <w:lang w:val="en-US" w:eastAsia="en-US"/>
        </w:rPr>
        <w:t xml:space="preserve"> Resistant; MS- </w:t>
      </w:r>
      <w:proofErr w:type="spellStart"/>
      <w:r>
        <w:rPr>
          <w:rFonts w:ascii="Times New Roman" w:eastAsiaTheme="minorEastAsia" w:hAnsi="Times New Roman" w:cs="Times New Roman"/>
          <w:b/>
          <w:sz w:val="18"/>
          <w:szCs w:val="18"/>
          <w:lang w:val="en-US" w:eastAsia="en-US"/>
        </w:rPr>
        <w:t>Moderatly</w:t>
      </w:r>
      <w:proofErr w:type="spellEnd"/>
      <w:r>
        <w:rPr>
          <w:rFonts w:ascii="Times New Roman" w:eastAsiaTheme="minorEastAsia" w:hAnsi="Times New Roman" w:cs="Times New Roman"/>
          <w:b/>
          <w:sz w:val="18"/>
          <w:szCs w:val="18"/>
          <w:lang w:val="en-US" w:eastAsia="en-US"/>
        </w:rPr>
        <w:t xml:space="preserve"> Susceptible; S- Susceptible)</w:t>
      </w:r>
    </w:p>
    <w:p w14:paraId="49F99734" w14:textId="60665C3C" w:rsidR="00A97F35" w:rsidRPr="007C1BE8" w:rsidRDefault="007C1BE8">
      <w:pPr>
        <w:spacing w:line="240" w:lineRule="auto"/>
        <w:ind w:left="1350" w:hanging="1350"/>
        <w:jc w:val="both"/>
        <w:rPr>
          <w:rFonts w:ascii="Times New Roman" w:eastAsiaTheme="minorEastAsia" w:hAnsi="Times New Roman" w:cs="Times New Roman"/>
          <w:b/>
          <w:lang w:val="en-US" w:eastAsia="en-US"/>
        </w:rPr>
      </w:pPr>
      <w:r w:rsidRPr="007C1BE8">
        <w:rPr>
          <w:rFonts w:ascii="Times New Roman" w:hAnsi="Times New Roman" w:cs="Times New Roman"/>
          <w:b/>
          <w:bCs/>
          <w:color w:val="0070C0"/>
        </w:rPr>
        <w:t>Supplementary figure 3.3:</w:t>
      </w:r>
      <w:r w:rsidR="00AE79ED" w:rsidRPr="007C1BE8">
        <w:rPr>
          <w:rFonts w:ascii="Times New Roman" w:eastAsiaTheme="minorEastAsia" w:hAnsi="Times New Roman" w:cs="Times New Roman"/>
          <w:b/>
          <w:color w:val="0070C0"/>
        </w:rPr>
        <w:t xml:space="preserve"> </w:t>
      </w:r>
      <w:r w:rsidR="00AE79ED" w:rsidRPr="007C1BE8">
        <w:rPr>
          <w:rFonts w:ascii="Times New Roman" w:eastAsiaTheme="minorEastAsia" w:hAnsi="Times New Roman" w:cs="Times New Roman"/>
          <w:b/>
        </w:rPr>
        <w:t>Banded leaf and sheath blight (</w:t>
      </w:r>
      <w:r w:rsidR="00AE79ED" w:rsidRPr="007C1BE8">
        <w:rPr>
          <w:rFonts w:ascii="Times New Roman" w:eastAsiaTheme="minorEastAsia" w:hAnsi="Times New Roman" w:cs="Times New Roman"/>
          <w:b/>
          <w:lang w:val="en-US" w:eastAsia="en-US"/>
        </w:rPr>
        <w:t xml:space="preserve">BLSB) </w:t>
      </w:r>
      <w:r w:rsidR="00117590" w:rsidRPr="007C1BE8">
        <w:rPr>
          <w:rFonts w:ascii="Times New Roman" w:eastAsiaTheme="minorEastAsia" w:hAnsi="Times New Roman" w:cs="Times New Roman"/>
          <w:b/>
          <w:lang w:val="en-US" w:eastAsia="en-US"/>
        </w:rPr>
        <w:t>disease</w:t>
      </w:r>
      <w:r w:rsidR="00AE79ED" w:rsidRPr="007C1BE8">
        <w:rPr>
          <w:rFonts w:ascii="Times New Roman" w:eastAsiaTheme="minorEastAsia" w:hAnsi="Times New Roman" w:cs="Times New Roman"/>
          <w:b/>
          <w:lang w:val="en-US" w:eastAsia="en-US"/>
        </w:rPr>
        <w:t xml:space="preserve"> reaction on maize plants (Vivek QPM-9) upon endophytic fungi treatment. Numerical data shows the percent reduction in disease severity (RDS) upon maize tissue treated with endophytic fungi. </w:t>
      </w:r>
    </w:p>
    <w:p w14:paraId="072A8B7F" w14:textId="77777777" w:rsidR="00A97F35" w:rsidRDefault="00A97F35">
      <w:pPr>
        <w:spacing w:line="240" w:lineRule="auto"/>
        <w:ind w:left="1350" w:hanging="1350"/>
        <w:jc w:val="both"/>
        <w:rPr>
          <w:rFonts w:ascii="Times New Roman" w:eastAsiaTheme="minorEastAsia" w:hAnsi="Times New Roman" w:cs="Times New Roman"/>
          <w:b/>
          <w:lang w:val="en-US" w:eastAsia="en-US"/>
        </w:rPr>
      </w:pPr>
    </w:p>
    <w:p w14:paraId="0636464E" w14:textId="77777777" w:rsidR="00A97F35" w:rsidRDefault="00AE79ED" w:rsidP="00105D50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6B33D688" w14:textId="77777777" w:rsidR="0030402D" w:rsidRDefault="0030402D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3EBA0216" w14:textId="77777777" w:rsidR="0038382F" w:rsidRDefault="0038382F">
      <w:pPr>
        <w:spacing w:line="360" w:lineRule="auto"/>
        <w:jc w:val="both"/>
        <w:rPr>
          <w:rFonts w:asciiTheme="minorHAnsi" w:eastAsiaTheme="minorEastAsia" w:hAnsiTheme="minorHAnsi" w:cstheme="minorBidi"/>
          <w:noProof/>
          <w:lang w:val="en-US" w:eastAsia="en-US"/>
        </w:rPr>
      </w:pPr>
    </w:p>
    <w:p w14:paraId="00EEE861" w14:textId="77777777" w:rsidR="00A97F35" w:rsidRDefault="00AE79ED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bCs/>
          <w:color w:val="0070C0"/>
        </w:rPr>
      </w:pPr>
      <w:r>
        <w:rPr>
          <w:rFonts w:asciiTheme="minorHAnsi" w:eastAsiaTheme="minorEastAsia" w:hAnsiTheme="minorHAnsi" w:cstheme="minorBidi"/>
          <w:noProof/>
          <w:lang w:val="en-US" w:eastAsia="en-US"/>
        </w:rPr>
        <w:lastRenderedPageBreak/>
        <w:drawing>
          <wp:inline distT="0" distB="0" distL="0" distR="0" wp14:anchorId="398B183D" wp14:editId="282D9BC7">
            <wp:extent cx="5224780" cy="2581275"/>
            <wp:effectExtent l="19050" t="19050" r="13970" b="28575"/>
            <wp:docPr id="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6" t="8530" r="2438" b="10399"/>
                    <a:stretch>
                      <a:fillRect/>
                    </a:stretch>
                  </pic:blipFill>
                  <pic:spPr>
                    <a:xfrm>
                      <a:off x="0" y="0"/>
                      <a:ext cx="5278047" cy="260795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70C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6855714E" w14:textId="77777777" w:rsidR="00A97F35" w:rsidRDefault="007C1BE8">
      <w:pPr>
        <w:spacing w:line="360" w:lineRule="auto"/>
        <w:ind w:left="720" w:hanging="720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bCs/>
          <w:color w:val="0070C0"/>
        </w:rPr>
        <w:t>Supplementary figure 3.4:</w:t>
      </w:r>
      <w:r w:rsidR="00AE79ED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AE79ED">
        <w:rPr>
          <w:rFonts w:ascii="Times New Roman" w:hAnsi="Times New Roman" w:cs="Times New Roman"/>
          <w:b/>
          <w:bCs/>
        </w:rPr>
        <w:t xml:space="preserve">Cob </w:t>
      </w:r>
      <w:r w:rsidR="00AE79ED" w:rsidRPr="00AE79ED">
        <w:rPr>
          <w:rFonts w:ascii="Times New Roman" w:hAnsi="Times New Roman" w:cs="Times New Roman"/>
          <w:b/>
          <w:bCs/>
        </w:rPr>
        <w:t>harvested</w:t>
      </w:r>
      <w:r w:rsidR="00AE79ED">
        <w:rPr>
          <w:rFonts w:ascii="Times New Roman" w:hAnsi="Times New Roman" w:cs="Times New Roman"/>
          <w:b/>
          <w:bCs/>
        </w:rPr>
        <w:t xml:space="preserve"> from the maize plants treated with selected endophytic fungal species</w:t>
      </w:r>
    </w:p>
    <w:p w14:paraId="30E8B3A6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6A40C556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51DF72DF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0446ADCE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268674AE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0F36FD92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4BAA9305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69D6FD82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77C84422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58EAB95F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3FD65671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1CBEFA3B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6592605B" w14:textId="77777777" w:rsidR="00105D50" w:rsidRDefault="00105D50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70C0"/>
          <w:lang w:val="en-US" w:eastAsia="en-US"/>
        </w:rPr>
      </w:pPr>
    </w:p>
    <w:p w14:paraId="3B87625E" w14:textId="77777777" w:rsidR="00B431A3" w:rsidRPr="00B431A3" w:rsidRDefault="00B431A3" w:rsidP="00B431A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lang w:val="en-US" w:eastAsia="en-US"/>
        </w:rPr>
      </w:pPr>
      <w:r w:rsidRPr="00B431A3">
        <w:rPr>
          <w:rFonts w:ascii="Times New Roman" w:hAnsi="Times New Roman" w:cs="Times New Roman"/>
          <w:b/>
          <w:color w:val="0070C0"/>
          <w:lang w:val="en-US" w:eastAsia="en-US"/>
        </w:rPr>
        <w:lastRenderedPageBreak/>
        <w:t>Supplementary table 3.1</w:t>
      </w:r>
      <w:r>
        <w:rPr>
          <w:rFonts w:ascii="Times New Roman" w:hAnsi="Times New Roman" w:cs="Times New Roman"/>
          <w:lang w:val="en-US" w:eastAsia="en-US"/>
        </w:rPr>
        <w:t>:</w:t>
      </w:r>
      <w:r w:rsidRPr="00B431A3">
        <w:rPr>
          <w:rFonts w:ascii="Times New Roman" w:hAnsi="Times New Roman" w:cs="Times New Roman"/>
          <w:b/>
          <w:bCs/>
        </w:rPr>
        <w:t xml:space="preserve"> </w:t>
      </w:r>
      <w:r w:rsidRPr="00B431A3">
        <w:rPr>
          <w:rFonts w:ascii="Times New Roman" w:hAnsi="Times New Roman" w:cs="Times New Roman"/>
          <w:bCs/>
        </w:rPr>
        <w:t>Pattern observed of</w:t>
      </w:r>
      <w:r>
        <w:rPr>
          <w:rFonts w:ascii="Times New Roman" w:hAnsi="Times New Roman" w:cs="Times New Roman"/>
          <w:b/>
          <w:bCs/>
        </w:rPr>
        <w:t xml:space="preserve"> </w:t>
      </w:r>
      <w:r w:rsidRPr="00B431A3">
        <w:rPr>
          <w:rFonts w:ascii="Times New Roman" w:hAnsi="Times New Roman" w:cs="Times New Roman"/>
          <w:bCs/>
        </w:rPr>
        <w:t>Bio-priming-induced defence genes</w:t>
      </w:r>
      <w:r>
        <w:rPr>
          <w:rFonts w:ascii="Times New Roman" w:hAnsi="Times New Roman" w:cs="Times New Roman"/>
          <w:bCs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1"/>
        <w:gridCol w:w="6335"/>
      </w:tblGrid>
      <w:tr w:rsidR="00704CF8" w:rsidRPr="00704CF8" w14:paraId="0ABA9AE6" w14:textId="77777777" w:rsidTr="00704CF8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58BC9" w14:textId="77777777" w:rsidR="00704CF8" w:rsidRPr="00704CF8" w:rsidRDefault="00704CF8" w:rsidP="00704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Gene/enzyme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2607D7A" w14:textId="77777777" w:rsidR="00704CF8" w:rsidRPr="00704CF8" w:rsidRDefault="00704CF8" w:rsidP="00704C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Pattern observed</w:t>
            </w:r>
          </w:p>
        </w:tc>
      </w:tr>
      <w:tr w:rsidR="00704CF8" w:rsidRPr="00704CF8" w14:paraId="1BEEC5FC" w14:textId="77777777" w:rsidTr="00704CF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D51A69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β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noBreakHyphen/>
              <w:t>1,3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noBreakHyphen/>
              <w:t>glucanase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162F21C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Sharp early peak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24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(PEN2 ~5.2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noBreakHyphen/>
              <w:t xml:space="preserve">fold,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p&lt;0.01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); PEN1 highest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48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(**</w:t>
            </w:r>
            <w:r w:rsidRPr="00704CF8">
              <w:rPr>
                <w:rFonts w:ascii="Times New Roman" w:hAnsi="Times New Roman" w:cs="Times New Roman"/>
                <w:i/>
                <w:iCs/>
                <w:lang w:val="en-US" w:eastAsia="en-US"/>
              </w:rPr>
              <w:t>); all treatments decline by 96 h, PEN2 even drops below mock (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</w:tc>
      </w:tr>
      <w:tr w:rsidR="00704CF8" w:rsidRPr="00704CF8" w14:paraId="386E8FB0" w14:textId="77777777" w:rsidTr="00704CF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15A9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Catalase (CAT)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C851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Strong, significant induction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48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for PEN1/PEN2 (~0.8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noBreakHyphen/>
              <w:t xml:space="preserve">fold, ***); ASPR peaks later,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96 h</w:t>
            </w:r>
          </w:p>
        </w:tc>
      </w:tr>
      <w:tr w:rsidR="00704CF8" w:rsidRPr="00704CF8" w14:paraId="12A55B89" w14:textId="77777777" w:rsidTr="00704CF8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18A0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Peroxidase (POX)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62C0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Significant rise from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24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onward (***); PEN2 peaks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72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(~3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noBreakHyphen/>
              <w:t>fold); ASPR shows late significant increases (72–96 h, **)</w:t>
            </w:r>
          </w:p>
        </w:tc>
      </w:tr>
      <w:tr w:rsidR="00704CF8" w:rsidRPr="00704CF8" w14:paraId="29E43F8E" w14:textId="77777777" w:rsidTr="00704CF8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B54CF1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Polyphenol oxidase (PPO)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2559FE8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Progressive, cumulative increase; significant from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48–72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(PEN1/PEN2, */**); PEN2 shows the largest overall induction, peaking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96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(~8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noBreakHyphen/>
              <w:t>fold)</w:t>
            </w:r>
          </w:p>
        </w:tc>
      </w:tr>
      <w:tr w:rsidR="00704CF8" w:rsidRPr="00704CF8" w14:paraId="51F676AA" w14:textId="77777777" w:rsidTr="00704CF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EDE0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Superoxide dismutase (SOD)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07932" w14:textId="77777777" w:rsidR="00704CF8" w:rsidRPr="00704CF8" w:rsidRDefault="00704CF8" w:rsidP="00704CF8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PEN2 dominates early — large, significant spikes at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24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(~5.2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noBreakHyphen/>
              <w:t xml:space="preserve">fold) and </w:t>
            </w:r>
            <w:r w:rsidRPr="00704CF8">
              <w:rPr>
                <w:rFonts w:ascii="Times New Roman" w:hAnsi="Times New Roman" w:cs="Times New Roman"/>
                <w:b/>
                <w:bCs/>
                <w:lang w:val="en-US" w:eastAsia="en-US"/>
              </w:rPr>
              <w:t>48 h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t xml:space="preserve"> (~3.7</w:t>
            </w:r>
            <w:r w:rsidRPr="00704CF8">
              <w:rPr>
                <w:rFonts w:ascii="Times New Roman" w:hAnsi="Times New Roman" w:cs="Times New Roman"/>
                <w:lang w:val="en-US" w:eastAsia="en-US"/>
              </w:rPr>
              <w:noBreakHyphen/>
              <w:t>fold), with the whole panel significant (***)</w:t>
            </w:r>
          </w:p>
        </w:tc>
      </w:tr>
    </w:tbl>
    <w:p w14:paraId="77332934" w14:textId="77777777" w:rsidR="00704CF8" w:rsidRDefault="00704CF8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00C09ABE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77FD1F65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44AA649F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57E30199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3AC1429E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232580CA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70CA939B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268D936D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p w14:paraId="205D88A7" w14:textId="77777777" w:rsidR="00FB6350" w:rsidRDefault="00FB6350">
      <w:pPr>
        <w:spacing w:line="360" w:lineRule="auto"/>
        <w:jc w:val="both"/>
        <w:rPr>
          <w:rFonts w:ascii="Times New Roman" w:hAnsi="Times New Roman" w:cs="Times New Roman"/>
          <w:b/>
          <w:bCs/>
          <w:color w:val="A52A2A"/>
          <w:sz w:val="24"/>
          <w:szCs w:val="24"/>
        </w:rPr>
      </w:pPr>
    </w:p>
    <w:sectPr w:rsidR="00FB6350">
      <w:pgSz w:w="11906" w:h="16838"/>
      <w:pgMar w:top="1440" w:right="1440" w:bottom="1440" w:left="2160" w:header="706" w:footer="706" w:gutter="0"/>
      <w:pgNumType w:start="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01E12" w14:textId="77777777" w:rsidR="005F1694" w:rsidRDefault="005F1694">
      <w:pPr>
        <w:spacing w:line="240" w:lineRule="auto"/>
      </w:pPr>
      <w:r>
        <w:separator/>
      </w:r>
    </w:p>
  </w:endnote>
  <w:endnote w:type="continuationSeparator" w:id="0">
    <w:p w14:paraId="0F7130AF" w14:textId="77777777" w:rsidR="005F1694" w:rsidRDefault="005F16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C5C16" w14:textId="77777777" w:rsidR="005F1694" w:rsidRDefault="005F1694">
      <w:pPr>
        <w:spacing w:after="0"/>
      </w:pPr>
      <w:r>
        <w:separator/>
      </w:r>
    </w:p>
  </w:footnote>
  <w:footnote w:type="continuationSeparator" w:id="0">
    <w:p w14:paraId="29191631" w14:textId="77777777" w:rsidR="005F1694" w:rsidRDefault="005F16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5D6E"/>
    <w:multiLevelType w:val="multilevel"/>
    <w:tmpl w:val="32A75D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61350"/>
    <w:multiLevelType w:val="multilevel"/>
    <w:tmpl w:val="1B56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047711">
    <w:abstractNumId w:val="0"/>
  </w:num>
  <w:num w:numId="2" w16cid:durableId="1582641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06E"/>
    <w:rsid w:val="0000061B"/>
    <w:rsid w:val="00000C2D"/>
    <w:rsid w:val="0000301F"/>
    <w:rsid w:val="000042B8"/>
    <w:rsid w:val="00006DB9"/>
    <w:rsid w:val="0001213D"/>
    <w:rsid w:val="00014B49"/>
    <w:rsid w:val="0001527E"/>
    <w:rsid w:val="000250F5"/>
    <w:rsid w:val="00026643"/>
    <w:rsid w:val="0002694B"/>
    <w:rsid w:val="000367A1"/>
    <w:rsid w:val="00072D93"/>
    <w:rsid w:val="000769A7"/>
    <w:rsid w:val="000769F3"/>
    <w:rsid w:val="000775DA"/>
    <w:rsid w:val="00090C3C"/>
    <w:rsid w:val="000975A4"/>
    <w:rsid w:val="000A51FB"/>
    <w:rsid w:val="000A62F7"/>
    <w:rsid w:val="000B34C0"/>
    <w:rsid w:val="000B3993"/>
    <w:rsid w:val="000B44E9"/>
    <w:rsid w:val="000B6880"/>
    <w:rsid w:val="000B6A16"/>
    <w:rsid w:val="000B6DD6"/>
    <w:rsid w:val="000C2D46"/>
    <w:rsid w:val="000C34BB"/>
    <w:rsid w:val="000C61AF"/>
    <w:rsid w:val="000C72DE"/>
    <w:rsid w:val="000C7A23"/>
    <w:rsid w:val="000D3239"/>
    <w:rsid w:val="000D3C18"/>
    <w:rsid w:val="000D4D5C"/>
    <w:rsid w:val="000D5DA0"/>
    <w:rsid w:val="000D73E6"/>
    <w:rsid w:val="000E497F"/>
    <w:rsid w:val="000E6EDF"/>
    <w:rsid w:val="000E77D8"/>
    <w:rsid w:val="000F0079"/>
    <w:rsid w:val="000F5382"/>
    <w:rsid w:val="000F6D35"/>
    <w:rsid w:val="00103642"/>
    <w:rsid w:val="001052F8"/>
    <w:rsid w:val="00105D50"/>
    <w:rsid w:val="00106E32"/>
    <w:rsid w:val="00117590"/>
    <w:rsid w:val="001175D8"/>
    <w:rsid w:val="00117A1D"/>
    <w:rsid w:val="001253AB"/>
    <w:rsid w:val="0012636E"/>
    <w:rsid w:val="00126D95"/>
    <w:rsid w:val="00131607"/>
    <w:rsid w:val="00136745"/>
    <w:rsid w:val="00141279"/>
    <w:rsid w:val="00141A37"/>
    <w:rsid w:val="00143776"/>
    <w:rsid w:val="0014658F"/>
    <w:rsid w:val="00146961"/>
    <w:rsid w:val="001469A2"/>
    <w:rsid w:val="0014738D"/>
    <w:rsid w:val="00152C03"/>
    <w:rsid w:val="00161E47"/>
    <w:rsid w:val="00184F52"/>
    <w:rsid w:val="00192D60"/>
    <w:rsid w:val="0019574B"/>
    <w:rsid w:val="0019575D"/>
    <w:rsid w:val="00196CA8"/>
    <w:rsid w:val="00196F47"/>
    <w:rsid w:val="001A325A"/>
    <w:rsid w:val="001B0F73"/>
    <w:rsid w:val="001B20B5"/>
    <w:rsid w:val="001B3F80"/>
    <w:rsid w:val="001B42EF"/>
    <w:rsid w:val="001B67F1"/>
    <w:rsid w:val="001C01D5"/>
    <w:rsid w:val="001C110A"/>
    <w:rsid w:val="001C4DD2"/>
    <w:rsid w:val="001C722F"/>
    <w:rsid w:val="001D14CA"/>
    <w:rsid w:val="001D36A5"/>
    <w:rsid w:val="001D3929"/>
    <w:rsid w:val="001D7BD9"/>
    <w:rsid w:val="001E04DD"/>
    <w:rsid w:val="001E4C90"/>
    <w:rsid w:val="001F1CEB"/>
    <w:rsid w:val="00201236"/>
    <w:rsid w:val="002019CF"/>
    <w:rsid w:val="00203109"/>
    <w:rsid w:val="00211963"/>
    <w:rsid w:val="00223A29"/>
    <w:rsid w:val="00226DD2"/>
    <w:rsid w:val="002302A6"/>
    <w:rsid w:val="00232042"/>
    <w:rsid w:val="00234FED"/>
    <w:rsid w:val="002441CC"/>
    <w:rsid w:val="002477E0"/>
    <w:rsid w:val="00251B46"/>
    <w:rsid w:val="00252381"/>
    <w:rsid w:val="00254AC2"/>
    <w:rsid w:val="00256D28"/>
    <w:rsid w:val="002576F7"/>
    <w:rsid w:val="00257D56"/>
    <w:rsid w:val="002653D7"/>
    <w:rsid w:val="00274458"/>
    <w:rsid w:val="00274AEC"/>
    <w:rsid w:val="00281AEF"/>
    <w:rsid w:val="002838F9"/>
    <w:rsid w:val="00290010"/>
    <w:rsid w:val="00291DD5"/>
    <w:rsid w:val="0029357C"/>
    <w:rsid w:val="00293E79"/>
    <w:rsid w:val="002A2A0C"/>
    <w:rsid w:val="002A67F6"/>
    <w:rsid w:val="002A6B2C"/>
    <w:rsid w:val="002B6AAB"/>
    <w:rsid w:val="002C0385"/>
    <w:rsid w:val="002C2457"/>
    <w:rsid w:val="002C2C20"/>
    <w:rsid w:val="002C477B"/>
    <w:rsid w:val="002D3721"/>
    <w:rsid w:val="002D5A95"/>
    <w:rsid w:val="002E1D2C"/>
    <w:rsid w:val="002E3CC0"/>
    <w:rsid w:val="002E42A8"/>
    <w:rsid w:val="002E4D8B"/>
    <w:rsid w:val="002E582E"/>
    <w:rsid w:val="002E6868"/>
    <w:rsid w:val="002F070F"/>
    <w:rsid w:val="002F1355"/>
    <w:rsid w:val="002F7A65"/>
    <w:rsid w:val="0030274B"/>
    <w:rsid w:val="0030402D"/>
    <w:rsid w:val="003120B0"/>
    <w:rsid w:val="0031336F"/>
    <w:rsid w:val="003228F1"/>
    <w:rsid w:val="00323766"/>
    <w:rsid w:val="00324648"/>
    <w:rsid w:val="00325B8B"/>
    <w:rsid w:val="0034025D"/>
    <w:rsid w:val="00341869"/>
    <w:rsid w:val="00342643"/>
    <w:rsid w:val="003608FA"/>
    <w:rsid w:val="00361CC6"/>
    <w:rsid w:val="003663A3"/>
    <w:rsid w:val="003676E5"/>
    <w:rsid w:val="00367FC4"/>
    <w:rsid w:val="00372560"/>
    <w:rsid w:val="0037257B"/>
    <w:rsid w:val="00373E03"/>
    <w:rsid w:val="003801B5"/>
    <w:rsid w:val="0038382F"/>
    <w:rsid w:val="00383C05"/>
    <w:rsid w:val="00383DD4"/>
    <w:rsid w:val="00383E7B"/>
    <w:rsid w:val="0038472A"/>
    <w:rsid w:val="00390941"/>
    <w:rsid w:val="003909CD"/>
    <w:rsid w:val="00393945"/>
    <w:rsid w:val="0039430A"/>
    <w:rsid w:val="00395C43"/>
    <w:rsid w:val="003A0B94"/>
    <w:rsid w:val="003A2BC9"/>
    <w:rsid w:val="003A33D7"/>
    <w:rsid w:val="003A5055"/>
    <w:rsid w:val="003A7F74"/>
    <w:rsid w:val="003B14FF"/>
    <w:rsid w:val="003C419C"/>
    <w:rsid w:val="003C67EB"/>
    <w:rsid w:val="003C6CBB"/>
    <w:rsid w:val="003D18B6"/>
    <w:rsid w:val="003D3D89"/>
    <w:rsid w:val="003D4651"/>
    <w:rsid w:val="003E0293"/>
    <w:rsid w:val="003E0FDF"/>
    <w:rsid w:val="003E2394"/>
    <w:rsid w:val="003E382B"/>
    <w:rsid w:val="003E4CB4"/>
    <w:rsid w:val="003F5384"/>
    <w:rsid w:val="003F5CC3"/>
    <w:rsid w:val="0040062D"/>
    <w:rsid w:val="0041585D"/>
    <w:rsid w:val="004218A0"/>
    <w:rsid w:val="0043186F"/>
    <w:rsid w:val="004325A3"/>
    <w:rsid w:val="00444803"/>
    <w:rsid w:val="00456D30"/>
    <w:rsid w:val="00457576"/>
    <w:rsid w:val="00460945"/>
    <w:rsid w:val="00473BE9"/>
    <w:rsid w:val="00476927"/>
    <w:rsid w:val="00480959"/>
    <w:rsid w:val="00486E49"/>
    <w:rsid w:val="00487874"/>
    <w:rsid w:val="00492235"/>
    <w:rsid w:val="00497EC0"/>
    <w:rsid w:val="004A32D2"/>
    <w:rsid w:val="004A3B1E"/>
    <w:rsid w:val="004B1FB7"/>
    <w:rsid w:val="004B2084"/>
    <w:rsid w:val="004B2F61"/>
    <w:rsid w:val="004B4865"/>
    <w:rsid w:val="004B5901"/>
    <w:rsid w:val="004C033D"/>
    <w:rsid w:val="004C4C9D"/>
    <w:rsid w:val="004C6DF7"/>
    <w:rsid w:val="004D5C33"/>
    <w:rsid w:val="004D5C8E"/>
    <w:rsid w:val="004D6AC1"/>
    <w:rsid w:val="004D71D7"/>
    <w:rsid w:val="004E219A"/>
    <w:rsid w:val="004E265C"/>
    <w:rsid w:val="004F2C56"/>
    <w:rsid w:val="004F42E7"/>
    <w:rsid w:val="004F5D4D"/>
    <w:rsid w:val="004F606E"/>
    <w:rsid w:val="00500543"/>
    <w:rsid w:val="005010B1"/>
    <w:rsid w:val="00510DEF"/>
    <w:rsid w:val="00513544"/>
    <w:rsid w:val="00522F9E"/>
    <w:rsid w:val="00524D92"/>
    <w:rsid w:val="005303AC"/>
    <w:rsid w:val="00533594"/>
    <w:rsid w:val="0053476E"/>
    <w:rsid w:val="005413FD"/>
    <w:rsid w:val="00541A9B"/>
    <w:rsid w:val="005449C3"/>
    <w:rsid w:val="00550BFF"/>
    <w:rsid w:val="00550E42"/>
    <w:rsid w:val="00554922"/>
    <w:rsid w:val="0055643A"/>
    <w:rsid w:val="00564E0C"/>
    <w:rsid w:val="0056590D"/>
    <w:rsid w:val="00571506"/>
    <w:rsid w:val="00572E94"/>
    <w:rsid w:val="00581432"/>
    <w:rsid w:val="00597B8B"/>
    <w:rsid w:val="005A6F4D"/>
    <w:rsid w:val="005B032A"/>
    <w:rsid w:val="005B24DA"/>
    <w:rsid w:val="005C0CA6"/>
    <w:rsid w:val="005C113F"/>
    <w:rsid w:val="005C3E73"/>
    <w:rsid w:val="005C4891"/>
    <w:rsid w:val="005C55C5"/>
    <w:rsid w:val="005C5876"/>
    <w:rsid w:val="005C6BCD"/>
    <w:rsid w:val="005D453C"/>
    <w:rsid w:val="005E0133"/>
    <w:rsid w:val="005E609F"/>
    <w:rsid w:val="005F0A65"/>
    <w:rsid w:val="005F1694"/>
    <w:rsid w:val="005F5096"/>
    <w:rsid w:val="005F747D"/>
    <w:rsid w:val="0060182A"/>
    <w:rsid w:val="006055AC"/>
    <w:rsid w:val="006104D3"/>
    <w:rsid w:val="006118F4"/>
    <w:rsid w:val="00612DF6"/>
    <w:rsid w:val="00614585"/>
    <w:rsid w:val="00615DE2"/>
    <w:rsid w:val="00627283"/>
    <w:rsid w:val="0063091B"/>
    <w:rsid w:val="006450BB"/>
    <w:rsid w:val="00646B9B"/>
    <w:rsid w:val="00657913"/>
    <w:rsid w:val="00662366"/>
    <w:rsid w:val="006720A2"/>
    <w:rsid w:val="006727A9"/>
    <w:rsid w:val="00675519"/>
    <w:rsid w:val="00675727"/>
    <w:rsid w:val="0068035A"/>
    <w:rsid w:val="006809CE"/>
    <w:rsid w:val="00682374"/>
    <w:rsid w:val="00684F88"/>
    <w:rsid w:val="006877AC"/>
    <w:rsid w:val="00687841"/>
    <w:rsid w:val="00690F8B"/>
    <w:rsid w:val="00691F34"/>
    <w:rsid w:val="00694A2C"/>
    <w:rsid w:val="00696C05"/>
    <w:rsid w:val="00696E3E"/>
    <w:rsid w:val="00696E6D"/>
    <w:rsid w:val="00697C2E"/>
    <w:rsid w:val="006A1AB4"/>
    <w:rsid w:val="006A2826"/>
    <w:rsid w:val="006A33C6"/>
    <w:rsid w:val="006A7DCA"/>
    <w:rsid w:val="006B0B39"/>
    <w:rsid w:val="006C0635"/>
    <w:rsid w:val="006C1AA5"/>
    <w:rsid w:val="006C3E73"/>
    <w:rsid w:val="006C5C8B"/>
    <w:rsid w:val="006C7E3C"/>
    <w:rsid w:val="006D1567"/>
    <w:rsid w:val="006D18E1"/>
    <w:rsid w:val="006E1C0F"/>
    <w:rsid w:val="006E3254"/>
    <w:rsid w:val="006E3F3F"/>
    <w:rsid w:val="006E478E"/>
    <w:rsid w:val="006F2C28"/>
    <w:rsid w:val="006F4E77"/>
    <w:rsid w:val="00703196"/>
    <w:rsid w:val="00704CF8"/>
    <w:rsid w:val="00713B8D"/>
    <w:rsid w:val="00725A91"/>
    <w:rsid w:val="0073053D"/>
    <w:rsid w:val="00731E6D"/>
    <w:rsid w:val="00737BEC"/>
    <w:rsid w:val="00742FBA"/>
    <w:rsid w:val="00744511"/>
    <w:rsid w:val="0074597E"/>
    <w:rsid w:val="007466DF"/>
    <w:rsid w:val="00751A85"/>
    <w:rsid w:val="00770FFE"/>
    <w:rsid w:val="0077146C"/>
    <w:rsid w:val="00771734"/>
    <w:rsid w:val="00776E8B"/>
    <w:rsid w:val="007804D8"/>
    <w:rsid w:val="00785B73"/>
    <w:rsid w:val="00791F4F"/>
    <w:rsid w:val="0079517E"/>
    <w:rsid w:val="00797F9F"/>
    <w:rsid w:val="007B51F4"/>
    <w:rsid w:val="007B558A"/>
    <w:rsid w:val="007C0C66"/>
    <w:rsid w:val="007C1BE8"/>
    <w:rsid w:val="007C229B"/>
    <w:rsid w:val="007C4F00"/>
    <w:rsid w:val="007C5FF9"/>
    <w:rsid w:val="007D6347"/>
    <w:rsid w:val="007D67F1"/>
    <w:rsid w:val="007E703E"/>
    <w:rsid w:val="007F37E6"/>
    <w:rsid w:val="007F3F91"/>
    <w:rsid w:val="007F4602"/>
    <w:rsid w:val="0080445A"/>
    <w:rsid w:val="00811956"/>
    <w:rsid w:val="008236CA"/>
    <w:rsid w:val="00823BB1"/>
    <w:rsid w:val="00826CFE"/>
    <w:rsid w:val="00827170"/>
    <w:rsid w:val="00832928"/>
    <w:rsid w:val="0083661F"/>
    <w:rsid w:val="00837C17"/>
    <w:rsid w:val="00840AB8"/>
    <w:rsid w:val="008420C4"/>
    <w:rsid w:val="0084431F"/>
    <w:rsid w:val="00844DF3"/>
    <w:rsid w:val="008451FF"/>
    <w:rsid w:val="00853478"/>
    <w:rsid w:val="008571F3"/>
    <w:rsid w:val="00870C7C"/>
    <w:rsid w:val="0087337B"/>
    <w:rsid w:val="00874640"/>
    <w:rsid w:val="0088354C"/>
    <w:rsid w:val="008869BD"/>
    <w:rsid w:val="008877D4"/>
    <w:rsid w:val="0089010C"/>
    <w:rsid w:val="00892F28"/>
    <w:rsid w:val="00897AAA"/>
    <w:rsid w:val="008A6AFC"/>
    <w:rsid w:val="008A6FC7"/>
    <w:rsid w:val="008B3389"/>
    <w:rsid w:val="008C1A48"/>
    <w:rsid w:val="008C258B"/>
    <w:rsid w:val="008C281A"/>
    <w:rsid w:val="008C4422"/>
    <w:rsid w:val="008C4F76"/>
    <w:rsid w:val="008D2152"/>
    <w:rsid w:val="008D7AE9"/>
    <w:rsid w:val="008E2114"/>
    <w:rsid w:val="008E2597"/>
    <w:rsid w:val="008E351B"/>
    <w:rsid w:val="008E49B1"/>
    <w:rsid w:val="008E5E3C"/>
    <w:rsid w:val="008F0290"/>
    <w:rsid w:val="008F6379"/>
    <w:rsid w:val="009018FF"/>
    <w:rsid w:val="00906D21"/>
    <w:rsid w:val="00910580"/>
    <w:rsid w:val="00913DEE"/>
    <w:rsid w:val="00916D3B"/>
    <w:rsid w:val="009226BB"/>
    <w:rsid w:val="00930B1F"/>
    <w:rsid w:val="009357C5"/>
    <w:rsid w:val="009379AF"/>
    <w:rsid w:val="00940582"/>
    <w:rsid w:val="009461BD"/>
    <w:rsid w:val="00953600"/>
    <w:rsid w:val="00960593"/>
    <w:rsid w:val="0096141D"/>
    <w:rsid w:val="00961BAC"/>
    <w:rsid w:val="00962069"/>
    <w:rsid w:val="0096478F"/>
    <w:rsid w:val="00967BC3"/>
    <w:rsid w:val="00972053"/>
    <w:rsid w:val="00974B95"/>
    <w:rsid w:val="00977107"/>
    <w:rsid w:val="0098108B"/>
    <w:rsid w:val="0098601E"/>
    <w:rsid w:val="0098692F"/>
    <w:rsid w:val="0098768C"/>
    <w:rsid w:val="009A1915"/>
    <w:rsid w:val="009A2A53"/>
    <w:rsid w:val="009A48EB"/>
    <w:rsid w:val="009B2590"/>
    <w:rsid w:val="009B38C0"/>
    <w:rsid w:val="009C17F9"/>
    <w:rsid w:val="009C25D7"/>
    <w:rsid w:val="009C3E46"/>
    <w:rsid w:val="009D1E6C"/>
    <w:rsid w:val="009D5ADB"/>
    <w:rsid w:val="009E4809"/>
    <w:rsid w:val="009E6E75"/>
    <w:rsid w:val="009E7A20"/>
    <w:rsid w:val="009F079C"/>
    <w:rsid w:val="009F0D49"/>
    <w:rsid w:val="009F0F3A"/>
    <w:rsid w:val="009F1CCF"/>
    <w:rsid w:val="009F6019"/>
    <w:rsid w:val="00A04700"/>
    <w:rsid w:val="00A059A2"/>
    <w:rsid w:val="00A131D9"/>
    <w:rsid w:val="00A174A3"/>
    <w:rsid w:val="00A234EF"/>
    <w:rsid w:val="00A23689"/>
    <w:rsid w:val="00A24CEA"/>
    <w:rsid w:val="00A26099"/>
    <w:rsid w:val="00A30078"/>
    <w:rsid w:val="00A320B7"/>
    <w:rsid w:val="00A327F6"/>
    <w:rsid w:val="00A337D5"/>
    <w:rsid w:val="00A35CCB"/>
    <w:rsid w:val="00A3696F"/>
    <w:rsid w:val="00A46078"/>
    <w:rsid w:val="00A46967"/>
    <w:rsid w:val="00A47FFC"/>
    <w:rsid w:val="00A53253"/>
    <w:rsid w:val="00A6601C"/>
    <w:rsid w:val="00A6636F"/>
    <w:rsid w:val="00A73847"/>
    <w:rsid w:val="00A7429E"/>
    <w:rsid w:val="00A74F90"/>
    <w:rsid w:val="00A762F3"/>
    <w:rsid w:val="00A7657A"/>
    <w:rsid w:val="00A7776A"/>
    <w:rsid w:val="00A824F1"/>
    <w:rsid w:val="00A870B0"/>
    <w:rsid w:val="00A91720"/>
    <w:rsid w:val="00A96B1F"/>
    <w:rsid w:val="00A97F35"/>
    <w:rsid w:val="00AA0E6B"/>
    <w:rsid w:val="00AA21DF"/>
    <w:rsid w:val="00AB0593"/>
    <w:rsid w:val="00AB1C98"/>
    <w:rsid w:val="00AB5B44"/>
    <w:rsid w:val="00AB5F26"/>
    <w:rsid w:val="00AB76FE"/>
    <w:rsid w:val="00AB7FA1"/>
    <w:rsid w:val="00AC0870"/>
    <w:rsid w:val="00AC5E97"/>
    <w:rsid w:val="00AC5F4C"/>
    <w:rsid w:val="00AC699E"/>
    <w:rsid w:val="00AD133A"/>
    <w:rsid w:val="00AD2FBA"/>
    <w:rsid w:val="00AD72F1"/>
    <w:rsid w:val="00AD7C3A"/>
    <w:rsid w:val="00AE085D"/>
    <w:rsid w:val="00AE6208"/>
    <w:rsid w:val="00AE6B7E"/>
    <w:rsid w:val="00AE767A"/>
    <w:rsid w:val="00AE79ED"/>
    <w:rsid w:val="00AF7113"/>
    <w:rsid w:val="00B0445B"/>
    <w:rsid w:val="00B04471"/>
    <w:rsid w:val="00B128AD"/>
    <w:rsid w:val="00B12EB2"/>
    <w:rsid w:val="00B20B17"/>
    <w:rsid w:val="00B23195"/>
    <w:rsid w:val="00B24E6C"/>
    <w:rsid w:val="00B27067"/>
    <w:rsid w:val="00B33196"/>
    <w:rsid w:val="00B34E03"/>
    <w:rsid w:val="00B35DD5"/>
    <w:rsid w:val="00B40A3B"/>
    <w:rsid w:val="00B431A3"/>
    <w:rsid w:val="00B44F93"/>
    <w:rsid w:val="00B51145"/>
    <w:rsid w:val="00B52689"/>
    <w:rsid w:val="00B56918"/>
    <w:rsid w:val="00B61687"/>
    <w:rsid w:val="00B63666"/>
    <w:rsid w:val="00B66E20"/>
    <w:rsid w:val="00B756DF"/>
    <w:rsid w:val="00B807BD"/>
    <w:rsid w:val="00B84D72"/>
    <w:rsid w:val="00B85E6E"/>
    <w:rsid w:val="00B86225"/>
    <w:rsid w:val="00B8714E"/>
    <w:rsid w:val="00B9162B"/>
    <w:rsid w:val="00B97CD6"/>
    <w:rsid w:val="00BA0EFE"/>
    <w:rsid w:val="00BA12C3"/>
    <w:rsid w:val="00BA2DCB"/>
    <w:rsid w:val="00BA3CB2"/>
    <w:rsid w:val="00BA3FC5"/>
    <w:rsid w:val="00BA52C7"/>
    <w:rsid w:val="00BB4C1E"/>
    <w:rsid w:val="00BC14D3"/>
    <w:rsid w:val="00BC1BB1"/>
    <w:rsid w:val="00BC440D"/>
    <w:rsid w:val="00BD73DD"/>
    <w:rsid w:val="00BD77F6"/>
    <w:rsid w:val="00BD7DF9"/>
    <w:rsid w:val="00BE31CE"/>
    <w:rsid w:val="00BE326D"/>
    <w:rsid w:val="00BF441E"/>
    <w:rsid w:val="00BF5136"/>
    <w:rsid w:val="00C00958"/>
    <w:rsid w:val="00C01A9B"/>
    <w:rsid w:val="00C02D26"/>
    <w:rsid w:val="00C034E9"/>
    <w:rsid w:val="00C03653"/>
    <w:rsid w:val="00C07017"/>
    <w:rsid w:val="00C154A8"/>
    <w:rsid w:val="00C207E9"/>
    <w:rsid w:val="00C251AE"/>
    <w:rsid w:val="00C310F2"/>
    <w:rsid w:val="00C31523"/>
    <w:rsid w:val="00C33173"/>
    <w:rsid w:val="00C3355A"/>
    <w:rsid w:val="00C338DE"/>
    <w:rsid w:val="00C41ACC"/>
    <w:rsid w:val="00C43764"/>
    <w:rsid w:val="00C450BF"/>
    <w:rsid w:val="00C4520D"/>
    <w:rsid w:val="00C457AE"/>
    <w:rsid w:val="00C52581"/>
    <w:rsid w:val="00C61487"/>
    <w:rsid w:val="00C62159"/>
    <w:rsid w:val="00C63BD1"/>
    <w:rsid w:val="00C64C9A"/>
    <w:rsid w:val="00C65625"/>
    <w:rsid w:val="00C6684E"/>
    <w:rsid w:val="00C71741"/>
    <w:rsid w:val="00C7254C"/>
    <w:rsid w:val="00C8207D"/>
    <w:rsid w:val="00C84E69"/>
    <w:rsid w:val="00C93AE1"/>
    <w:rsid w:val="00CA7461"/>
    <w:rsid w:val="00CB342F"/>
    <w:rsid w:val="00CC1225"/>
    <w:rsid w:val="00CC1B2C"/>
    <w:rsid w:val="00CC1C32"/>
    <w:rsid w:val="00CC1DF0"/>
    <w:rsid w:val="00CC21D8"/>
    <w:rsid w:val="00CC2D94"/>
    <w:rsid w:val="00CC3CC0"/>
    <w:rsid w:val="00CC7A99"/>
    <w:rsid w:val="00CD5C5F"/>
    <w:rsid w:val="00CD6011"/>
    <w:rsid w:val="00CE0632"/>
    <w:rsid w:val="00CE0EAC"/>
    <w:rsid w:val="00CE2236"/>
    <w:rsid w:val="00CF42C6"/>
    <w:rsid w:val="00D00928"/>
    <w:rsid w:val="00D02552"/>
    <w:rsid w:val="00D064C1"/>
    <w:rsid w:val="00D07AF9"/>
    <w:rsid w:val="00D114D7"/>
    <w:rsid w:val="00D20DA2"/>
    <w:rsid w:val="00D21452"/>
    <w:rsid w:val="00D23171"/>
    <w:rsid w:val="00D23ABD"/>
    <w:rsid w:val="00D23BFC"/>
    <w:rsid w:val="00D27543"/>
    <w:rsid w:val="00D349E5"/>
    <w:rsid w:val="00D35226"/>
    <w:rsid w:val="00D36726"/>
    <w:rsid w:val="00D50059"/>
    <w:rsid w:val="00D50D3C"/>
    <w:rsid w:val="00D53A45"/>
    <w:rsid w:val="00D53C71"/>
    <w:rsid w:val="00D55E2D"/>
    <w:rsid w:val="00D5678C"/>
    <w:rsid w:val="00D608C1"/>
    <w:rsid w:val="00D642FF"/>
    <w:rsid w:val="00D67A3B"/>
    <w:rsid w:val="00D67C4E"/>
    <w:rsid w:val="00D823A2"/>
    <w:rsid w:val="00D90858"/>
    <w:rsid w:val="00D91249"/>
    <w:rsid w:val="00D97EB4"/>
    <w:rsid w:val="00DA21D1"/>
    <w:rsid w:val="00DB208C"/>
    <w:rsid w:val="00DB2F35"/>
    <w:rsid w:val="00DB381E"/>
    <w:rsid w:val="00DB76E2"/>
    <w:rsid w:val="00DC2AEB"/>
    <w:rsid w:val="00DC3D32"/>
    <w:rsid w:val="00DD1746"/>
    <w:rsid w:val="00DD3913"/>
    <w:rsid w:val="00DD5067"/>
    <w:rsid w:val="00DE3D0B"/>
    <w:rsid w:val="00DE5682"/>
    <w:rsid w:val="00DE7BF1"/>
    <w:rsid w:val="00E0380C"/>
    <w:rsid w:val="00E043EC"/>
    <w:rsid w:val="00E04D29"/>
    <w:rsid w:val="00E065D5"/>
    <w:rsid w:val="00E070EC"/>
    <w:rsid w:val="00E1075E"/>
    <w:rsid w:val="00E10E99"/>
    <w:rsid w:val="00E11369"/>
    <w:rsid w:val="00E13254"/>
    <w:rsid w:val="00E21D76"/>
    <w:rsid w:val="00E24D03"/>
    <w:rsid w:val="00E30345"/>
    <w:rsid w:val="00E40D3B"/>
    <w:rsid w:val="00E4732D"/>
    <w:rsid w:val="00E552AB"/>
    <w:rsid w:val="00E64A70"/>
    <w:rsid w:val="00E6550F"/>
    <w:rsid w:val="00E66609"/>
    <w:rsid w:val="00E666A7"/>
    <w:rsid w:val="00E66976"/>
    <w:rsid w:val="00E7070E"/>
    <w:rsid w:val="00E73333"/>
    <w:rsid w:val="00E7511B"/>
    <w:rsid w:val="00E75920"/>
    <w:rsid w:val="00E75B71"/>
    <w:rsid w:val="00E8492B"/>
    <w:rsid w:val="00E867D6"/>
    <w:rsid w:val="00E87193"/>
    <w:rsid w:val="00E90397"/>
    <w:rsid w:val="00E90E2E"/>
    <w:rsid w:val="00E95CD5"/>
    <w:rsid w:val="00EA0FC2"/>
    <w:rsid w:val="00EA41C2"/>
    <w:rsid w:val="00EB0F88"/>
    <w:rsid w:val="00ED47EA"/>
    <w:rsid w:val="00EE0211"/>
    <w:rsid w:val="00EE173A"/>
    <w:rsid w:val="00EE5878"/>
    <w:rsid w:val="00EE7BD1"/>
    <w:rsid w:val="00EE7CA5"/>
    <w:rsid w:val="00EF2788"/>
    <w:rsid w:val="00EF4E8D"/>
    <w:rsid w:val="00EF64E2"/>
    <w:rsid w:val="00EF7FD9"/>
    <w:rsid w:val="00F01CE8"/>
    <w:rsid w:val="00F02349"/>
    <w:rsid w:val="00F030AF"/>
    <w:rsid w:val="00F034B3"/>
    <w:rsid w:val="00F06266"/>
    <w:rsid w:val="00F10004"/>
    <w:rsid w:val="00F10586"/>
    <w:rsid w:val="00F129AA"/>
    <w:rsid w:val="00F14C4D"/>
    <w:rsid w:val="00F155EB"/>
    <w:rsid w:val="00F16045"/>
    <w:rsid w:val="00F16DF7"/>
    <w:rsid w:val="00F21B1F"/>
    <w:rsid w:val="00F23913"/>
    <w:rsid w:val="00F241C9"/>
    <w:rsid w:val="00F31349"/>
    <w:rsid w:val="00F336C1"/>
    <w:rsid w:val="00F33AD7"/>
    <w:rsid w:val="00F40539"/>
    <w:rsid w:val="00F40FED"/>
    <w:rsid w:val="00F41EBA"/>
    <w:rsid w:val="00F43369"/>
    <w:rsid w:val="00F43ABB"/>
    <w:rsid w:val="00F477DC"/>
    <w:rsid w:val="00F53726"/>
    <w:rsid w:val="00F64886"/>
    <w:rsid w:val="00F669C3"/>
    <w:rsid w:val="00F70EAA"/>
    <w:rsid w:val="00F8139E"/>
    <w:rsid w:val="00F81467"/>
    <w:rsid w:val="00F9554F"/>
    <w:rsid w:val="00F96B39"/>
    <w:rsid w:val="00F97E71"/>
    <w:rsid w:val="00FA27ED"/>
    <w:rsid w:val="00FB6350"/>
    <w:rsid w:val="00FB68A0"/>
    <w:rsid w:val="00FB6C96"/>
    <w:rsid w:val="00FC01D8"/>
    <w:rsid w:val="00FC08AE"/>
    <w:rsid w:val="00FC528E"/>
    <w:rsid w:val="00FC6180"/>
    <w:rsid w:val="00FC7A81"/>
    <w:rsid w:val="00FD388F"/>
    <w:rsid w:val="00FF5EB4"/>
    <w:rsid w:val="00FF66B2"/>
    <w:rsid w:val="00FF6F8A"/>
    <w:rsid w:val="00FF78C8"/>
    <w:rsid w:val="00FF7DF0"/>
    <w:rsid w:val="7FB6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D5EFD"/>
  <w15:docId w15:val="{35070695-0BDF-4CDF-ACF0-1C10B0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Times New Roman" w:hAnsi="Calibri" w:cs="Mangal"/>
      <w:sz w:val="22"/>
      <w:szCs w:val="22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 w:cs="Times New Roman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  <w:lang w:val="en-IN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rFonts w:ascii="Calibri" w:eastAsia="Calibri" w:hAnsi="Calibri" w:cs="Times New Roman"/>
      <w:color w:val="365F91" w:themeColor="accent1" w:themeShade="BF"/>
      <w:lang w:val="en-IN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3">
    <w:name w:val="Light Shading Accent 3"/>
    <w:basedOn w:val="TableNormal"/>
    <w:uiPriority w:val="60"/>
    <w:rPr>
      <w:rFonts w:ascii="Calibri" w:eastAsia="Calibri" w:hAnsi="Calibri" w:cs="Times New Roman"/>
      <w:color w:val="76923C" w:themeColor="accent3" w:themeShade="BF"/>
      <w:lang w:val="en-IN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rFonts w:ascii="Calibri" w:eastAsia="Calibri" w:hAnsi="Calibri" w:cs="Times New Roman"/>
      <w:color w:val="5F497A" w:themeColor="accent4" w:themeShade="BF"/>
      <w:lang w:val="en-IN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List-Accent1">
    <w:name w:val="Light List Accent 1"/>
    <w:basedOn w:val="TableNormal"/>
    <w:uiPriority w:val="61"/>
    <w:rPr>
      <w:rFonts w:ascii="Calibri" w:eastAsia="Calibri" w:hAnsi="Calibri" w:cs="Times New Roman"/>
      <w:lang w:val="en-IN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Pr>
      <w:rFonts w:ascii="Calibri" w:eastAsia="Calibri" w:hAnsi="Calibri" w:cs="Times New Roman"/>
      <w:lang w:val="en-IN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val="en-IN"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lang w:val="en-IN" w:eastAsia="en-I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Calibri" w:eastAsia="Times New Roman" w:hAnsi="Calibri" w:cs="Mangal"/>
      <w:sz w:val="20"/>
      <w:szCs w:val="20"/>
      <w:lang w:val="en-IN" w:eastAsia="en-IN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Times New Roman" w:hAnsi="Calibri" w:cs="Mangal"/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Times New Roman" w:hAnsi="Calibri" w:cs="Mangal"/>
      <w:lang w:val="en-IN" w:eastAsia="en-IN"/>
    </w:rPr>
  </w:style>
  <w:style w:type="character" w:customStyle="1" w:styleId="css-0">
    <w:name w:val="css-0"/>
    <w:basedOn w:val="DefaultParagraphFont"/>
  </w:style>
  <w:style w:type="character" w:customStyle="1" w:styleId="css-rh820s">
    <w:name w:val="css-rh820s"/>
    <w:basedOn w:val="DefaultParagraphFont"/>
  </w:style>
  <w:style w:type="character" w:customStyle="1" w:styleId="css-15iwe0d">
    <w:name w:val="css-15iwe0d"/>
    <w:basedOn w:val="DefaultParagraphFont"/>
  </w:style>
  <w:style w:type="character" w:customStyle="1" w:styleId="css-2yp7ui">
    <w:name w:val="css-2yp7ui"/>
    <w:basedOn w:val="DefaultParagraphFont"/>
  </w:style>
  <w:style w:type="character" w:customStyle="1" w:styleId="css-1ber87j">
    <w:name w:val="css-1ber87j"/>
    <w:basedOn w:val="DefaultParagraphFont"/>
  </w:style>
  <w:style w:type="character" w:customStyle="1" w:styleId="css-x5hiaf">
    <w:name w:val="css-x5hiaf"/>
    <w:basedOn w:val="DefaultParagraphFont"/>
  </w:style>
  <w:style w:type="character" w:customStyle="1" w:styleId="css-1eh0vfs">
    <w:name w:val="css-1eh0vfs"/>
    <w:basedOn w:val="DefaultParagraphFont"/>
  </w:style>
  <w:style w:type="character" w:customStyle="1" w:styleId="anchor-text">
    <w:name w:val="anchor-text"/>
    <w:basedOn w:val="DefaultParagraphFont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Times New Roman" w:hAnsi="Calibri" w:cs="Mangal"/>
      <w:sz w:val="20"/>
      <w:szCs w:val="20"/>
      <w:lang w:val="en-IN" w:eastAsia="en-IN"/>
    </w:rPr>
  </w:style>
  <w:style w:type="table" w:customStyle="1" w:styleId="TableGrid1">
    <w:name w:val="Table Grid1"/>
    <w:basedOn w:val="TableNormal"/>
    <w:uiPriority w:val="59"/>
    <w:rPr>
      <w:rFonts w:ascii="Calibri" w:eastAsia="Calibri" w:hAnsi="Calibri" w:cs="Times New Roman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gpopup-sensitive-area">
    <w:name w:val="figpopup-sensitive-area"/>
    <w:basedOn w:val="DefaultParagraphFont"/>
  </w:style>
  <w:style w:type="character" w:customStyle="1" w:styleId="cit-fg-title">
    <w:name w:val="cit-fg-title"/>
    <w:basedOn w:val="DefaultParagraphFont"/>
  </w:style>
  <w:style w:type="character" w:customStyle="1" w:styleId="cit-fg-year">
    <w:name w:val="cit-fg-year"/>
    <w:basedOn w:val="DefaultParagraphFont"/>
  </w:style>
  <w:style w:type="character" w:customStyle="1" w:styleId="cit-fg-volume">
    <w:name w:val="cit-fg-volume"/>
    <w:basedOn w:val="DefaultParagraphFont"/>
  </w:style>
  <w:style w:type="character" w:customStyle="1" w:styleId="cit-fg-issue">
    <w:name w:val="cit-fg-issue"/>
    <w:basedOn w:val="DefaultParagraphFont"/>
  </w:style>
  <w:style w:type="character" w:customStyle="1" w:styleId="cit-fg-pagerange">
    <w:name w:val="cit-fg-pagerange"/>
    <w:basedOn w:val="DefaultParagraphFont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TitleChar">
    <w:name w:val="Title Char"/>
    <w:basedOn w:val="DefaultParagraphFont"/>
    <w:link w:val="Title"/>
    <w:uiPriority w:val="10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val="en-IN" w:eastAsia="en-IN"/>
    </w:rPr>
  </w:style>
  <w:style w:type="table" w:customStyle="1" w:styleId="TableGrid2">
    <w:name w:val="Table Grid2"/>
    <w:basedOn w:val="TableNormal"/>
    <w:uiPriority w:val="59"/>
    <w:rPr>
      <w:rFonts w:ascii="Calibri" w:eastAsia="Calibri" w:hAnsi="Calibri" w:cs="Times New Roman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41">
    <w:name w:val="Light Shading - Accent 41"/>
    <w:basedOn w:val="TableNormal"/>
    <w:uiPriority w:val="60"/>
    <w:rPr>
      <w:color w:val="5F497A" w:themeColor="accent4" w:themeShade="BF"/>
      <w:lang w:val="en-IN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List-Accent11">
    <w:name w:val="Light List - Accent 11"/>
    <w:basedOn w:val="TableNormal"/>
    <w:uiPriority w:val="61"/>
    <w:rPr>
      <w:lang w:val="en-IN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Shading-Accent31">
    <w:name w:val="Light Shading - Accent 31"/>
    <w:basedOn w:val="TableNormal"/>
    <w:uiPriority w:val="60"/>
    <w:rPr>
      <w:color w:val="76923C" w:themeColor="accent3" w:themeShade="BF"/>
      <w:lang w:val="en-IN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11">
    <w:name w:val="Light Shading - Accent 11"/>
    <w:basedOn w:val="TableNormal"/>
    <w:uiPriority w:val="60"/>
    <w:rPr>
      <w:color w:val="365F91" w:themeColor="accent1" w:themeShade="BF"/>
      <w:lang w:val="en-IN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Grid-Accent51">
    <w:name w:val="Light Grid - Accent 51"/>
    <w:basedOn w:val="TableNormal"/>
    <w:uiPriority w:val="62"/>
    <w:rPr>
      <w:lang w:val="en-IN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customStyle="1" w:styleId="LightShading-Accent42">
    <w:name w:val="Light Shading - Accent 42"/>
    <w:basedOn w:val="TableNormal"/>
    <w:uiPriority w:val="60"/>
    <w:rPr>
      <w:color w:val="5F497A" w:themeColor="accent4" w:themeShade="BF"/>
      <w:lang w:val="en-IN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List-Accent12">
    <w:name w:val="Light List - Accent 12"/>
    <w:basedOn w:val="TableNormal"/>
    <w:uiPriority w:val="61"/>
    <w:rPr>
      <w:lang w:val="en-IN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Shading-Accent32">
    <w:name w:val="Light Shading - Accent 32"/>
    <w:basedOn w:val="TableNormal"/>
    <w:uiPriority w:val="60"/>
    <w:rPr>
      <w:color w:val="76923C" w:themeColor="accent3" w:themeShade="BF"/>
      <w:lang w:val="en-IN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12">
    <w:name w:val="Light Shading - Accent 12"/>
    <w:basedOn w:val="TableNormal"/>
    <w:uiPriority w:val="60"/>
    <w:rPr>
      <w:color w:val="365F91" w:themeColor="accent1" w:themeShade="BF"/>
      <w:lang w:val="en-IN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Grid-Accent52">
    <w:name w:val="Light Grid - Accent 52"/>
    <w:basedOn w:val="TableNormal"/>
    <w:uiPriority w:val="62"/>
    <w:rPr>
      <w:lang w:val="en-IN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character" w:customStyle="1" w:styleId="html-italic">
    <w:name w:val="html-italic"/>
    <w:basedOn w:val="DefaultParagraphFont"/>
  </w:style>
  <w:style w:type="character" w:customStyle="1" w:styleId="ref-journal">
    <w:name w:val="ref-journal"/>
    <w:basedOn w:val="DefaultParagraphFont"/>
  </w:style>
  <w:style w:type="character" w:customStyle="1" w:styleId="ref-vol">
    <w:name w:val="ref-vol"/>
    <w:basedOn w:val="DefaultParagraphFont"/>
  </w:style>
  <w:style w:type="character" w:customStyle="1" w:styleId="text-typo-secondary">
    <w:name w:val="text-typo-secondary"/>
    <w:basedOn w:val="DefaultParagraphFont"/>
  </w:style>
  <w:style w:type="table" w:customStyle="1" w:styleId="TableGrid3">
    <w:name w:val="Table Grid3"/>
    <w:basedOn w:val="TableNormal"/>
    <w:uiPriority w:val="39"/>
    <w:rPr>
      <w:kern w:val="2"/>
      <w:lang w:val="en-I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Pr>
      <w:color w:val="000000"/>
      <w:kern w:val="2"/>
      <w:lang w:val="en-IN"/>
      <w14:ligatures w14:val="standardContextual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eastAsia="Times New Roman" w:hAnsi="Consolas" w:cs="Mangal"/>
      <w:sz w:val="20"/>
      <w:szCs w:val="20"/>
      <w:lang w:val="en-IN" w:eastAsia="en-IN"/>
    </w:rPr>
  </w:style>
  <w:style w:type="paragraph" w:customStyle="1" w:styleId="whitespace-normal">
    <w:name w:val="whitespace-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IN" w:eastAsia="en-IN"/>
    </w:rPr>
  </w:style>
  <w:style w:type="character" w:customStyle="1" w:styleId="w-fit">
    <w:name w:val="w-fit"/>
    <w:basedOn w:val="DefaultParagraphFont"/>
  </w:style>
  <w:style w:type="character" w:customStyle="1" w:styleId="inline-flex">
    <w:name w:val="inline-flex"/>
    <w:basedOn w:val="DefaultParagraphFont"/>
  </w:style>
  <w:style w:type="character" w:customStyle="1" w:styleId="whitespace-nowrap">
    <w:name w:val="whitespace-nowrap"/>
    <w:basedOn w:val="DefaultParagraphFont"/>
  </w:style>
  <w:style w:type="paragraph" w:customStyle="1" w:styleId="font-claude-response-body">
    <w:name w:val="font-claude-response-body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text-nowrap">
    <w:name w:val="text-nowrap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VINEETH VIJAYAN</dc:creator>
  <cp:lastModifiedBy>Priyangam Gogoi</cp:lastModifiedBy>
  <cp:revision>4</cp:revision>
  <dcterms:created xsi:type="dcterms:W3CDTF">2026-09-10T07:12:00Z</dcterms:created>
  <dcterms:modified xsi:type="dcterms:W3CDTF">2026-09-25T11:41:00Z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D86BA19620AC479D9D2FA8892359EBAD_13</vt:lpwstr>
  </property>
</Properties>
</file>