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2B58" w14:textId="77777777" w:rsidR="00ED5B01" w:rsidRPr="003D4491" w:rsidRDefault="00000000" w:rsidP="007E0A6B">
      <w:pPr>
        <w:rPr>
          <w:rFonts w:ascii="Times New Roman" w:hAnsi="Times New Roman" w:cs="Times New Roman"/>
        </w:rPr>
      </w:pPr>
      <w:r w:rsidRPr="003D4491">
        <w:rPr>
          <w:rFonts w:ascii="Times New Roman" w:hAnsi="Times New Roman" w:cs="Times New Roman"/>
        </w:rPr>
        <w:t>Table S3. Sensitivity analysis excluding HSCT recipients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498"/>
        <w:gridCol w:w="4145"/>
        <w:gridCol w:w="2132"/>
        <w:gridCol w:w="1291"/>
      </w:tblGrid>
      <w:tr w:rsidR="00ED5B01" w14:paraId="70900BB5" w14:textId="77777777" w:rsidTr="007E0A6B">
        <w:trPr>
          <w:tblHeader/>
          <w:jc w:val="center"/>
        </w:trPr>
        <w:tc>
          <w:tcPr>
            <w:tcW w:w="82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0B1F4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Endpoint</w:t>
            </w:r>
          </w:p>
        </w:tc>
        <w:tc>
          <w:tcPr>
            <w:tcW w:w="228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8F18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7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610F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713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7862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ED5B01" w14:paraId="53501BC0" w14:textId="77777777" w:rsidTr="007E0A6B">
        <w:trPr>
          <w:jc w:val="center"/>
        </w:trPr>
        <w:tc>
          <w:tcPr>
            <w:tcW w:w="826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E233A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EFS</w:t>
            </w:r>
          </w:p>
        </w:tc>
        <w:tc>
          <w:tcPr>
            <w:tcW w:w="228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A474E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7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5001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 (0.58–1.35)</w:t>
            </w:r>
          </w:p>
        </w:tc>
        <w:tc>
          <w:tcPr>
            <w:tcW w:w="71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19F0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0.577</w:t>
            </w:r>
          </w:p>
        </w:tc>
      </w:tr>
      <w:tr w:rsidR="00ED5B01" w14:paraId="116C7168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6F7D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2E6F9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D320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(0.99–1.06)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1EFC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0.233</w:t>
            </w:r>
          </w:p>
        </w:tc>
      </w:tr>
      <w:tr w:rsidR="00ED5B01" w14:paraId="3FB9921D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75DAE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86D9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F3DF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E7EF7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0.420</w:t>
            </w:r>
          </w:p>
        </w:tc>
      </w:tr>
      <w:tr w:rsidR="00ED5B01" w14:paraId="0A8395D8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727D8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63FB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87E35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0.90 (0.59–1.36)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91FE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0.612</w:t>
            </w:r>
          </w:p>
        </w:tc>
      </w:tr>
      <w:tr w:rsidR="00ED5B01" w14:paraId="0013B572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2767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C9381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383B9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0.71 (0.41–1.24)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0B19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0.227</w:t>
            </w:r>
          </w:p>
        </w:tc>
      </w:tr>
      <w:tr w:rsidR="00ED5B01" w14:paraId="707CC633" w14:textId="77777777" w:rsidTr="007E0A6B">
        <w:trPr>
          <w:jc w:val="center"/>
        </w:trPr>
        <w:tc>
          <w:tcPr>
            <w:tcW w:w="826" w:type="pct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9775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</w:t>
            </w: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0A19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710C2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 (0.28–0.89)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AA22F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</w:tr>
      <w:tr w:rsidR="00ED5B01" w14:paraId="30313130" w14:textId="77777777" w:rsidTr="007E0A6B">
        <w:trPr>
          <w:jc w:val="center"/>
        </w:trPr>
        <w:tc>
          <w:tcPr>
            <w:tcW w:w="826" w:type="pct"/>
            <w:vMerge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C8277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1DAC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0E80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(0.99–1.09)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21520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0.137</w:t>
            </w:r>
          </w:p>
        </w:tc>
      </w:tr>
      <w:tr w:rsidR="00ED5B01" w14:paraId="75295BBE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B9A1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6425D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9A57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(0.99–1.00)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9CA0F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0.610</w:t>
            </w:r>
          </w:p>
        </w:tc>
      </w:tr>
      <w:tr w:rsidR="00ED5B01" w14:paraId="54B9B91A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6E00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5D816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F6E8D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 (0.42–1.30)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F7A7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0.296</w:t>
            </w:r>
          </w:p>
        </w:tc>
      </w:tr>
      <w:tr w:rsidR="00ED5B01" w14:paraId="0589A067" w14:textId="77777777" w:rsidTr="007E0A6B">
        <w:trPr>
          <w:jc w:val="center"/>
        </w:trPr>
        <w:tc>
          <w:tcPr>
            <w:tcW w:w="826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08D0" w14:textId="77777777" w:rsidR="00ED5B01" w:rsidRDefault="00ED5B0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8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02C2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7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0953B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 (0.37–1.69)</w:t>
            </w:r>
          </w:p>
        </w:tc>
        <w:tc>
          <w:tcPr>
            <w:tcW w:w="713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9E096" w14:textId="77777777" w:rsidR="00ED5B0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0.538</w:t>
            </w:r>
          </w:p>
        </w:tc>
      </w:tr>
    </w:tbl>
    <w:p w14:paraId="7856DDB1" w14:textId="77777777" w:rsidR="00ED5B01" w:rsidRPr="007E0A6B" w:rsidRDefault="00000000">
      <w:pPr>
        <w:rPr>
          <w:rFonts w:ascii="Times New Roman" w:hAnsi="Times New Roman" w:cs="Times New Roman"/>
          <w:sz w:val="18"/>
          <w:szCs w:val="18"/>
        </w:rPr>
      </w:pPr>
      <w:r w:rsidRPr="007E0A6B">
        <w:rPr>
          <w:rFonts w:ascii="Times New Roman" w:hAnsi="Times New Roman" w:cs="Times New Roman"/>
          <w:sz w:val="18"/>
          <w:szCs w:val="18"/>
        </w:rPr>
        <w:t>The analysis excluded 39 patients who underwent HSCT in first CR, leaving 256 patients. Because no CBF-AML patient received HSCT in CR1 (0/123), this sensitivity analysis primarily excluded HSCT recipients in the non-CBF/non-KMT2A group (n = 39); therefore, this result should be interpreted as persistence of the OS association under this exclusion and does not imply that CR1 HSCT is ineffective.</w:t>
      </w:r>
    </w:p>
    <w:sectPr w:rsidR="00ED5B01" w:rsidRPr="007E0A6B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3085432">
    <w:abstractNumId w:val="1"/>
  </w:num>
  <w:num w:numId="2" w16cid:durableId="854147257">
    <w:abstractNumId w:val="2"/>
  </w:num>
  <w:num w:numId="3" w16cid:durableId="94538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3D4491"/>
    <w:rsid w:val="004158F9"/>
    <w:rsid w:val="00457CF1"/>
    <w:rsid w:val="00747CCE"/>
    <w:rsid w:val="007B3E96"/>
    <w:rsid w:val="007E0A6B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ED5B01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640B77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2026-10-05T06:29:00Z</dcterms:modified>
  <cp:category/>
</cp:coreProperties>
</file>