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34238" w14:textId="77777777" w:rsidR="009B6A72" w:rsidRPr="00D50C68" w:rsidRDefault="00000000" w:rsidP="00D50C68">
      <w:pPr>
        <w:rPr>
          <w:rFonts w:ascii="Times New Roman" w:hAnsi="Times New Roman" w:cs="Times New Roman"/>
        </w:rPr>
      </w:pPr>
      <w:r w:rsidRPr="00D50C68">
        <w:rPr>
          <w:rFonts w:ascii="Times New Roman" w:hAnsi="Times New Roman" w:cs="Times New Roman"/>
        </w:rPr>
        <w:t>Table S4. Event composition by genetic subtype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977"/>
        <w:gridCol w:w="497"/>
        <w:gridCol w:w="1115"/>
        <w:gridCol w:w="1400"/>
        <w:gridCol w:w="1648"/>
        <w:gridCol w:w="665"/>
        <w:gridCol w:w="1764"/>
      </w:tblGrid>
      <w:tr w:rsidR="009B6A72" w14:paraId="618CAAD4" w14:textId="77777777" w:rsidTr="00D50C68">
        <w:trPr>
          <w:tblHeader/>
          <w:jc w:val="center"/>
        </w:trPr>
        <w:tc>
          <w:tcPr>
            <w:tcW w:w="1090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00C0C" w14:textId="77777777" w:rsidR="009B6A7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Group</w:t>
            </w:r>
          </w:p>
        </w:tc>
        <w:tc>
          <w:tcPr>
            <w:tcW w:w="274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B20EB" w14:textId="77777777" w:rsidR="009B6A7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N</w:t>
            </w:r>
          </w:p>
        </w:tc>
        <w:tc>
          <w:tcPr>
            <w:tcW w:w="615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AD22D" w14:textId="77777777" w:rsidR="009B6A7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EFS events</w:t>
            </w:r>
          </w:p>
        </w:tc>
        <w:tc>
          <w:tcPr>
            <w:tcW w:w="772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DFD62" w14:textId="77777777" w:rsidR="009B6A7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Relapse events</w:t>
            </w:r>
          </w:p>
        </w:tc>
        <w:tc>
          <w:tcPr>
            <w:tcW w:w="909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E8E29" w14:textId="77777777" w:rsidR="009B6A7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OS events (death)</w:t>
            </w:r>
          </w:p>
        </w:tc>
        <w:tc>
          <w:tcPr>
            <w:tcW w:w="367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0BADF" w14:textId="77777777" w:rsidR="009B6A7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NRM</w:t>
            </w:r>
          </w:p>
        </w:tc>
        <w:tc>
          <w:tcPr>
            <w:tcW w:w="973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DE024" w14:textId="77777777" w:rsidR="009B6A7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Death after relapse</w:t>
            </w:r>
          </w:p>
        </w:tc>
      </w:tr>
      <w:tr w:rsidR="009B6A72" w14:paraId="43F6B812" w14:textId="77777777" w:rsidTr="00D50C68">
        <w:trPr>
          <w:jc w:val="center"/>
        </w:trPr>
        <w:tc>
          <w:tcPr>
            <w:tcW w:w="1090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27A7A" w14:textId="77777777" w:rsidR="009B6A7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non-CBF/non-KMT2A</w:t>
            </w:r>
          </w:p>
        </w:tc>
        <w:tc>
          <w:tcPr>
            <w:tcW w:w="274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19700" w14:textId="77777777" w:rsidR="009B6A7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615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ABE6F" w14:textId="77777777" w:rsidR="009B6A7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772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85D39" w14:textId="77777777" w:rsidR="009B6A7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909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D36B1" w14:textId="77777777" w:rsidR="009B6A7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67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7D5C1" w14:textId="77777777" w:rsidR="009B6A7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73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02274" w14:textId="77777777" w:rsidR="009B6A7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</w:tr>
      <w:tr w:rsidR="009B6A72" w14:paraId="110A4D4C" w14:textId="77777777" w:rsidTr="00D50C68">
        <w:trPr>
          <w:jc w:val="center"/>
        </w:trPr>
        <w:tc>
          <w:tcPr>
            <w:tcW w:w="1090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07503" w14:textId="77777777" w:rsidR="009B6A7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CBF-AML</w:t>
            </w:r>
          </w:p>
        </w:tc>
        <w:tc>
          <w:tcPr>
            <w:tcW w:w="274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5D234" w14:textId="77777777" w:rsidR="009B6A7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615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DCDC4" w14:textId="77777777" w:rsidR="009B6A7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772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B8682" w14:textId="77777777" w:rsidR="009B6A7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909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40CCF" w14:textId="77777777" w:rsidR="009B6A7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67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C2409" w14:textId="77777777" w:rsidR="009B6A7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73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F4803" w14:textId="77777777" w:rsidR="009B6A7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</w:tbl>
    <w:p w14:paraId="736F4194" w14:textId="77777777" w:rsidR="009B6A72" w:rsidRPr="00D50C68" w:rsidRDefault="00000000">
      <w:pPr>
        <w:rPr>
          <w:rFonts w:ascii="Times New Roman" w:hAnsi="Times New Roman" w:cs="Times New Roman"/>
          <w:sz w:val="18"/>
          <w:szCs w:val="18"/>
        </w:rPr>
      </w:pPr>
      <w:r w:rsidRPr="00D50C68">
        <w:rPr>
          <w:rFonts w:ascii="Times New Roman" w:hAnsi="Times New Roman" w:cs="Times New Roman"/>
          <w:sz w:val="18"/>
          <w:szCs w:val="18"/>
        </w:rPr>
        <w:t>Analysis was performed in the primary analysis cohort (n = 295). The proportion of patients with relapse was similar between groups. Among patients who relapsed, the proportion of post-relapse death was lower in CBF-AML (14/37 [37.8%]) than in non-CBF/non-KMT2A (37/53 [69.8%]); Fisher P = 0.005; crude OR 3.80, 95% CI 1.57–9.22, for non-CBF/non-KMT2A vs CBF-AML. NRM events were infrequent in both groups. This analysis is conditional on experiencing relapse and may be affected by selection and survivor bias; post-relapse treatment information was incomplete in TARGET.</w:t>
      </w:r>
    </w:p>
    <w:sectPr w:rsidR="009B6A72" w:rsidRPr="00D50C68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77363130">
    <w:abstractNumId w:val="1"/>
  </w:num>
  <w:num w:numId="2" w16cid:durableId="1894273300">
    <w:abstractNumId w:val="2"/>
  </w:num>
  <w:num w:numId="3" w16cid:durableId="668631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doNotDisplayPageBoundaries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9B6A72"/>
    <w:rsid w:val="00AE18EF"/>
    <w:rsid w:val="00AE1BDD"/>
    <w:rsid w:val="00AF0A28"/>
    <w:rsid w:val="00B3547C"/>
    <w:rsid w:val="00B4379D"/>
    <w:rsid w:val="00C27329"/>
    <w:rsid w:val="00C31EEB"/>
    <w:rsid w:val="00D50C68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4E52BAB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4721</cp:lastModifiedBy>
  <cp:revision>10</cp:revision>
  <dcterms:created xsi:type="dcterms:W3CDTF">2017-02-28T11:18:00Z</dcterms:created>
  <dcterms:modified xsi:type="dcterms:W3CDTF">2026-10-05T02:38:00Z</dcterms:modified>
  <cp:category/>
</cp:coreProperties>
</file>