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4C8C8" w14:textId="77777777" w:rsidR="009534F2" w:rsidRPr="008D735A" w:rsidRDefault="00000000" w:rsidP="00CF5773">
      <w:pPr>
        <w:rPr>
          <w:rFonts w:ascii="Times New Roman" w:hAnsi="Times New Roman" w:cs="Times New Roman"/>
        </w:rPr>
      </w:pPr>
      <w:r w:rsidRPr="008D735A">
        <w:rPr>
          <w:rFonts w:ascii="Times New Roman" w:hAnsi="Times New Roman" w:cs="Times New Roman"/>
        </w:rPr>
        <w:t>Table S7. Interaction analysis models 1-4 (MRD1, End of Course 1)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366"/>
        <w:gridCol w:w="4216"/>
        <w:gridCol w:w="2169"/>
        <w:gridCol w:w="1315"/>
      </w:tblGrid>
      <w:tr w:rsidR="009534F2" w14:paraId="512142C4" w14:textId="77777777" w:rsidTr="00CF5773">
        <w:trPr>
          <w:tblHeader/>
          <w:jc w:val="center"/>
        </w:trPr>
        <w:tc>
          <w:tcPr>
            <w:tcW w:w="754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75362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325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6AF52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196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092A9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HR (95% CI)</w:t>
            </w:r>
          </w:p>
        </w:tc>
        <w:tc>
          <w:tcPr>
            <w:tcW w:w="725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74E3D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 value</w:t>
            </w:r>
          </w:p>
        </w:tc>
      </w:tr>
      <w:tr w:rsidR="009534F2" w14:paraId="7F069C85" w14:textId="77777777" w:rsidTr="00CF5773">
        <w:trPr>
          <w:jc w:val="center"/>
        </w:trPr>
        <w:tc>
          <w:tcPr>
            <w:tcW w:w="754" w:type="pct"/>
            <w:vMerge w:val="restar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B336C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232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05E06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CBF-AML vs non-CBF/non-KMT2A</w:t>
            </w:r>
          </w:p>
        </w:tc>
        <w:tc>
          <w:tcPr>
            <w:tcW w:w="119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3D0F7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0.49 (0.37–0.64)</w:t>
            </w:r>
          </w:p>
        </w:tc>
        <w:tc>
          <w:tcPr>
            <w:tcW w:w="72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463D4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9534F2" w14:paraId="713517A0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F98B9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2B52A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KMT2A-r vs non-CBF/non-KMT2A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D02CB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0.95 (0.72–1.26)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10D38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0.712</w:t>
            </w:r>
          </w:p>
        </w:tc>
      </w:tr>
      <w:tr w:rsidR="009534F2" w14:paraId="7A20CA48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83FC0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26E82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Age, per year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64F2F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 (0.99–1.03)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8B5BC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0.435</w:t>
            </w:r>
          </w:p>
        </w:tc>
      </w:tr>
      <w:tr w:rsidR="009534F2" w14:paraId="1D82FE7B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D15F4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01DC3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WBC at diagnosis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29FCD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(1.00–1.00)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94CC5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9534F2" w14:paraId="4152AB52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97127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6AF0B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 vs female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63CF2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1.13 (0.92–1.40)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CE4CE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0.253</w:t>
            </w:r>
          </w:p>
        </w:tc>
      </w:tr>
      <w:tr w:rsidR="009534F2" w14:paraId="2C0E21E7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345A1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2E6FD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AAML0531 vs AAML03P1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445E8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 (0.73–1.41)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AD8DA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0.927</w:t>
            </w:r>
          </w:p>
        </w:tc>
      </w:tr>
      <w:tr w:rsidR="009534F2" w14:paraId="55C86861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75450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A6026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HSCT in first CR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75889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0.58 (0.43–0.80)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C6B97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9534F2" w14:paraId="07A0A7B3" w14:textId="77777777" w:rsidTr="00CF5773">
        <w:trPr>
          <w:jc w:val="center"/>
        </w:trPr>
        <w:tc>
          <w:tcPr>
            <w:tcW w:w="754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93A11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Model 2</w:t>
            </w: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55612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MRD1 positive vs negative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3DDB6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2.57 (2.06–3.19)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D5B9F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9534F2" w14:paraId="5AE4BCAD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E35B3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EEC4C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Age, per year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BD20A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(0.98–1.02)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5867A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0.930</w:t>
            </w:r>
          </w:p>
        </w:tc>
      </w:tr>
      <w:tr w:rsidR="009534F2" w14:paraId="6910D349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72832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DB67E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WBC at diagnosis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EDFB0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(1.00–1.00)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8033C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9534F2" w14:paraId="6D45310E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68417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647C3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 vs female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BE2C6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1.14 (0.92–1.41)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7A517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0.227</w:t>
            </w:r>
          </w:p>
        </w:tc>
      </w:tr>
      <w:tr w:rsidR="009534F2" w14:paraId="58ABFD73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7CDCA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E80D9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AAML0531 vs AAML03P1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1BCBB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 (0.74–1.42)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218BD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0.890</w:t>
            </w:r>
          </w:p>
        </w:tc>
      </w:tr>
      <w:tr w:rsidR="009534F2" w14:paraId="2C51875A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7091B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532F7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HSCT in first CR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1059E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 (0.42–0.79)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18113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9534F2" w14:paraId="0ED44A63" w14:textId="77777777" w:rsidTr="00CF5773">
        <w:trPr>
          <w:jc w:val="center"/>
        </w:trPr>
        <w:tc>
          <w:tcPr>
            <w:tcW w:w="754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24C2E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Model 3</w:t>
            </w: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15B4D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CBF-AML vs non-CBF/non-KMT2A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8639A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0.55 (0.41–0.72)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1E17C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9534F2" w14:paraId="7B9AE543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66081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0F29B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KMT2A-r vs non-CBF/non-KMT2A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7F18F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1.12 (0.84–1.48)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AEAB4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0.449</w:t>
            </w:r>
          </w:p>
        </w:tc>
      </w:tr>
      <w:tr w:rsidR="009534F2" w14:paraId="710885D9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A2E6F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40BCD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MRD1 positive vs negative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58925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2.48 (1.99–3.10)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B3838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9534F2" w14:paraId="1ABFD2C0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3B6F0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DFE9C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Age, per year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D9663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 (0.99–1.03)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F4D92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0.452</w:t>
            </w:r>
          </w:p>
        </w:tc>
      </w:tr>
      <w:tr w:rsidR="009534F2" w14:paraId="58141CFF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4DB34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A305B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WBC at diagnosis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E046D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(1.00–1.00)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C9CB1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9534F2" w14:paraId="27315028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955A8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7BA89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 vs female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C15ED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1.15 (0.93–1.42)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1FE30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0.199</w:t>
            </w:r>
          </w:p>
        </w:tc>
      </w:tr>
      <w:tr w:rsidR="009534F2" w14:paraId="64F86C23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CC468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79443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AAML0531 vs AAML03P1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F96F2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 (0.72–1.40)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E9C22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0.973</w:t>
            </w:r>
          </w:p>
        </w:tc>
      </w:tr>
      <w:tr w:rsidR="009534F2" w14:paraId="7729CEDD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965DD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59F62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HSCT in first CR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0531D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0.49 (0.35–0.67)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13136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9534F2" w14:paraId="722CC008" w14:textId="77777777" w:rsidTr="00CF5773">
        <w:trPr>
          <w:jc w:val="center"/>
        </w:trPr>
        <w:tc>
          <w:tcPr>
            <w:tcW w:w="754" w:type="pct"/>
            <w:vMerge w:val="restar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1E3DB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Model 4</w:t>
            </w: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F0DDD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CBF-AML vs non-CBF/non-KMT2A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3D82A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0.70 (0.50–0.98)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886EB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0.039</w:t>
            </w:r>
          </w:p>
        </w:tc>
      </w:tr>
      <w:tr w:rsidR="009534F2" w14:paraId="3999D22C" w14:textId="77777777" w:rsidTr="00CF5773">
        <w:trPr>
          <w:jc w:val="center"/>
        </w:trPr>
        <w:tc>
          <w:tcPr>
            <w:tcW w:w="754" w:type="pct"/>
            <w:vMerge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FEADE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21924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KMT2A-r vs non-CBF/non-KMT2A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B79C1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1.22 (0.86–1.73)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ACEBC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0.276</w:t>
            </w:r>
          </w:p>
        </w:tc>
      </w:tr>
      <w:tr w:rsidR="009534F2" w14:paraId="141FB2DA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0AD96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037E5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MRD1 positive vs negative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D3552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2.94 (2.23–3.88)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33831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9534F2" w14:paraId="6B6F67BE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D2333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C1260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Age, per year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9C538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 (0.99–1.03)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FAEBD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0.396</w:t>
            </w:r>
          </w:p>
        </w:tc>
      </w:tr>
      <w:tr w:rsidR="009534F2" w14:paraId="5EC670F4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BD11F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257B9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WBC at diagnosis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C164C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(1.00–1.00)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01D08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9534F2" w14:paraId="5BDC87C4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8318E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20A86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 vs female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A8CC5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1.15 (0.93–1.42)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75675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0.211</w:t>
            </w:r>
          </w:p>
        </w:tc>
      </w:tr>
      <w:tr w:rsidR="009534F2" w14:paraId="7F274D28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14C0F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FBDD4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AAML0531 vs AAML03P1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25AD1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 (0.70–1.36)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2AD82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0.891</w:t>
            </w:r>
          </w:p>
        </w:tc>
      </w:tr>
      <w:tr w:rsidR="009534F2" w14:paraId="5C16DD1E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7FE2E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EEDED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HSCT in first CR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A4DF4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0.47 (0.34–0.66)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D4D9A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9534F2" w14:paraId="5A218228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DAF5F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DC9CC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CBF-AML x MRD1+ interaction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35B60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0.43 (0.23–0.83)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51132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0.012</w:t>
            </w:r>
          </w:p>
        </w:tc>
      </w:tr>
      <w:tr w:rsidR="009534F2" w14:paraId="4AB19BF1" w14:textId="77777777" w:rsidTr="00CF5773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B196A" w14:textId="77777777" w:rsidR="009534F2" w:rsidRDefault="009534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ACC07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KMT2A-r x MRD1+ interaction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1FE2F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0.86 (0.47–1.57)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14283" w14:textId="77777777" w:rsidR="009534F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0.626</w:t>
            </w:r>
          </w:p>
        </w:tc>
      </w:tr>
    </w:tbl>
    <w:p w14:paraId="2B4E920B" w14:textId="77777777" w:rsidR="009534F2" w:rsidRPr="00CF5773" w:rsidRDefault="00000000">
      <w:pPr>
        <w:rPr>
          <w:rFonts w:ascii="Times New Roman" w:hAnsi="Times New Roman" w:cs="Times New Roman"/>
          <w:sz w:val="18"/>
          <w:szCs w:val="18"/>
        </w:rPr>
      </w:pPr>
      <w:r w:rsidRPr="00CF5773">
        <w:rPr>
          <w:rFonts w:ascii="Times New Roman" w:hAnsi="Times New Roman" w:cs="Times New Roman"/>
          <w:sz w:val="18"/>
          <w:szCs w:val="18"/>
        </w:rPr>
        <w:lastRenderedPageBreak/>
        <w:t>Model 1: genetic subtype only. Model 2: MRD status only. Model 3: both. Model 4: interaction. All models were adjusted for age, WBC, gender, treatment protocol, and HSCT in first CR. Reference groups: non-CBF/non-KMT2A and MRD-negative. Course 1: n = 679.</w:t>
      </w:r>
    </w:p>
    <w:sectPr w:rsidR="009534F2" w:rsidRPr="00CF5773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994100">
    <w:abstractNumId w:val="1"/>
  </w:num>
  <w:num w:numId="2" w16cid:durableId="1840077573">
    <w:abstractNumId w:val="2"/>
  </w:num>
  <w:num w:numId="3" w16cid:durableId="96101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oNotDisplayPageBoundaries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D735A"/>
    <w:rsid w:val="008F1F48"/>
    <w:rsid w:val="00901463"/>
    <w:rsid w:val="00946CB3"/>
    <w:rsid w:val="009534F2"/>
    <w:rsid w:val="00AE18EF"/>
    <w:rsid w:val="00AE1BDD"/>
    <w:rsid w:val="00AF0A28"/>
    <w:rsid w:val="00B3547C"/>
    <w:rsid w:val="00B4379D"/>
    <w:rsid w:val="00C27329"/>
    <w:rsid w:val="00C31EEB"/>
    <w:rsid w:val="00CF5773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060BDC0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11</cp:revision>
  <dcterms:created xsi:type="dcterms:W3CDTF">2017-02-28T11:18:00Z</dcterms:created>
  <dcterms:modified xsi:type="dcterms:W3CDTF">2026-10-05T06:30:00Z</dcterms:modified>
  <cp:category/>
</cp:coreProperties>
</file>