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F80EEA">
      <w:pPr>
        <w:spacing w:before="200"/>
      </w:pPr>
      <w:r>
        <w:rPr>
          <w:b/>
          <w:sz w:val="30"/>
        </w:rPr>
        <w:t>Supplementary Material</w:t>
      </w:r>
    </w:p>
    <w:p w14:paraId="783DD024">
      <w:pPr>
        <w:spacing w:after="160"/>
        <w:rPr>
          <w:rFonts w:hint="eastAsia" w:eastAsia="宋体"/>
          <w:b/>
          <w:sz w:val="26"/>
          <w:lang w:eastAsia="zh-CN"/>
        </w:rPr>
      </w:pPr>
      <w:r>
        <w:rPr>
          <w:rFonts w:hint="eastAsia"/>
          <w:b/>
          <w:sz w:val="26"/>
        </w:rPr>
        <w:t>Supplementary Table S</w:t>
      </w:r>
      <w:r>
        <w:rPr>
          <w:rFonts w:hint="eastAsia" w:eastAsia="宋体"/>
          <w:b/>
          <w:sz w:val="26"/>
          <w:lang w:val="en-US" w:eastAsia="zh-CN"/>
        </w:rPr>
        <w:t>1</w:t>
      </w:r>
    </w:p>
    <w:p w14:paraId="1B8AB366">
      <w:pPr>
        <w:spacing w:after="160"/>
        <w:rPr>
          <w:b w:val="0"/>
          <w:i/>
          <w:sz w:val="21"/>
        </w:rPr>
      </w:pPr>
      <w:r>
        <w:rPr>
          <w:rFonts w:hint="eastAsia"/>
          <w:b w:val="0"/>
          <w:i/>
          <w:sz w:val="21"/>
        </w:rPr>
        <w:t>Sources, definitions, and encoding of candidate predictors</w:t>
      </w:r>
    </w:p>
    <w:tbl>
      <w:tblPr>
        <w:tblStyle w:val="33"/>
        <w:tblW w:w="0" w:type="auto"/>
        <w:jc w:val="center"/>
        <w:tblLayout w:type="fixed"/>
        <w:tblCellMar>
          <w:top w:w="0" w:type="dxa"/>
          <w:left w:w="108" w:type="dxa"/>
          <w:bottom w:w="0" w:type="dxa"/>
          <w:right w:w="108" w:type="dxa"/>
        </w:tblCellMar>
      </w:tblPr>
      <w:tblGrid>
        <w:gridCol w:w="1613"/>
        <w:gridCol w:w="2376"/>
        <w:gridCol w:w="3528"/>
        <w:gridCol w:w="1973"/>
        <w:gridCol w:w="878"/>
      </w:tblGrid>
      <w:tr w14:paraId="28194D86">
        <w:tblPrEx>
          <w:tblCellMar>
            <w:top w:w="0" w:type="dxa"/>
            <w:left w:w="108" w:type="dxa"/>
            <w:bottom w:w="0" w:type="dxa"/>
            <w:right w:w="108" w:type="dxa"/>
          </w:tblCellMar>
        </w:tblPrEx>
        <w:trPr>
          <w:cantSplit/>
          <w:tblHeader/>
          <w:jc w:val="center"/>
        </w:trPr>
        <w:tc>
          <w:tcPr>
            <w:tcW w:w="2074" w:type="dxa"/>
            <w:tcBorders>
              <w:top w:val="single" w:color="auto" w:sz="4" w:space="0"/>
              <w:left w:val="single" w:color="D9D9D9" w:sz="4" w:space="0"/>
              <w:bottom w:val="single" w:color="auto" w:sz="4" w:space="0"/>
              <w:right w:val="single" w:color="D9D9D9" w:sz="4" w:space="0"/>
            </w:tcBorders>
            <w:shd w:val="clear" w:color="auto" w:fill="auto"/>
            <w:tcMar>
              <w:top w:w="65" w:type="dxa"/>
              <w:left w:w="65" w:type="dxa"/>
              <w:bottom w:w="65" w:type="dxa"/>
              <w:right w:w="65" w:type="dxa"/>
            </w:tcMar>
            <w:vAlign w:val="center"/>
          </w:tcPr>
          <w:p w14:paraId="6A6C5CF5">
            <w:pPr>
              <w:spacing w:beforeAutospacing="0" w:after="0" w:line="240" w:lineRule="auto"/>
            </w:pPr>
            <w:r>
              <w:rPr>
                <w:b/>
                <w:sz w:val="19"/>
              </w:rPr>
              <w:t>Candidate predictor</w:t>
            </w:r>
          </w:p>
        </w:tc>
        <w:tc>
          <w:tcPr>
            <w:tcW w:w="2074" w:type="dxa"/>
            <w:tcBorders>
              <w:top w:val="single" w:color="auto" w:sz="4" w:space="0"/>
              <w:left w:val="single" w:color="D9D9D9" w:sz="4" w:space="0"/>
              <w:bottom w:val="single" w:color="auto" w:sz="4" w:space="0"/>
              <w:right w:val="single" w:color="D9D9D9" w:sz="4" w:space="0"/>
            </w:tcBorders>
            <w:shd w:val="clear" w:color="auto" w:fill="auto"/>
            <w:tcMar>
              <w:top w:w="65" w:type="dxa"/>
              <w:left w:w="65" w:type="dxa"/>
              <w:bottom w:w="65" w:type="dxa"/>
              <w:right w:w="65" w:type="dxa"/>
            </w:tcMar>
            <w:vAlign w:val="center"/>
          </w:tcPr>
          <w:p w14:paraId="2E9CC2E9">
            <w:pPr>
              <w:spacing w:after="0" w:line="240" w:lineRule="auto"/>
            </w:pPr>
            <w:r>
              <w:rPr>
                <w:b/>
                <w:sz w:val="19"/>
              </w:rPr>
              <w:t>Source and domain</w:t>
            </w:r>
          </w:p>
        </w:tc>
        <w:tc>
          <w:tcPr>
            <w:tcW w:w="2074" w:type="dxa"/>
            <w:tcBorders>
              <w:top w:val="single" w:color="auto" w:sz="4" w:space="0"/>
              <w:left w:val="single" w:color="D9D9D9" w:sz="4" w:space="0"/>
              <w:bottom w:val="single" w:color="auto" w:sz="4" w:space="0"/>
              <w:right w:val="single" w:color="D9D9D9" w:sz="4" w:space="0"/>
            </w:tcBorders>
            <w:shd w:val="clear" w:color="auto" w:fill="auto"/>
            <w:tcMar>
              <w:top w:w="65" w:type="dxa"/>
              <w:left w:w="65" w:type="dxa"/>
              <w:bottom w:w="65" w:type="dxa"/>
              <w:right w:w="65" w:type="dxa"/>
            </w:tcMar>
            <w:vAlign w:val="center"/>
          </w:tcPr>
          <w:p w14:paraId="516794D3">
            <w:pPr>
              <w:spacing w:after="0" w:line="240" w:lineRule="auto"/>
            </w:pPr>
            <w:r>
              <w:rPr>
                <w:b/>
                <w:sz w:val="19"/>
              </w:rPr>
              <w:t>Definition or categories</w:t>
            </w:r>
          </w:p>
        </w:tc>
        <w:tc>
          <w:tcPr>
            <w:tcW w:w="2074" w:type="dxa"/>
            <w:tcBorders>
              <w:top w:val="single" w:color="auto" w:sz="4" w:space="0"/>
              <w:left w:val="single" w:color="D9D9D9" w:sz="4" w:space="0"/>
              <w:bottom w:val="single" w:color="auto" w:sz="4" w:space="0"/>
              <w:right w:val="single" w:color="D9D9D9" w:sz="4" w:space="0"/>
            </w:tcBorders>
            <w:shd w:val="clear" w:color="auto" w:fill="auto"/>
            <w:tcMar>
              <w:top w:w="65" w:type="dxa"/>
              <w:left w:w="65" w:type="dxa"/>
              <w:bottom w:w="65" w:type="dxa"/>
              <w:right w:w="65" w:type="dxa"/>
            </w:tcMar>
            <w:vAlign w:val="center"/>
          </w:tcPr>
          <w:p w14:paraId="7D0A9ED0">
            <w:pPr>
              <w:spacing w:after="0" w:line="240" w:lineRule="auto"/>
            </w:pPr>
            <w:r>
              <w:rPr>
                <w:b/>
                <w:sz w:val="19"/>
              </w:rPr>
              <w:t>Encoding for selection¹</w:t>
            </w:r>
          </w:p>
        </w:tc>
        <w:tc>
          <w:tcPr>
            <w:tcW w:w="2074" w:type="dxa"/>
            <w:tcBorders>
              <w:top w:val="single" w:color="auto" w:sz="4" w:space="0"/>
              <w:left w:val="single" w:color="D9D9D9" w:sz="4" w:space="0"/>
              <w:bottom w:val="single" w:color="auto" w:sz="4" w:space="0"/>
              <w:right w:val="single" w:color="D9D9D9" w:sz="4" w:space="0"/>
            </w:tcBorders>
            <w:shd w:val="clear" w:color="auto" w:fill="auto"/>
            <w:tcMar>
              <w:top w:w="65" w:type="dxa"/>
              <w:left w:w="65" w:type="dxa"/>
              <w:bottom w:w="65" w:type="dxa"/>
              <w:right w:w="65" w:type="dxa"/>
            </w:tcMar>
            <w:vAlign w:val="center"/>
          </w:tcPr>
          <w:p w14:paraId="4018E933">
            <w:pPr>
              <w:spacing w:after="0" w:line="240" w:lineRule="auto"/>
              <w:jc w:val="center"/>
            </w:pPr>
            <w:r>
              <w:rPr>
                <w:b/>
                <w:sz w:val="19"/>
              </w:rPr>
              <w:t>Columns</w:t>
            </w:r>
          </w:p>
        </w:tc>
      </w:tr>
      <w:tr w14:paraId="49A28FBC">
        <w:tblPrEx>
          <w:tblCellMar>
            <w:top w:w="0" w:type="dxa"/>
            <w:left w:w="108" w:type="dxa"/>
            <w:bottom w:w="0" w:type="dxa"/>
            <w:right w:w="108" w:type="dxa"/>
          </w:tblCellMar>
        </w:tblPrEx>
        <w:trPr>
          <w:cantSplit/>
          <w:jc w:val="center"/>
        </w:trPr>
        <w:tc>
          <w:tcPr>
            <w:tcW w:w="1613" w:type="dxa"/>
            <w:tcBorders>
              <w:top w:val="single" w:color="auto"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662E955">
            <w:pPr>
              <w:spacing w:after="0" w:line="240" w:lineRule="auto"/>
            </w:pPr>
            <w:r>
              <w:rPr>
                <w:b w:val="0"/>
                <w:sz w:val="19"/>
              </w:rPr>
              <w:t>Age</w:t>
            </w:r>
          </w:p>
        </w:tc>
        <w:tc>
          <w:tcPr>
            <w:tcW w:w="2376" w:type="dxa"/>
            <w:tcBorders>
              <w:top w:val="single" w:color="auto"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6ACD865">
            <w:pPr>
              <w:spacing w:after="0" w:line="240" w:lineRule="auto"/>
            </w:pPr>
            <w:r>
              <w:rPr>
                <w:b w:val="0"/>
                <w:sz w:val="19"/>
              </w:rPr>
              <w:t>General questionnaire; demographic background</w:t>
            </w:r>
          </w:p>
        </w:tc>
        <w:tc>
          <w:tcPr>
            <w:tcW w:w="3528" w:type="dxa"/>
            <w:tcBorders>
              <w:top w:val="single" w:color="auto"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EF64CCB">
            <w:pPr>
              <w:spacing w:after="0" w:line="240" w:lineRule="auto"/>
            </w:pPr>
            <w:r>
              <w:rPr>
                <w:b w:val="0"/>
                <w:sz w:val="19"/>
              </w:rPr>
              <w:t>Age in years</w:t>
            </w:r>
          </w:p>
        </w:tc>
        <w:tc>
          <w:tcPr>
            <w:tcW w:w="1973" w:type="dxa"/>
            <w:tcBorders>
              <w:top w:val="single" w:color="auto"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922237A">
            <w:pPr>
              <w:spacing w:after="0" w:line="240" w:lineRule="auto"/>
            </w:pPr>
            <w:r>
              <w:rPr>
                <w:b w:val="0"/>
                <w:sz w:val="19"/>
              </w:rPr>
              <w:t>Continuous</w:t>
            </w:r>
          </w:p>
        </w:tc>
        <w:tc>
          <w:tcPr>
            <w:tcW w:w="878" w:type="dxa"/>
            <w:tcBorders>
              <w:top w:val="single" w:color="auto"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21192F4">
            <w:pPr>
              <w:spacing w:after="0" w:line="240" w:lineRule="auto"/>
              <w:jc w:val="center"/>
            </w:pPr>
            <w:r>
              <w:rPr>
                <w:b w:val="0"/>
                <w:sz w:val="19"/>
              </w:rPr>
              <w:t>1</w:t>
            </w:r>
          </w:p>
        </w:tc>
      </w:tr>
      <w:tr w14:paraId="53F18C7C">
        <w:tblPrEx>
          <w:tblCellMar>
            <w:top w:w="0" w:type="dxa"/>
            <w:left w:w="108" w:type="dxa"/>
            <w:bottom w:w="0" w:type="dxa"/>
            <w:right w:w="108" w:type="dxa"/>
          </w:tblCellMar>
        </w:tblPrEx>
        <w:trPr>
          <w:cantSplit/>
          <w:jc w:val="center"/>
        </w:trPr>
        <w:tc>
          <w:tcPr>
            <w:tcW w:w="1613"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6E71192">
            <w:pPr>
              <w:spacing w:after="0" w:line="240" w:lineRule="auto"/>
            </w:pPr>
            <w:r>
              <w:rPr>
                <w:b w:val="0"/>
                <w:sz w:val="19"/>
              </w:rPr>
              <w:t>Years of experience</w:t>
            </w:r>
          </w:p>
        </w:tc>
        <w:tc>
          <w:tcPr>
            <w:tcW w:w="2376"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7CA5019">
            <w:pPr>
              <w:spacing w:after="0" w:line="240" w:lineRule="auto"/>
            </w:pPr>
            <w:r>
              <w:rPr>
                <w:b w:val="0"/>
                <w:sz w:val="19"/>
              </w:rPr>
              <w:t>General questionnaire; occupational experience</w:t>
            </w:r>
          </w:p>
        </w:tc>
        <w:tc>
          <w:tcPr>
            <w:tcW w:w="352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6A3AAD7">
            <w:pPr>
              <w:spacing w:after="0" w:line="240" w:lineRule="auto"/>
            </w:pPr>
            <w:r>
              <w:rPr>
                <w:b w:val="0"/>
                <w:sz w:val="19"/>
              </w:rPr>
              <w:t>Years of nursing experience</w:t>
            </w:r>
          </w:p>
        </w:tc>
        <w:tc>
          <w:tcPr>
            <w:tcW w:w="1973"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7FF4AA4">
            <w:pPr>
              <w:spacing w:after="0" w:line="240" w:lineRule="auto"/>
            </w:pPr>
            <w:r>
              <w:rPr>
                <w:b w:val="0"/>
                <w:sz w:val="19"/>
              </w:rPr>
              <w:t>Continuous</w:t>
            </w:r>
          </w:p>
        </w:tc>
        <w:tc>
          <w:tcPr>
            <w:tcW w:w="87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3ABC7E6">
            <w:pPr>
              <w:spacing w:after="0" w:line="240" w:lineRule="auto"/>
              <w:jc w:val="center"/>
            </w:pPr>
            <w:r>
              <w:rPr>
                <w:b w:val="0"/>
                <w:sz w:val="19"/>
              </w:rPr>
              <w:t>1</w:t>
            </w:r>
          </w:p>
        </w:tc>
      </w:tr>
      <w:tr w14:paraId="63292C1B">
        <w:tblPrEx>
          <w:tblCellMar>
            <w:top w:w="0" w:type="dxa"/>
            <w:left w:w="108" w:type="dxa"/>
            <w:bottom w:w="0" w:type="dxa"/>
            <w:right w:w="108" w:type="dxa"/>
          </w:tblCellMar>
        </w:tblPrEx>
        <w:trPr>
          <w:cantSplit/>
          <w:jc w:val="center"/>
        </w:trPr>
        <w:tc>
          <w:tcPr>
            <w:tcW w:w="1613"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1264C9F">
            <w:pPr>
              <w:spacing w:after="0" w:line="240" w:lineRule="auto"/>
            </w:pPr>
            <w:r>
              <w:rPr>
                <w:b w:val="0"/>
                <w:sz w:val="19"/>
              </w:rPr>
              <w:t>Gender</w:t>
            </w:r>
          </w:p>
        </w:tc>
        <w:tc>
          <w:tcPr>
            <w:tcW w:w="2376"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3ACFEC1">
            <w:pPr>
              <w:spacing w:after="0" w:line="240" w:lineRule="auto"/>
            </w:pPr>
            <w:r>
              <w:rPr>
                <w:b w:val="0"/>
                <w:sz w:val="19"/>
              </w:rPr>
              <w:t>General questionnaire; demographic background</w:t>
            </w:r>
          </w:p>
        </w:tc>
        <w:tc>
          <w:tcPr>
            <w:tcW w:w="352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F1CC72F">
            <w:pPr>
              <w:spacing w:after="0" w:line="240" w:lineRule="auto"/>
            </w:pPr>
            <w:r>
              <w:rPr>
                <w:b w:val="0"/>
                <w:sz w:val="19"/>
              </w:rPr>
              <w:t>Female; male</w:t>
            </w:r>
          </w:p>
        </w:tc>
        <w:tc>
          <w:tcPr>
            <w:tcW w:w="1973"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4A81385">
            <w:pPr>
              <w:spacing w:after="0" w:line="240" w:lineRule="auto"/>
            </w:pPr>
            <w:r>
              <w:rPr>
                <w:b w:val="0"/>
                <w:sz w:val="19"/>
              </w:rPr>
              <w:t>Full one-hot encoding</w:t>
            </w:r>
          </w:p>
        </w:tc>
        <w:tc>
          <w:tcPr>
            <w:tcW w:w="87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1498580">
            <w:pPr>
              <w:spacing w:after="0" w:line="240" w:lineRule="auto"/>
              <w:jc w:val="center"/>
            </w:pPr>
            <w:r>
              <w:rPr>
                <w:b w:val="0"/>
                <w:sz w:val="19"/>
              </w:rPr>
              <w:t>2</w:t>
            </w:r>
          </w:p>
        </w:tc>
      </w:tr>
      <w:tr w14:paraId="2651DE58">
        <w:tblPrEx>
          <w:tblCellMar>
            <w:top w:w="0" w:type="dxa"/>
            <w:left w:w="108" w:type="dxa"/>
            <w:bottom w:w="0" w:type="dxa"/>
            <w:right w:w="108" w:type="dxa"/>
          </w:tblCellMar>
        </w:tblPrEx>
        <w:trPr>
          <w:cantSplit/>
          <w:jc w:val="center"/>
        </w:trPr>
        <w:tc>
          <w:tcPr>
            <w:tcW w:w="1613"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9013541">
            <w:pPr>
              <w:spacing w:after="0" w:line="240" w:lineRule="auto"/>
            </w:pPr>
            <w:r>
              <w:rPr>
                <w:b w:val="0"/>
                <w:sz w:val="19"/>
              </w:rPr>
              <w:t>Education</w:t>
            </w:r>
          </w:p>
        </w:tc>
        <w:tc>
          <w:tcPr>
            <w:tcW w:w="2376"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309D0DB">
            <w:pPr>
              <w:spacing w:after="0" w:line="240" w:lineRule="auto"/>
            </w:pPr>
            <w:r>
              <w:rPr>
                <w:b w:val="0"/>
                <w:sz w:val="19"/>
              </w:rPr>
              <w:t>General questionnaire; educational background</w:t>
            </w:r>
          </w:p>
        </w:tc>
        <w:tc>
          <w:tcPr>
            <w:tcW w:w="352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6158746">
            <w:pPr>
              <w:spacing w:after="0" w:line="240" w:lineRule="auto"/>
            </w:pPr>
            <w:r>
              <w:rPr>
                <w:b w:val="0"/>
                <w:sz w:val="19"/>
              </w:rPr>
              <w:t>College and below; undergraduate; master’s and above</w:t>
            </w:r>
          </w:p>
        </w:tc>
        <w:tc>
          <w:tcPr>
            <w:tcW w:w="1973"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17D2FA1">
            <w:pPr>
              <w:spacing w:after="0" w:line="240" w:lineRule="auto"/>
            </w:pPr>
            <w:r>
              <w:rPr>
                <w:b w:val="0"/>
                <w:sz w:val="19"/>
              </w:rPr>
              <w:t>Ordinal integer encoding</w:t>
            </w:r>
          </w:p>
        </w:tc>
        <w:tc>
          <w:tcPr>
            <w:tcW w:w="87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B28B5FC">
            <w:pPr>
              <w:spacing w:after="0" w:line="240" w:lineRule="auto"/>
              <w:jc w:val="center"/>
            </w:pPr>
            <w:r>
              <w:rPr>
                <w:b w:val="0"/>
                <w:sz w:val="19"/>
              </w:rPr>
              <w:t>1</w:t>
            </w:r>
          </w:p>
        </w:tc>
      </w:tr>
      <w:tr w14:paraId="3F8FAFDD">
        <w:tblPrEx>
          <w:tblCellMar>
            <w:top w:w="0" w:type="dxa"/>
            <w:left w:w="108" w:type="dxa"/>
            <w:bottom w:w="0" w:type="dxa"/>
            <w:right w:w="108" w:type="dxa"/>
          </w:tblCellMar>
        </w:tblPrEx>
        <w:trPr>
          <w:cantSplit/>
          <w:jc w:val="center"/>
        </w:trPr>
        <w:tc>
          <w:tcPr>
            <w:tcW w:w="1613"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A7DFFDC">
            <w:pPr>
              <w:spacing w:after="0" w:line="240" w:lineRule="auto"/>
            </w:pPr>
            <w:r>
              <w:rPr>
                <w:b w:val="0"/>
                <w:sz w:val="19"/>
              </w:rPr>
              <w:t>Marital status</w:t>
            </w:r>
          </w:p>
        </w:tc>
        <w:tc>
          <w:tcPr>
            <w:tcW w:w="2376"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301358C">
            <w:pPr>
              <w:spacing w:after="0" w:line="240" w:lineRule="auto"/>
            </w:pPr>
            <w:r>
              <w:rPr>
                <w:b w:val="0"/>
                <w:sz w:val="19"/>
              </w:rPr>
              <w:t>General questionnaire; family background</w:t>
            </w:r>
          </w:p>
        </w:tc>
        <w:tc>
          <w:tcPr>
            <w:tcW w:w="352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51051B5">
            <w:pPr>
              <w:spacing w:after="0" w:line="240" w:lineRule="auto"/>
            </w:pPr>
            <w:r>
              <w:rPr>
                <w:b w:val="0"/>
                <w:sz w:val="19"/>
              </w:rPr>
              <w:t>Unmarried; married; divorced; widowed</w:t>
            </w:r>
          </w:p>
        </w:tc>
        <w:tc>
          <w:tcPr>
            <w:tcW w:w="1973"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AB8F688">
            <w:pPr>
              <w:spacing w:after="0" w:line="240" w:lineRule="auto"/>
            </w:pPr>
            <w:r>
              <w:rPr>
                <w:b w:val="0"/>
                <w:sz w:val="19"/>
              </w:rPr>
              <w:t>Full one-hot encoding</w:t>
            </w:r>
          </w:p>
        </w:tc>
        <w:tc>
          <w:tcPr>
            <w:tcW w:w="87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DEFE5BC">
            <w:pPr>
              <w:spacing w:after="0" w:line="240" w:lineRule="auto"/>
              <w:jc w:val="center"/>
            </w:pPr>
            <w:r>
              <w:rPr>
                <w:b w:val="0"/>
                <w:sz w:val="19"/>
              </w:rPr>
              <w:t>4</w:t>
            </w:r>
          </w:p>
        </w:tc>
      </w:tr>
      <w:tr w14:paraId="3B740789">
        <w:tblPrEx>
          <w:tblCellMar>
            <w:top w:w="0" w:type="dxa"/>
            <w:left w:w="108" w:type="dxa"/>
            <w:bottom w:w="0" w:type="dxa"/>
            <w:right w:w="108" w:type="dxa"/>
          </w:tblCellMar>
        </w:tblPrEx>
        <w:trPr>
          <w:cantSplit/>
          <w:jc w:val="center"/>
        </w:trPr>
        <w:tc>
          <w:tcPr>
            <w:tcW w:w="1613"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7C3DEE5">
            <w:pPr>
              <w:spacing w:after="0" w:line="240" w:lineRule="auto"/>
            </w:pPr>
            <w:r>
              <w:rPr>
                <w:b w:val="0"/>
                <w:sz w:val="19"/>
              </w:rPr>
              <w:t>Parental status</w:t>
            </w:r>
          </w:p>
        </w:tc>
        <w:tc>
          <w:tcPr>
            <w:tcW w:w="2376"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E943ACC">
            <w:pPr>
              <w:spacing w:after="0" w:line="240" w:lineRule="auto"/>
            </w:pPr>
            <w:r>
              <w:rPr>
                <w:b w:val="0"/>
                <w:sz w:val="19"/>
              </w:rPr>
              <w:t>General questionnaire; family background</w:t>
            </w:r>
          </w:p>
        </w:tc>
        <w:tc>
          <w:tcPr>
            <w:tcW w:w="352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8D72A9B">
            <w:pPr>
              <w:spacing w:after="0" w:line="240" w:lineRule="auto"/>
            </w:pPr>
            <w:r>
              <w:rPr>
                <w:b w:val="0"/>
                <w:sz w:val="19"/>
              </w:rPr>
              <w:t>Yes; no</w:t>
            </w:r>
          </w:p>
        </w:tc>
        <w:tc>
          <w:tcPr>
            <w:tcW w:w="1973"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AFC98C4">
            <w:pPr>
              <w:spacing w:after="0" w:line="240" w:lineRule="auto"/>
            </w:pPr>
            <w:r>
              <w:rPr>
                <w:b w:val="0"/>
                <w:sz w:val="19"/>
              </w:rPr>
              <w:t>Full one-hot encoding</w:t>
            </w:r>
          </w:p>
        </w:tc>
        <w:tc>
          <w:tcPr>
            <w:tcW w:w="87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6732F3C">
            <w:pPr>
              <w:spacing w:after="0" w:line="240" w:lineRule="auto"/>
              <w:jc w:val="center"/>
            </w:pPr>
            <w:r>
              <w:rPr>
                <w:b w:val="0"/>
                <w:sz w:val="19"/>
              </w:rPr>
              <w:t>2</w:t>
            </w:r>
          </w:p>
        </w:tc>
      </w:tr>
      <w:tr w14:paraId="4A97245A">
        <w:tblPrEx>
          <w:tblCellMar>
            <w:top w:w="0" w:type="dxa"/>
            <w:left w:w="108" w:type="dxa"/>
            <w:bottom w:w="0" w:type="dxa"/>
            <w:right w:w="108" w:type="dxa"/>
          </w:tblCellMar>
        </w:tblPrEx>
        <w:trPr>
          <w:cantSplit/>
          <w:jc w:val="center"/>
        </w:trPr>
        <w:tc>
          <w:tcPr>
            <w:tcW w:w="1613"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DBB277B">
            <w:pPr>
              <w:spacing w:after="0" w:line="240" w:lineRule="auto"/>
            </w:pPr>
            <w:r>
              <w:rPr>
                <w:b w:val="0"/>
                <w:sz w:val="19"/>
              </w:rPr>
              <w:t>Working section</w:t>
            </w:r>
          </w:p>
        </w:tc>
        <w:tc>
          <w:tcPr>
            <w:tcW w:w="2376"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117D153">
            <w:pPr>
              <w:spacing w:after="0" w:line="240" w:lineRule="auto"/>
            </w:pPr>
            <w:r>
              <w:rPr>
                <w:b w:val="0"/>
                <w:sz w:val="19"/>
              </w:rPr>
              <w:t>General questionnaire; work setting</w:t>
            </w:r>
          </w:p>
        </w:tc>
        <w:tc>
          <w:tcPr>
            <w:tcW w:w="352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6DAEE3E">
            <w:pPr>
              <w:spacing w:after="0" w:line="240" w:lineRule="auto"/>
            </w:pPr>
            <w:r>
              <w:rPr>
                <w:b w:val="0"/>
                <w:sz w:val="19"/>
              </w:rPr>
              <w:t>Internal medicine; surgery; obstetrics and gynecology; pediatrics; ENT; ICU; outpatient clinic; operating room; emergency department; other</w:t>
            </w:r>
          </w:p>
        </w:tc>
        <w:tc>
          <w:tcPr>
            <w:tcW w:w="1973"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87BC96F">
            <w:pPr>
              <w:spacing w:after="0" w:line="240" w:lineRule="auto"/>
            </w:pPr>
            <w:r>
              <w:rPr>
                <w:b w:val="0"/>
                <w:sz w:val="19"/>
              </w:rPr>
              <w:t>Full one-hot encoding</w:t>
            </w:r>
          </w:p>
        </w:tc>
        <w:tc>
          <w:tcPr>
            <w:tcW w:w="87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EEDABBD">
            <w:pPr>
              <w:spacing w:after="0" w:line="240" w:lineRule="auto"/>
              <w:jc w:val="center"/>
            </w:pPr>
            <w:r>
              <w:rPr>
                <w:b w:val="0"/>
                <w:sz w:val="19"/>
              </w:rPr>
              <w:t>10</w:t>
            </w:r>
          </w:p>
        </w:tc>
      </w:tr>
      <w:tr w14:paraId="49B784C0">
        <w:tblPrEx>
          <w:tblCellMar>
            <w:top w:w="0" w:type="dxa"/>
            <w:left w:w="108" w:type="dxa"/>
            <w:bottom w:w="0" w:type="dxa"/>
            <w:right w:w="108" w:type="dxa"/>
          </w:tblCellMar>
        </w:tblPrEx>
        <w:trPr>
          <w:cantSplit/>
          <w:jc w:val="center"/>
        </w:trPr>
        <w:tc>
          <w:tcPr>
            <w:tcW w:w="1613"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45CB3B7">
            <w:pPr>
              <w:spacing w:after="0" w:line="240" w:lineRule="auto"/>
            </w:pPr>
            <w:r>
              <w:rPr>
                <w:b w:val="0"/>
                <w:sz w:val="19"/>
              </w:rPr>
              <w:t>Employment type</w:t>
            </w:r>
          </w:p>
        </w:tc>
        <w:tc>
          <w:tcPr>
            <w:tcW w:w="2376"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7901E70">
            <w:pPr>
              <w:spacing w:after="0" w:line="240" w:lineRule="auto"/>
            </w:pPr>
            <w:r>
              <w:rPr>
                <w:b w:val="0"/>
                <w:sz w:val="19"/>
              </w:rPr>
              <w:t>General questionnaire; employment context</w:t>
            </w:r>
          </w:p>
        </w:tc>
        <w:tc>
          <w:tcPr>
            <w:tcW w:w="352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CE71360">
            <w:pPr>
              <w:spacing w:after="0" w:line="240" w:lineRule="auto"/>
            </w:pPr>
            <w:r>
              <w:rPr>
                <w:b w:val="0"/>
                <w:sz w:val="19"/>
              </w:rPr>
              <w:t>Permanent; contract; labor dispatch</w:t>
            </w:r>
          </w:p>
        </w:tc>
        <w:tc>
          <w:tcPr>
            <w:tcW w:w="1973"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B827A13">
            <w:pPr>
              <w:spacing w:after="0" w:line="240" w:lineRule="auto"/>
            </w:pPr>
            <w:r>
              <w:rPr>
                <w:b w:val="0"/>
                <w:sz w:val="19"/>
              </w:rPr>
              <w:t>Full one-hot encoding</w:t>
            </w:r>
          </w:p>
        </w:tc>
        <w:tc>
          <w:tcPr>
            <w:tcW w:w="87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C4303AC">
            <w:pPr>
              <w:spacing w:after="0" w:line="240" w:lineRule="auto"/>
              <w:jc w:val="center"/>
            </w:pPr>
            <w:r>
              <w:rPr>
                <w:b w:val="0"/>
                <w:sz w:val="19"/>
              </w:rPr>
              <w:t>3</w:t>
            </w:r>
          </w:p>
        </w:tc>
      </w:tr>
      <w:tr w14:paraId="5881DCC5">
        <w:tblPrEx>
          <w:tblCellMar>
            <w:top w:w="0" w:type="dxa"/>
            <w:left w:w="108" w:type="dxa"/>
            <w:bottom w:w="0" w:type="dxa"/>
            <w:right w:w="108" w:type="dxa"/>
          </w:tblCellMar>
        </w:tblPrEx>
        <w:trPr>
          <w:cantSplit/>
          <w:jc w:val="center"/>
        </w:trPr>
        <w:tc>
          <w:tcPr>
            <w:tcW w:w="1613"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9919EAF">
            <w:pPr>
              <w:spacing w:after="0" w:line="240" w:lineRule="auto"/>
            </w:pPr>
            <w:r>
              <w:rPr>
                <w:b w:val="0"/>
                <w:sz w:val="19"/>
              </w:rPr>
              <w:t>Shift situation</w:t>
            </w:r>
          </w:p>
        </w:tc>
        <w:tc>
          <w:tcPr>
            <w:tcW w:w="2376"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6ED4409">
            <w:pPr>
              <w:spacing w:after="0" w:line="240" w:lineRule="auto"/>
            </w:pPr>
            <w:r>
              <w:rPr>
                <w:b w:val="0"/>
                <w:sz w:val="19"/>
              </w:rPr>
              <w:t>General questionnaire; work schedule</w:t>
            </w:r>
          </w:p>
        </w:tc>
        <w:tc>
          <w:tcPr>
            <w:tcW w:w="352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659EEC9">
            <w:pPr>
              <w:spacing w:after="0" w:line="240" w:lineRule="auto"/>
            </w:pPr>
            <w:r>
              <w:rPr>
                <w:b w:val="0"/>
                <w:sz w:val="19"/>
              </w:rPr>
              <w:t>Permanent day shift; permanent night shift; rotating day and night shifts; non-fixed rotation</w:t>
            </w:r>
          </w:p>
        </w:tc>
        <w:tc>
          <w:tcPr>
            <w:tcW w:w="1973"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8198CC8">
            <w:pPr>
              <w:spacing w:after="0" w:line="240" w:lineRule="auto"/>
            </w:pPr>
            <w:r>
              <w:rPr>
                <w:b w:val="0"/>
                <w:sz w:val="19"/>
              </w:rPr>
              <w:t>Full one-hot encoding</w:t>
            </w:r>
          </w:p>
        </w:tc>
        <w:tc>
          <w:tcPr>
            <w:tcW w:w="87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002DD39">
            <w:pPr>
              <w:spacing w:after="0" w:line="240" w:lineRule="auto"/>
              <w:jc w:val="center"/>
            </w:pPr>
            <w:r>
              <w:rPr>
                <w:b w:val="0"/>
                <w:sz w:val="19"/>
              </w:rPr>
              <w:t>4</w:t>
            </w:r>
          </w:p>
        </w:tc>
      </w:tr>
      <w:tr w14:paraId="22D9196F">
        <w:tblPrEx>
          <w:tblCellMar>
            <w:top w:w="0" w:type="dxa"/>
            <w:left w:w="108" w:type="dxa"/>
            <w:bottom w:w="0" w:type="dxa"/>
            <w:right w:w="108" w:type="dxa"/>
          </w:tblCellMar>
        </w:tblPrEx>
        <w:trPr>
          <w:cantSplit/>
          <w:jc w:val="center"/>
        </w:trPr>
        <w:tc>
          <w:tcPr>
            <w:tcW w:w="1613"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398068F">
            <w:pPr>
              <w:spacing w:after="0" w:line="240" w:lineRule="auto"/>
            </w:pPr>
            <w:r>
              <w:rPr>
                <w:b w:val="0"/>
                <w:sz w:val="19"/>
              </w:rPr>
              <w:t>Night shifts per month</w:t>
            </w:r>
          </w:p>
        </w:tc>
        <w:tc>
          <w:tcPr>
            <w:tcW w:w="2376"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D547D40">
            <w:pPr>
              <w:spacing w:after="0" w:line="240" w:lineRule="auto"/>
            </w:pPr>
            <w:r>
              <w:rPr>
                <w:b w:val="0"/>
                <w:sz w:val="19"/>
              </w:rPr>
              <w:t>General questionnaire; night-shift burden</w:t>
            </w:r>
          </w:p>
        </w:tc>
        <w:tc>
          <w:tcPr>
            <w:tcW w:w="352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5283F64">
            <w:pPr>
              <w:spacing w:after="0" w:line="240" w:lineRule="auto"/>
            </w:pPr>
            <w:r>
              <w:rPr>
                <w:b w:val="0"/>
                <w:sz w:val="19"/>
              </w:rPr>
              <w:t>0; 1–3; 4–8; &gt;8 shifts</w:t>
            </w:r>
          </w:p>
        </w:tc>
        <w:tc>
          <w:tcPr>
            <w:tcW w:w="1973"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D8EA7EE">
            <w:pPr>
              <w:spacing w:after="0" w:line="240" w:lineRule="auto"/>
            </w:pPr>
            <w:r>
              <w:rPr>
                <w:b w:val="0"/>
                <w:sz w:val="19"/>
              </w:rPr>
              <w:t>Ordinal integer encoding</w:t>
            </w:r>
          </w:p>
        </w:tc>
        <w:tc>
          <w:tcPr>
            <w:tcW w:w="87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5E4D141">
            <w:pPr>
              <w:spacing w:after="0" w:line="240" w:lineRule="auto"/>
              <w:jc w:val="center"/>
            </w:pPr>
            <w:r>
              <w:rPr>
                <w:b w:val="0"/>
                <w:sz w:val="19"/>
              </w:rPr>
              <w:t>1</w:t>
            </w:r>
          </w:p>
        </w:tc>
      </w:tr>
      <w:tr w14:paraId="20B8FCA9">
        <w:tblPrEx>
          <w:tblCellMar>
            <w:top w:w="0" w:type="dxa"/>
            <w:left w:w="108" w:type="dxa"/>
            <w:bottom w:w="0" w:type="dxa"/>
            <w:right w:w="108" w:type="dxa"/>
          </w:tblCellMar>
        </w:tblPrEx>
        <w:trPr>
          <w:cantSplit/>
          <w:jc w:val="center"/>
        </w:trPr>
        <w:tc>
          <w:tcPr>
            <w:tcW w:w="1613"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08E6108">
            <w:pPr>
              <w:spacing w:after="0" w:line="240" w:lineRule="auto"/>
            </w:pPr>
            <w:r>
              <w:rPr>
                <w:b w:val="0"/>
                <w:sz w:val="19"/>
              </w:rPr>
              <w:t>Overtime per week</w:t>
            </w:r>
          </w:p>
        </w:tc>
        <w:tc>
          <w:tcPr>
            <w:tcW w:w="2376"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19DBA80">
            <w:pPr>
              <w:spacing w:after="0" w:line="240" w:lineRule="auto"/>
            </w:pPr>
            <w:r>
              <w:rPr>
                <w:b w:val="0"/>
                <w:sz w:val="19"/>
              </w:rPr>
              <w:t>General questionnaire; working-time burden</w:t>
            </w:r>
          </w:p>
        </w:tc>
        <w:tc>
          <w:tcPr>
            <w:tcW w:w="352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F02728B">
            <w:pPr>
              <w:spacing w:after="0" w:line="240" w:lineRule="auto"/>
            </w:pPr>
            <w:r>
              <w:rPr>
                <w:b w:val="0"/>
                <w:sz w:val="19"/>
              </w:rPr>
              <w:t>≤5; 6–10; 11–15; &gt;15 hours</w:t>
            </w:r>
          </w:p>
        </w:tc>
        <w:tc>
          <w:tcPr>
            <w:tcW w:w="1973"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830BF67">
            <w:pPr>
              <w:spacing w:after="0" w:line="240" w:lineRule="auto"/>
            </w:pPr>
            <w:r>
              <w:rPr>
                <w:b w:val="0"/>
                <w:sz w:val="19"/>
              </w:rPr>
              <w:t>Ordinal integer encoding</w:t>
            </w:r>
          </w:p>
        </w:tc>
        <w:tc>
          <w:tcPr>
            <w:tcW w:w="87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A18831D">
            <w:pPr>
              <w:spacing w:after="0" w:line="240" w:lineRule="auto"/>
              <w:jc w:val="center"/>
            </w:pPr>
            <w:r>
              <w:rPr>
                <w:b w:val="0"/>
                <w:sz w:val="19"/>
              </w:rPr>
              <w:t>1</w:t>
            </w:r>
          </w:p>
        </w:tc>
      </w:tr>
      <w:tr w14:paraId="07808959">
        <w:tblPrEx>
          <w:tblCellMar>
            <w:top w:w="0" w:type="dxa"/>
            <w:left w:w="108" w:type="dxa"/>
            <w:bottom w:w="0" w:type="dxa"/>
            <w:right w:w="108" w:type="dxa"/>
          </w:tblCellMar>
        </w:tblPrEx>
        <w:trPr>
          <w:cantSplit/>
          <w:jc w:val="center"/>
        </w:trPr>
        <w:tc>
          <w:tcPr>
            <w:tcW w:w="1613"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C42F3CF">
            <w:pPr>
              <w:spacing w:after="0" w:line="240" w:lineRule="auto"/>
            </w:pPr>
            <w:r>
              <w:rPr>
                <w:b w:val="0"/>
                <w:sz w:val="19"/>
              </w:rPr>
              <w:t>Monthly income</w:t>
            </w:r>
          </w:p>
        </w:tc>
        <w:tc>
          <w:tcPr>
            <w:tcW w:w="2376"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45B72D7">
            <w:pPr>
              <w:spacing w:after="0" w:line="240" w:lineRule="auto"/>
            </w:pPr>
            <w:r>
              <w:rPr>
                <w:b w:val="0"/>
                <w:sz w:val="19"/>
              </w:rPr>
              <w:t>General questionnaire; economic background</w:t>
            </w:r>
          </w:p>
        </w:tc>
        <w:tc>
          <w:tcPr>
            <w:tcW w:w="352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4EF4C3C">
            <w:pPr>
              <w:spacing w:after="0" w:line="240" w:lineRule="auto"/>
            </w:pPr>
            <w:r>
              <w:rPr>
                <w:b w:val="0"/>
                <w:sz w:val="19"/>
              </w:rPr>
              <w:t>&lt;5000; 5000–10000; &gt;10000 yuan</w:t>
            </w:r>
          </w:p>
        </w:tc>
        <w:tc>
          <w:tcPr>
            <w:tcW w:w="1973"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CE218D6">
            <w:pPr>
              <w:spacing w:after="0" w:line="240" w:lineRule="auto"/>
            </w:pPr>
            <w:r>
              <w:rPr>
                <w:b w:val="0"/>
                <w:sz w:val="19"/>
              </w:rPr>
              <w:t>Ordinal integer encoding</w:t>
            </w:r>
          </w:p>
        </w:tc>
        <w:tc>
          <w:tcPr>
            <w:tcW w:w="87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D45583D">
            <w:pPr>
              <w:spacing w:after="0" w:line="240" w:lineRule="auto"/>
              <w:jc w:val="center"/>
            </w:pPr>
            <w:r>
              <w:rPr>
                <w:b w:val="0"/>
                <w:sz w:val="19"/>
              </w:rPr>
              <w:t>1</w:t>
            </w:r>
          </w:p>
        </w:tc>
      </w:tr>
      <w:tr w14:paraId="3F461AEA">
        <w:tblPrEx>
          <w:tblCellMar>
            <w:top w:w="0" w:type="dxa"/>
            <w:left w:w="108" w:type="dxa"/>
            <w:bottom w:w="0" w:type="dxa"/>
            <w:right w:w="108" w:type="dxa"/>
          </w:tblCellMar>
        </w:tblPrEx>
        <w:trPr>
          <w:cantSplit/>
          <w:jc w:val="center"/>
        </w:trPr>
        <w:tc>
          <w:tcPr>
            <w:tcW w:w="1613"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6E84733">
            <w:pPr>
              <w:spacing w:after="0" w:line="240" w:lineRule="auto"/>
            </w:pPr>
            <w:r>
              <w:rPr>
                <w:b w:val="0"/>
                <w:sz w:val="19"/>
              </w:rPr>
              <w:t>Round-trip commuting time</w:t>
            </w:r>
          </w:p>
        </w:tc>
        <w:tc>
          <w:tcPr>
            <w:tcW w:w="2376"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B46A357">
            <w:pPr>
              <w:spacing w:after="0" w:line="240" w:lineRule="auto"/>
            </w:pPr>
            <w:r>
              <w:rPr>
                <w:b w:val="0"/>
                <w:sz w:val="19"/>
              </w:rPr>
              <w:t>General questionnaire; time burden</w:t>
            </w:r>
          </w:p>
        </w:tc>
        <w:tc>
          <w:tcPr>
            <w:tcW w:w="352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0FE8404">
            <w:pPr>
              <w:spacing w:after="0" w:line="240" w:lineRule="auto"/>
            </w:pPr>
            <w:r>
              <w:rPr>
                <w:b w:val="0"/>
                <w:sz w:val="19"/>
              </w:rPr>
              <w:t>&lt;30; 30–60; 61–120; &gt;120 minutes</w:t>
            </w:r>
          </w:p>
        </w:tc>
        <w:tc>
          <w:tcPr>
            <w:tcW w:w="1973"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2727F44">
            <w:pPr>
              <w:spacing w:after="0" w:line="240" w:lineRule="auto"/>
            </w:pPr>
            <w:r>
              <w:rPr>
                <w:b w:val="0"/>
                <w:sz w:val="19"/>
              </w:rPr>
              <w:t>Ordinal integer encoding</w:t>
            </w:r>
          </w:p>
        </w:tc>
        <w:tc>
          <w:tcPr>
            <w:tcW w:w="87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354C77E">
            <w:pPr>
              <w:spacing w:after="0" w:line="240" w:lineRule="auto"/>
              <w:jc w:val="center"/>
            </w:pPr>
            <w:r>
              <w:rPr>
                <w:b w:val="0"/>
                <w:sz w:val="19"/>
              </w:rPr>
              <w:t>1</w:t>
            </w:r>
          </w:p>
        </w:tc>
      </w:tr>
      <w:tr w14:paraId="2F28E2BE">
        <w:tblPrEx>
          <w:tblCellMar>
            <w:top w:w="0" w:type="dxa"/>
            <w:left w:w="108" w:type="dxa"/>
            <w:bottom w:w="0" w:type="dxa"/>
            <w:right w:w="108" w:type="dxa"/>
          </w:tblCellMar>
        </w:tblPrEx>
        <w:trPr>
          <w:cantSplit/>
          <w:jc w:val="center"/>
        </w:trPr>
        <w:tc>
          <w:tcPr>
            <w:tcW w:w="1613"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DBD19B0">
            <w:pPr>
              <w:spacing w:after="0" w:line="240" w:lineRule="auto"/>
            </w:pPr>
            <w:r>
              <w:rPr>
                <w:b w:val="0"/>
                <w:sz w:val="19"/>
              </w:rPr>
              <w:t>Challenge stress</w:t>
            </w:r>
          </w:p>
        </w:tc>
        <w:tc>
          <w:tcPr>
            <w:tcW w:w="2376"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61A51C2">
            <w:pPr>
              <w:spacing w:after="0" w:line="240" w:lineRule="auto"/>
            </w:pPr>
            <w:r>
              <w:rPr>
                <w:b w:val="0"/>
                <w:sz w:val="19"/>
              </w:rPr>
              <w:t>CHSS challenge subscale ; work stress</w:t>
            </w:r>
          </w:p>
        </w:tc>
        <w:tc>
          <w:tcPr>
            <w:tcW w:w="352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82A3F4C">
            <w:pPr>
              <w:spacing w:after="0" w:line="240" w:lineRule="auto"/>
            </w:pPr>
            <w:r>
              <w:rPr>
                <w:b w:val="0"/>
                <w:sz w:val="19"/>
              </w:rPr>
              <w:t>Mean of six items scored 1–5; higher scores indicate greater stress</w:t>
            </w:r>
          </w:p>
        </w:tc>
        <w:tc>
          <w:tcPr>
            <w:tcW w:w="1973"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E3BC2CD">
            <w:pPr>
              <w:spacing w:after="0" w:line="240" w:lineRule="auto"/>
            </w:pPr>
            <w:r>
              <w:rPr>
                <w:b w:val="0"/>
                <w:sz w:val="19"/>
              </w:rPr>
              <w:t>Continuous</w:t>
            </w:r>
          </w:p>
        </w:tc>
        <w:tc>
          <w:tcPr>
            <w:tcW w:w="87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BBFB22E">
            <w:pPr>
              <w:spacing w:after="0" w:line="240" w:lineRule="auto"/>
              <w:jc w:val="center"/>
            </w:pPr>
            <w:r>
              <w:rPr>
                <w:b w:val="0"/>
                <w:sz w:val="19"/>
              </w:rPr>
              <w:t>1</w:t>
            </w:r>
          </w:p>
        </w:tc>
      </w:tr>
      <w:tr w14:paraId="2EFFFAD9">
        <w:tblPrEx>
          <w:tblCellMar>
            <w:top w:w="0" w:type="dxa"/>
            <w:left w:w="108" w:type="dxa"/>
            <w:bottom w:w="0" w:type="dxa"/>
            <w:right w:w="108" w:type="dxa"/>
          </w:tblCellMar>
        </w:tblPrEx>
        <w:trPr>
          <w:cantSplit/>
          <w:jc w:val="center"/>
        </w:trPr>
        <w:tc>
          <w:tcPr>
            <w:tcW w:w="1613"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AD3F25D">
            <w:pPr>
              <w:spacing w:after="0" w:line="240" w:lineRule="auto"/>
            </w:pPr>
            <w:r>
              <w:rPr>
                <w:b w:val="0"/>
                <w:sz w:val="19"/>
              </w:rPr>
              <w:t>Hindrance stress</w:t>
            </w:r>
          </w:p>
        </w:tc>
        <w:tc>
          <w:tcPr>
            <w:tcW w:w="2376"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A7A1FD0">
            <w:pPr>
              <w:spacing w:after="0" w:line="240" w:lineRule="auto"/>
            </w:pPr>
            <w:r>
              <w:rPr>
                <w:b w:val="0"/>
                <w:sz w:val="19"/>
              </w:rPr>
              <w:t>CHSS hindrance subscale ; work stress</w:t>
            </w:r>
          </w:p>
        </w:tc>
        <w:tc>
          <w:tcPr>
            <w:tcW w:w="352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F7184FB">
            <w:pPr>
              <w:spacing w:after="0" w:line="240" w:lineRule="auto"/>
            </w:pPr>
            <w:r>
              <w:rPr>
                <w:b w:val="0"/>
                <w:sz w:val="19"/>
              </w:rPr>
              <w:t>Mean of five items scored 1–5; higher scores indicate greater stress</w:t>
            </w:r>
          </w:p>
        </w:tc>
        <w:tc>
          <w:tcPr>
            <w:tcW w:w="1973"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30E1D16">
            <w:pPr>
              <w:spacing w:after="0" w:line="240" w:lineRule="auto"/>
            </w:pPr>
            <w:r>
              <w:rPr>
                <w:b w:val="0"/>
                <w:sz w:val="19"/>
              </w:rPr>
              <w:t>Continuous</w:t>
            </w:r>
          </w:p>
        </w:tc>
        <w:tc>
          <w:tcPr>
            <w:tcW w:w="87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15D9FAF">
            <w:pPr>
              <w:spacing w:after="0" w:line="240" w:lineRule="auto"/>
              <w:jc w:val="center"/>
            </w:pPr>
            <w:r>
              <w:rPr>
                <w:b w:val="0"/>
                <w:sz w:val="19"/>
              </w:rPr>
              <w:t>1</w:t>
            </w:r>
          </w:p>
        </w:tc>
      </w:tr>
      <w:tr w14:paraId="4CED77C6">
        <w:tblPrEx>
          <w:tblCellMar>
            <w:top w:w="0" w:type="dxa"/>
            <w:left w:w="108" w:type="dxa"/>
            <w:bottom w:w="0" w:type="dxa"/>
            <w:right w:w="108" w:type="dxa"/>
          </w:tblCellMar>
        </w:tblPrEx>
        <w:trPr>
          <w:cantSplit/>
          <w:jc w:val="center"/>
        </w:trPr>
        <w:tc>
          <w:tcPr>
            <w:tcW w:w="1613"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863FE4A">
            <w:pPr>
              <w:spacing w:after="0" w:line="240" w:lineRule="auto"/>
            </w:pPr>
            <w:r>
              <w:rPr>
                <w:b w:val="0"/>
                <w:sz w:val="19"/>
              </w:rPr>
              <w:t>Career adaptability</w:t>
            </w:r>
          </w:p>
        </w:tc>
        <w:tc>
          <w:tcPr>
            <w:tcW w:w="2376"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B4038ED">
            <w:pPr>
              <w:spacing w:after="0" w:line="240" w:lineRule="auto"/>
            </w:pPr>
            <w:r>
              <w:rPr>
                <w:b w:val="0"/>
                <w:sz w:val="19"/>
              </w:rPr>
              <w:t>CAAS ; career-related resource</w:t>
            </w:r>
          </w:p>
        </w:tc>
        <w:tc>
          <w:tcPr>
            <w:tcW w:w="352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B98C6D1">
            <w:pPr>
              <w:spacing w:after="0" w:line="240" w:lineRule="auto"/>
            </w:pPr>
            <w:r>
              <w:rPr>
                <w:b w:val="0"/>
                <w:sz w:val="19"/>
              </w:rPr>
              <w:t>Sum of 24 items scored 1–5; range 24–120; higher scores indicate greater adaptability</w:t>
            </w:r>
          </w:p>
        </w:tc>
        <w:tc>
          <w:tcPr>
            <w:tcW w:w="1973"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AA792B9">
            <w:pPr>
              <w:spacing w:after="0" w:line="240" w:lineRule="auto"/>
            </w:pPr>
            <w:r>
              <w:rPr>
                <w:b w:val="0"/>
                <w:sz w:val="19"/>
              </w:rPr>
              <w:t>Continuous</w:t>
            </w:r>
          </w:p>
        </w:tc>
        <w:tc>
          <w:tcPr>
            <w:tcW w:w="87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E4849D8">
            <w:pPr>
              <w:spacing w:after="0" w:line="240" w:lineRule="auto"/>
              <w:jc w:val="center"/>
            </w:pPr>
            <w:r>
              <w:rPr>
                <w:b w:val="0"/>
                <w:sz w:val="19"/>
              </w:rPr>
              <w:t>1</w:t>
            </w:r>
          </w:p>
        </w:tc>
      </w:tr>
      <w:tr w14:paraId="0D4CABF6">
        <w:tblPrEx>
          <w:tblCellMar>
            <w:top w:w="0" w:type="dxa"/>
            <w:left w:w="108" w:type="dxa"/>
            <w:bottom w:w="0" w:type="dxa"/>
            <w:right w:w="108" w:type="dxa"/>
          </w:tblCellMar>
        </w:tblPrEx>
        <w:trPr>
          <w:cantSplit/>
          <w:jc w:val="center"/>
        </w:trPr>
        <w:tc>
          <w:tcPr>
            <w:tcW w:w="1613" w:type="dxa"/>
            <w:tcBorders>
              <w:top w:val="single" w:color="D9D9D9" w:sz="4" w:space="0"/>
              <w:left w:val="single" w:color="D9D9D9" w:sz="4" w:space="0"/>
              <w:bottom w:val="single" w:color="auto" w:sz="4" w:space="0"/>
              <w:right w:val="single" w:color="D9D9D9" w:sz="4" w:space="0"/>
            </w:tcBorders>
            <w:tcMar>
              <w:top w:w="65" w:type="dxa"/>
              <w:left w:w="65" w:type="dxa"/>
              <w:bottom w:w="65" w:type="dxa"/>
              <w:right w:w="65" w:type="dxa"/>
            </w:tcMar>
            <w:vAlign w:val="center"/>
          </w:tcPr>
          <w:p w14:paraId="173D704F">
            <w:pPr>
              <w:spacing w:after="0" w:line="240" w:lineRule="auto"/>
              <w:rPr>
                <w:b w:val="0"/>
                <w:bCs/>
              </w:rPr>
            </w:pPr>
            <w:r>
              <w:rPr>
                <w:b w:val="0"/>
                <w:bCs/>
                <w:sz w:val="19"/>
              </w:rPr>
              <w:t>Total</w:t>
            </w:r>
          </w:p>
        </w:tc>
        <w:tc>
          <w:tcPr>
            <w:tcW w:w="2376" w:type="dxa"/>
            <w:tcBorders>
              <w:top w:val="single" w:color="D9D9D9" w:sz="4" w:space="0"/>
              <w:left w:val="single" w:color="D9D9D9" w:sz="4" w:space="0"/>
              <w:bottom w:val="single" w:color="auto" w:sz="4" w:space="0"/>
              <w:right w:val="single" w:color="D9D9D9" w:sz="4" w:space="0"/>
            </w:tcBorders>
            <w:tcMar>
              <w:top w:w="65" w:type="dxa"/>
              <w:left w:w="65" w:type="dxa"/>
              <w:bottom w:w="65" w:type="dxa"/>
              <w:right w:w="65" w:type="dxa"/>
            </w:tcMar>
            <w:vAlign w:val="center"/>
          </w:tcPr>
          <w:p w14:paraId="231FE3F3">
            <w:pPr>
              <w:spacing w:after="0" w:line="240" w:lineRule="auto"/>
              <w:rPr>
                <w:b w:val="0"/>
                <w:bCs/>
              </w:rPr>
            </w:pPr>
            <w:r>
              <w:rPr>
                <w:b w:val="0"/>
                <w:bCs/>
                <w:sz w:val="19"/>
              </w:rPr>
              <w:t>16 original candidate predictors</w:t>
            </w:r>
          </w:p>
        </w:tc>
        <w:tc>
          <w:tcPr>
            <w:tcW w:w="3528" w:type="dxa"/>
            <w:tcBorders>
              <w:top w:val="single" w:color="D9D9D9" w:sz="4" w:space="0"/>
              <w:left w:val="single" w:color="D9D9D9" w:sz="4" w:space="0"/>
              <w:bottom w:val="single" w:color="auto" w:sz="4" w:space="0"/>
              <w:right w:val="single" w:color="D9D9D9" w:sz="4" w:space="0"/>
            </w:tcBorders>
            <w:tcMar>
              <w:top w:w="65" w:type="dxa"/>
              <w:left w:w="65" w:type="dxa"/>
              <w:bottom w:w="65" w:type="dxa"/>
              <w:right w:w="65" w:type="dxa"/>
            </w:tcMar>
            <w:vAlign w:val="center"/>
          </w:tcPr>
          <w:p w14:paraId="16216BC2">
            <w:pPr>
              <w:spacing w:after="0" w:line="240" w:lineRule="auto"/>
              <w:rPr>
                <w:b w:val="0"/>
                <w:bCs/>
              </w:rPr>
            </w:pPr>
            <w:r>
              <w:rPr>
                <w:b w:val="0"/>
                <w:bCs/>
                <w:sz w:val="19"/>
              </w:rPr>
              <w:t>5 continuous, 5 ordinal, and 6 unordered categorical predictors</w:t>
            </w:r>
          </w:p>
        </w:tc>
        <w:tc>
          <w:tcPr>
            <w:tcW w:w="1973" w:type="dxa"/>
            <w:tcBorders>
              <w:top w:val="single" w:color="D9D9D9" w:sz="4" w:space="0"/>
              <w:left w:val="single" w:color="D9D9D9" w:sz="4" w:space="0"/>
              <w:bottom w:val="single" w:color="auto" w:sz="4" w:space="0"/>
              <w:right w:val="single" w:color="D9D9D9" w:sz="4" w:space="0"/>
            </w:tcBorders>
            <w:tcMar>
              <w:top w:w="65" w:type="dxa"/>
              <w:left w:w="65" w:type="dxa"/>
              <w:bottom w:w="65" w:type="dxa"/>
              <w:right w:w="65" w:type="dxa"/>
            </w:tcMar>
            <w:vAlign w:val="center"/>
          </w:tcPr>
          <w:p w14:paraId="3787E885">
            <w:pPr>
              <w:spacing w:after="0" w:line="240" w:lineRule="auto"/>
              <w:rPr>
                <w:b w:val="0"/>
                <w:bCs/>
              </w:rPr>
            </w:pPr>
            <w:r>
              <w:rPr>
                <w:b w:val="0"/>
                <w:bCs/>
                <w:sz w:val="19"/>
              </w:rPr>
              <w:t>35 encoded feature columns</w:t>
            </w:r>
          </w:p>
        </w:tc>
        <w:tc>
          <w:tcPr>
            <w:tcW w:w="878" w:type="dxa"/>
            <w:tcBorders>
              <w:top w:val="single" w:color="D9D9D9" w:sz="4" w:space="0"/>
              <w:left w:val="single" w:color="D9D9D9" w:sz="4" w:space="0"/>
              <w:bottom w:val="single" w:color="auto" w:sz="4" w:space="0"/>
              <w:right w:val="single" w:color="D9D9D9" w:sz="4" w:space="0"/>
            </w:tcBorders>
            <w:tcMar>
              <w:top w:w="65" w:type="dxa"/>
              <w:left w:w="65" w:type="dxa"/>
              <w:bottom w:w="65" w:type="dxa"/>
              <w:right w:w="65" w:type="dxa"/>
            </w:tcMar>
            <w:vAlign w:val="center"/>
          </w:tcPr>
          <w:p w14:paraId="1A11AE5D">
            <w:pPr>
              <w:spacing w:after="0" w:line="240" w:lineRule="auto"/>
              <w:jc w:val="center"/>
              <w:rPr>
                <w:b w:val="0"/>
                <w:bCs/>
              </w:rPr>
            </w:pPr>
            <w:r>
              <w:rPr>
                <w:b w:val="0"/>
                <w:bCs/>
                <w:sz w:val="19"/>
              </w:rPr>
              <w:t>35</w:t>
            </w:r>
          </w:p>
        </w:tc>
      </w:tr>
    </w:tbl>
    <w:p w14:paraId="1CE3AE78">
      <w:pPr>
        <w:pStyle w:val="30"/>
        <w:keepNext w:val="0"/>
        <w:keepLines w:val="0"/>
        <w:widowControl/>
        <w:suppressLineNumbers w:val="0"/>
        <w:rPr>
          <w:rFonts w:ascii="Times New Roman" w:hAnsi="Times New Roman" w:eastAsiaTheme="minorEastAsia" w:cstheme="minorBidi"/>
          <w:b w:val="0"/>
          <w:i/>
          <w:kern w:val="0"/>
          <w:sz w:val="18"/>
          <w:szCs w:val="22"/>
          <w:lang w:val="en-US" w:eastAsia="en-US" w:bidi="ar-SA"/>
        </w:rPr>
      </w:pPr>
      <w:r>
        <w:rPr>
          <w:rFonts w:ascii="Times New Roman" w:hAnsi="Times New Roman" w:eastAsiaTheme="minorEastAsia" w:cstheme="minorBidi"/>
          <w:b w:val="0"/>
          <w:i/>
          <w:kern w:val="0"/>
          <w:sz w:val="18"/>
          <w:szCs w:val="22"/>
          <w:lang w:val="en-US" w:eastAsia="en-US" w:bidi="ar-SA"/>
        </w:rPr>
        <w:t>Notes: The 16 original predictors yielded 35 feature columns, with all category indicators retained for one-hot encoding. CHSS scores are subscale means; the CAAS score is the total score. CAAS, Career Adapt-Abilities Scale; CHSS, Challenge- and Hindrance-Related Self-Reported Stress; ENT, ear, nose, and throat; ICU, intensive care unit.</w:t>
      </w:r>
    </w:p>
    <w:p w14:paraId="025E03F1">
      <w:pPr>
        <w:spacing w:before="200"/>
      </w:pPr>
      <w:r>
        <w:rPr>
          <w:b/>
          <w:sz w:val="26"/>
        </w:rPr>
        <w:t>Supplementary Table S2</w:t>
      </w:r>
    </w:p>
    <w:p w14:paraId="0C41916F">
      <w:pPr>
        <w:spacing w:after="160"/>
      </w:pPr>
      <w:r>
        <w:rPr>
          <w:b w:val="0"/>
          <w:i/>
          <w:sz w:val="21"/>
        </w:rPr>
        <w:t>Additional performance, optimism and stability analyses for the four-predictor logistic model (training n = 1,917; test n = 262; full analytic sample N = 2,179).</w:t>
      </w:r>
    </w:p>
    <w:tbl>
      <w:tblPr>
        <w:tblStyle w:val="33"/>
        <w:tblW w:w="0" w:type="auto"/>
        <w:jc w:val="center"/>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500"/>
        <w:gridCol w:w="4700"/>
        <w:gridCol w:w="2450"/>
      </w:tblGrid>
      <w:tr w14:paraId="04AA3A0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0" w:type="dxa"/>
            <w:tcBorders>
              <w:bottom w:val="single" w:color="auto" w:sz="4" w:space="0"/>
            </w:tcBorders>
          </w:tcPr>
          <w:p w14:paraId="74F83B81">
            <w:r>
              <w:rPr>
                <w:rFonts w:ascii="Times New Roman" w:hAnsi="Times New Roman"/>
                <w:b/>
                <w:i w:val="0"/>
                <w:sz w:val="18"/>
              </w:rPr>
              <w:t>Analysis</w:t>
            </w:r>
          </w:p>
        </w:tc>
        <w:tc>
          <w:tcPr>
            <w:tcW w:w="4700" w:type="dxa"/>
            <w:tcBorders>
              <w:bottom w:val="single" w:color="auto" w:sz="4" w:space="0"/>
            </w:tcBorders>
          </w:tcPr>
          <w:p w14:paraId="13954CDA">
            <w:r>
              <w:rPr>
                <w:rFonts w:ascii="Times New Roman" w:hAnsi="Times New Roman"/>
                <w:b/>
                <w:i w:val="0"/>
                <w:sz w:val="18"/>
              </w:rPr>
              <w:t>Result</w:t>
            </w:r>
          </w:p>
        </w:tc>
        <w:tc>
          <w:tcPr>
            <w:tcW w:w="2450" w:type="dxa"/>
            <w:tcBorders>
              <w:bottom w:val="single" w:color="auto" w:sz="4" w:space="0"/>
            </w:tcBorders>
          </w:tcPr>
          <w:p w14:paraId="0086D494">
            <w:r>
              <w:rPr>
                <w:rFonts w:ascii="Times New Roman" w:hAnsi="Times New Roman"/>
                <w:b/>
                <w:i w:val="0"/>
                <w:sz w:val="18"/>
              </w:rPr>
              <w:t>Note</w:t>
            </w:r>
          </w:p>
        </w:tc>
      </w:tr>
      <w:tr w14:paraId="41182DD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0" w:type="dxa"/>
            <w:tcBorders>
              <w:top w:val="single" w:color="auto" w:sz="4" w:space="0"/>
            </w:tcBorders>
          </w:tcPr>
          <w:p w14:paraId="122456EA">
            <w:r>
              <w:rPr>
                <w:rFonts w:ascii="Times New Roman" w:hAnsi="Times New Roman"/>
                <w:b w:val="0"/>
                <w:i w:val="0"/>
                <w:sz w:val="18"/>
              </w:rPr>
              <w:t>Reported test split (seed 2026, n = 262)</w:t>
            </w:r>
          </w:p>
        </w:tc>
        <w:tc>
          <w:tcPr>
            <w:tcW w:w="4700" w:type="dxa"/>
            <w:tcBorders>
              <w:top w:val="single" w:color="auto" w:sz="4" w:space="0"/>
            </w:tcBorders>
          </w:tcPr>
          <w:p w14:paraId="48CF21E6">
            <w:r>
              <w:rPr>
                <w:rFonts w:ascii="Times New Roman" w:hAnsi="Times New Roman"/>
                <w:b w:val="0"/>
                <w:i w:val="0"/>
                <w:sz w:val="18"/>
              </w:rPr>
              <w:t>AUC 0.766 (0.708–0.825); Brier 0.174 (0.154–0.197); calibration slope 1.36 (0.96–1.94); intercept -0.03 (-0.33 to 0.24); O:E 1.02 (0.87–1.23)</w:t>
            </w:r>
          </w:p>
        </w:tc>
        <w:tc>
          <w:tcPr>
            <w:tcW w:w="2450" w:type="dxa"/>
            <w:tcBorders>
              <w:top w:val="single" w:color="auto" w:sz="4" w:space="0"/>
            </w:tcBorders>
          </w:tcPr>
          <w:p w14:paraId="3D0E0DD9">
            <w:r>
              <w:rPr>
                <w:rFonts w:ascii="Times New Roman" w:hAnsi="Times New Roman"/>
                <w:b w:val="0"/>
                <w:i w:val="0"/>
                <w:sz w:val="18"/>
              </w:rPr>
              <w:t>Bootstrap 95% CI (2,000 resamples); AUC interval as reported in the main text</w:t>
            </w:r>
          </w:p>
        </w:tc>
      </w:tr>
      <w:tr w14:paraId="2AB4BC7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0" w:type="dxa"/>
          </w:tcPr>
          <w:p w14:paraId="491018CA">
            <w:r>
              <w:rPr>
                <w:rFonts w:ascii="Times New Roman" w:hAnsi="Times New Roman"/>
                <w:b w:val="0"/>
                <w:i w:val="0"/>
                <w:sz w:val="18"/>
              </w:rPr>
              <w:t>500 repeated stratified 88:12 splits (n_test = 262)</w:t>
            </w:r>
          </w:p>
        </w:tc>
        <w:tc>
          <w:tcPr>
            <w:tcW w:w="4700" w:type="dxa"/>
          </w:tcPr>
          <w:p w14:paraId="31A1C6DE">
            <w:r>
              <w:rPr>
                <w:rFonts w:ascii="Times New Roman" w:hAnsi="Times New Roman"/>
                <w:b w:val="0"/>
                <w:i w:val="0"/>
                <w:sz w:val="18"/>
              </w:rPr>
              <w:t>Test AUC mean 0.717 (SD 0.032; median 0.718; 2.5th–97.5th percentile 0.652–0.778); mean slope 0.99 (SD 0.21); mean Brier 0.182</w:t>
            </w:r>
          </w:p>
        </w:tc>
        <w:tc>
          <w:tcPr>
            <w:tcW w:w="2450" w:type="dxa"/>
          </w:tcPr>
          <w:p w14:paraId="3093E80C">
            <w:r>
              <w:rPr>
                <w:rFonts w:ascii="Times New Roman" w:hAnsi="Times New Roman"/>
                <w:b w:val="0"/>
                <w:i w:val="0"/>
                <w:sz w:val="18"/>
              </w:rPr>
              <w:t>Reported split ranks at the 94th percentile of AUC</w:t>
            </w:r>
          </w:p>
        </w:tc>
      </w:tr>
      <w:tr w14:paraId="2F77254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0" w:type="dxa"/>
          </w:tcPr>
          <w:p w14:paraId="1F94D61F">
            <w:r>
              <w:rPr>
                <w:rFonts w:ascii="Times New Roman" w:hAnsi="Times New Roman"/>
                <w:b w:val="0"/>
                <w:i w:val="0"/>
                <w:sz w:val="18"/>
              </w:rPr>
              <w:t>Harrell bootstrap optimism, training set (1,000 resamples)</w:t>
            </w:r>
          </w:p>
        </w:tc>
        <w:tc>
          <w:tcPr>
            <w:tcW w:w="4700" w:type="dxa"/>
          </w:tcPr>
          <w:p w14:paraId="313C55F4">
            <w:r>
              <w:rPr>
                <w:rFonts w:ascii="Times New Roman" w:hAnsi="Times New Roman"/>
                <w:b w:val="0"/>
                <w:i w:val="0"/>
                <w:sz w:val="18"/>
              </w:rPr>
              <w:t>Apparent AUC 0.715; optimism 0.004; corrected AUC 0.711; corrected slope 0.98</w:t>
            </w:r>
          </w:p>
        </w:tc>
        <w:tc>
          <w:tcPr>
            <w:tcW w:w="2450" w:type="dxa"/>
          </w:tcPr>
          <w:p w14:paraId="29F1BC94">
            <w:r>
              <w:rPr>
                <w:rFonts w:ascii="Times New Roman" w:hAnsi="Times New Roman"/>
                <w:b w:val="0"/>
                <w:i w:val="0"/>
                <w:sz w:val="18"/>
              </w:rPr>
              <w:t>Four predictors fixed (selection step not repeated)</w:t>
            </w:r>
          </w:p>
        </w:tc>
      </w:tr>
      <w:tr w14:paraId="6111B07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0" w:type="dxa"/>
          </w:tcPr>
          <w:p w14:paraId="6E204A71">
            <w:r>
              <w:rPr>
                <w:rFonts w:ascii="Times New Roman" w:hAnsi="Times New Roman"/>
                <w:b w:val="0"/>
                <w:i w:val="0"/>
                <w:sz w:val="18"/>
              </w:rPr>
              <w:t>Harrell bootstrap optimism, full analytic sample</w:t>
            </w:r>
          </w:p>
        </w:tc>
        <w:tc>
          <w:tcPr>
            <w:tcW w:w="4700" w:type="dxa"/>
          </w:tcPr>
          <w:p w14:paraId="74059269">
            <w:r>
              <w:rPr>
                <w:rFonts w:ascii="Times New Roman" w:hAnsi="Times New Roman"/>
                <w:b w:val="0"/>
                <w:i w:val="0"/>
                <w:sz w:val="18"/>
              </w:rPr>
              <w:t>Apparent AUC 0.721; optimism 0.004; corrected AUC 0.717; corrected slope 0.98</w:t>
            </w:r>
          </w:p>
        </w:tc>
        <w:tc>
          <w:tcPr>
            <w:tcW w:w="2450" w:type="dxa"/>
          </w:tcPr>
          <w:p w14:paraId="19E7D77B">
            <w:r>
              <w:rPr>
                <w:rFonts w:ascii="Times New Roman" w:hAnsi="Times New Roman"/>
                <w:b w:val="0"/>
                <w:i w:val="0"/>
                <w:sz w:val="18"/>
              </w:rPr>
              <w:t>Four predictors fixed</w:t>
            </w:r>
          </w:p>
        </w:tc>
      </w:tr>
      <w:tr w14:paraId="30C724A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0" w:type="dxa"/>
          </w:tcPr>
          <w:p w14:paraId="6D837D08">
            <w:r>
              <w:rPr>
                <w:rFonts w:ascii="Times New Roman" w:hAnsi="Times New Roman"/>
                <w:b w:val="0"/>
                <w:i w:val="0"/>
                <w:sz w:val="18"/>
              </w:rPr>
              <w:t>Nested 5-fold × 3 CV in training set including Boruta + LASSO (15 outer folds)</w:t>
            </w:r>
          </w:p>
        </w:tc>
        <w:tc>
          <w:tcPr>
            <w:tcW w:w="4700" w:type="dxa"/>
          </w:tcPr>
          <w:p w14:paraId="5A389B7E">
            <w:r>
              <w:rPr>
                <w:rFonts w:ascii="Times New Roman" w:hAnsi="Times New Roman"/>
                <w:b w:val="0"/>
                <w:i w:val="0"/>
                <w:sz w:val="18"/>
              </w:rPr>
              <w:t>AUC mean 0.708 (SD 0.023) with selection inside folds; 0.710 (SD 0.023) with the four predictors fixed</w:t>
            </w:r>
          </w:p>
        </w:tc>
        <w:tc>
          <w:tcPr>
            <w:tcW w:w="2450" w:type="dxa"/>
          </w:tcPr>
          <w:p w14:paraId="37E29058">
            <w:r>
              <w:rPr>
                <w:rFonts w:ascii="Times New Roman" w:hAnsi="Times New Roman"/>
                <w:b w:val="0"/>
                <w:i w:val="0"/>
                <w:sz w:val="18"/>
              </w:rPr>
              <w:t>Night shifts coded as a single ordinal term in this comparison</w:t>
            </w:r>
          </w:p>
        </w:tc>
      </w:tr>
      <w:tr w14:paraId="03CE2A7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0" w:type="dxa"/>
          </w:tcPr>
          <w:p w14:paraId="2BE8E06D">
            <w:pPr>
              <w:rPr>
                <w:rFonts w:ascii="Times New Roman" w:hAnsi="Times New Roman"/>
                <w:b w:val="0"/>
                <w:i w:val="0"/>
                <w:sz w:val="18"/>
              </w:rPr>
            </w:pPr>
            <w:r>
              <w:rPr>
                <w:rFonts w:ascii="Times New Roman" w:hAnsi="Times New Roman"/>
                <w:b w:val="0"/>
                <w:i w:val="0"/>
                <w:sz w:val="18"/>
              </w:rPr>
              <w:t>Selection frequency across the 15 outer folds</w:t>
            </w:r>
          </w:p>
        </w:tc>
        <w:tc>
          <w:tcPr>
            <w:tcW w:w="4700" w:type="dxa"/>
          </w:tcPr>
          <w:p w14:paraId="3D1241C8">
            <w:pPr>
              <w:rPr>
                <w:rFonts w:ascii="Times New Roman" w:hAnsi="Times New Roman"/>
                <w:b w:val="0"/>
                <w:i w:val="0"/>
                <w:sz w:val="18"/>
              </w:rPr>
            </w:pPr>
            <w:r>
              <w:rPr>
                <w:rFonts w:ascii="Times New Roman" w:hAnsi="Times New Roman"/>
                <w:b w:val="0"/>
                <w:i w:val="0"/>
                <w:sz w:val="18"/>
              </w:rPr>
              <w:t>Night shifts, CAAS, CHSS-challenge, CHSS-hindrance: 15/15 each; years of experience 3/15; overtime 2/15; age 1/15</w:t>
            </w:r>
          </w:p>
        </w:tc>
        <w:tc>
          <w:tcPr>
            <w:tcW w:w="2450" w:type="dxa"/>
          </w:tcPr>
          <w:p w14:paraId="4EDCADD1">
            <w:pPr>
              <w:rPr>
                <w:rFonts w:ascii="Times New Roman" w:hAnsi="Times New Roman"/>
                <w:b w:val="0"/>
                <w:i w:val="0"/>
                <w:sz w:val="18"/>
              </w:rPr>
            </w:pPr>
            <w:r>
              <w:rPr>
                <w:rFonts w:ascii="Times New Roman" w:hAnsi="Times New Roman"/>
                <w:b w:val="0"/>
                <w:i w:val="0"/>
                <w:sz w:val="18"/>
              </w:rPr>
              <w:t>No other candidate was selected</w:t>
            </w:r>
          </w:p>
        </w:tc>
      </w:tr>
      <w:tr w14:paraId="38387AA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0" w:type="dxa"/>
          </w:tcPr>
          <w:p w14:paraId="438F4331">
            <w:pPr>
              <w:rPr>
                <w:rFonts w:ascii="Times New Roman" w:hAnsi="Times New Roman"/>
                <w:b w:val="0"/>
                <w:i w:val="0"/>
                <w:sz w:val="18"/>
              </w:rPr>
            </w:pPr>
            <w:r>
              <w:rPr>
                <w:rFonts w:ascii="Times New Roman" w:hAnsi="Times New Roman"/>
                <w:b w:val="0"/>
                <w:i w:val="0"/>
                <w:sz w:val="18"/>
              </w:rPr>
              <w:t>Boruta + LASSO on the full training set (fixed seed 2026; Figure 1)</w:t>
            </w:r>
          </w:p>
        </w:tc>
        <w:tc>
          <w:tcPr>
            <w:tcW w:w="4700" w:type="dxa"/>
          </w:tcPr>
          <w:p w14:paraId="2D660C5B">
            <w:pPr>
              <w:rPr>
                <w:rFonts w:ascii="Times New Roman" w:hAnsi="Times New Roman"/>
                <w:b w:val="0"/>
                <w:i w:val="0"/>
                <w:sz w:val="18"/>
              </w:rPr>
            </w:pPr>
            <w:r>
              <w:rPr>
                <w:rFonts w:ascii="Times New Roman" w:hAnsi="Times New Roman"/>
                <w:b w:val="0"/>
                <w:i w:val="0"/>
                <w:sz w:val="18"/>
              </w:rPr>
              <w:t>Boruta confirmed age, years of experience, CAAS, CHSS-challenge, CHSS-hindrance and night shifts (none tentative); LASSO (1-SE) retained night shifts, CAAS, CHSS-challenge and CHSS-hindrance</w:t>
            </w:r>
          </w:p>
        </w:tc>
        <w:tc>
          <w:tcPr>
            <w:tcW w:w="2450" w:type="dxa"/>
          </w:tcPr>
          <w:p w14:paraId="4F7C7177">
            <w:pPr>
              <w:rPr>
                <w:rFonts w:ascii="Times New Roman" w:hAnsi="Times New Roman"/>
                <w:b w:val="0"/>
                <w:i w:val="0"/>
                <w:sz w:val="18"/>
              </w:rPr>
            </w:pPr>
            <w:r>
              <w:rPr>
                <w:rFonts w:ascii="Times New Roman" w:hAnsi="Times New Roman"/>
                <w:b w:val="0"/>
                <w:i w:val="0"/>
                <w:sz w:val="18"/>
              </w:rPr>
              <w:t>35 candidate parameters</w:t>
            </w:r>
          </w:p>
        </w:tc>
      </w:tr>
      <w:tr w14:paraId="61E6E18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0" w:type="dxa"/>
          </w:tcPr>
          <w:p w14:paraId="46FA51A2">
            <w:pPr>
              <w:rPr>
                <w:rFonts w:ascii="Times New Roman" w:hAnsi="Times New Roman"/>
                <w:b w:val="0"/>
                <w:i w:val="0"/>
                <w:sz w:val="18"/>
              </w:rPr>
            </w:pPr>
            <w:r>
              <w:rPr>
                <w:rFonts w:ascii="Times New Roman" w:hAnsi="Times New Roman"/>
                <w:b w:val="0"/>
                <w:i w:val="0"/>
                <w:sz w:val="18"/>
              </w:rPr>
              <w:t>Stability of Boruta classification across 30 further random seeds (full training set)</w:t>
            </w:r>
          </w:p>
        </w:tc>
        <w:tc>
          <w:tcPr>
            <w:tcW w:w="4700" w:type="dxa"/>
          </w:tcPr>
          <w:p w14:paraId="010523D6">
            <w:pPr>
              <w:rPr>
                <w:rFonts w:ascii="Times New Roman" w:hAnsi="Times New Roman"/>
                <w:b w:val="0"/>
                <w:i w:val="0"/>
                <w:sz w:val="18"/>
              </w:rPr>
            </w:pPr>
            <w:r>
              <w:rPr>
                <w:rFonts w:ascii="Times New Roman" w:hAnsi="Times New Roman"/>
                <w:b w:val="0"/>
                <w:i w:val="0"/>
                <w:sz w:val="18"/>
              </w:rPr>
              <w:t>Confirmed in 30/30 runs: years of experience, CAAS, CHSS-challenge, CHSS-hindrance, night shifts; age confirmed 17/30 and tentative 13/30; overtime confirmed 8/30</w:t>
            </w:r>
          </w:p>
        </w:tc>
        <w:tc>
          <w:tcPr>
            <w:tcW w:w="2450" w:type="dxa"/>
          </w:tcPr>
          <w:p w14:paraId="32EC21D6">
            <w:pPr>
              <w:rPr>
                <w:rFonts w:ascii="Times New Roman" w:hAnsi="Times New Roman"/>
                <w:b w:val="0"/>
                <w:i w:val="0"/>
                <w:sz w:val="18"/>
              </w:rPr>
            </w:pPr>
            <w:r>
              <w:rPr>
                <w:rFonts w:ascii="Times New Roman" w:hAnsi="Times New Roman"/>
                <w:b w:val="0"/>
                <w:i w:val="0"/>
                <w:sz w:val="18"/>
              </w:rPr>
              <w:t>No other candidate was confirmed or tentative in any run</w:t>
            </w:r>
          </w:p>
        </w:tc>
      </w:tr>
      <w:tr w14:paraId="380B6C17">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0" w:type="dxa"/>
          </w:tcPr>
          <w:p w14:paraId="24140513">
            <w:r>
              <w:rPr>
                <w:rFonts w:ascii="Times New Roman" w:hAnsi="Times New Roman"/>
                <w:b w:val="0"/>
                <w:i w:val="0"/>
                <w:sz w:val="18"/>
              </w:rPr>
              <w:t>Random forest, all candidates (test set)</w:t>
            </w:r>
          </w:p>
        </w:tc>
        <w:tc>
          <w:tcPr>
            <w:tcW w:w="4700" w:type="dxa"/>
          </w:tcPr>
          <w:p w14:paraId="320C7AF0">
            <w:r>
              <w:rPr>
                <w:rFonts w:ascii="Times New Roman" w:hAnsi="Times New Roman"/>
                <w:b w:val="0"/>
                <w:i w:val="0"/>
                <w:sz w:val="18"/>
              </w:rPr>
              <w:t>AUC 0.773; difference (logistic − RF) -0.007 (-0.038 to 0.020)</w:t>
            </w:r>
          </w:p>
        </w:tc>
        <w:tc>
          <w:tcPr>
            <w:tcW w:w="2450" w:type="dxa"/>
          </w:tcPr>
          <w:p w14:paraId="16814697">
            <w:r>
              <w:rPr>
                <w:rFonts w:ascii="Times New Roman" w:hAnsi="Times New Roman"/>
                <w:b w:val="0"/>
                <w:i w:val="0"/>
                <w:sz w:val="18"/>
              </w:rPr>
              <w:t>Minimum leaf size 50 chosen by 5-fold CV (CV AUC 0.714)</w:t>
            </w:r>
          </w:p>
        </w:tc>
      </w:tr>
      <w:tr w14:paraId="5B53D4D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0" w:type="dxa"/>
          </w:tcPr>
          <w:p w14:paraId="674E341D">
            <w:r>
              <w:rPr>
                <w:rFonts w:ascii="Times New Roman" w:hAnsi="Times New Roman"/>
                <w:b w:val="0"/>
                <w:i w:val="0"/>
                <w:sz w:val="18"/>
              </w:rPr>
              <w:t>Gradient boosting, all candidates (test set)</w:t>
            </w:r>
          </w:p>
        </w:tc>
        <w:tc>
          <w:tcPr>
            <w:tcW w:w="4700" w:type="dxa"/>
          </w:tcPr>
          <w:p w14:paraId="42783C0B">
            <w:r>
              <w:rPr>
                <w:rFonts w:ascii="Times New Roman" w:hAnsi="Times New Roman"/>
                <w:b w:val="0"/>
                <w:i w:val="0"/>
                <w:sz w:val="18"/>
              </w:rPr>
              <w:t>AUC 0.778; difference -0.012 (-0.042 to 0.020)</w:t>
            </w:r>
          </w:p>
        </w:tc>
        <w:tc>
          <w:tcPr>
            <w:tcW w:w="2450" w:type="dxa"/>
          </w:tcPr>
          <w:p w14:paraId="52F1AD0C">
            <w:r>
              <w:rPr>
                <w:rFonts w:ascii="Times New Roman" w:hAnsi="Times New Roman"/>
                <w:b w:val="0"/>
                <w:i w:val="0"/>
                <w:sz w:val="18"/>
              </w:rPr>
              <w:t>Depth 3, 150 iterations, learning rate 0.03</w:t>
            </w:r>
          </w:p>
        </w:tc>
      </w:tr>
      <w:tr w14:paraId="1971947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0" w:type="dxa"/>
          </w:tcPr>
          <w:p w14:paraId="2B7A31D6">
            <w:r>
              <w:rPr>
                <w:rFonts w:ascii="Times New Roman" w:hAnsi="Times New Roman"/>
                <w:b w:val="0"/>
                <w:i w:val="0"/>
                <w:sz w:val="18"/>
              </w:rPr>
              <w:t>L1-penalized logistic regression, all candidates (test set)</w:t>
            </w:r>
          </w:p>
        </w:tc>
        <w:tc>
          <w:tcPr>
            <w:tcW w:w="4700" w:type="dxa"/>
          </w:tcPr>
          <w:p w14:paraId="1386C560">
            <w:r>
              <w:rPr>
                <w:rFonts w:ascii="Times New Roman" w:hAnsi="Times New Roman"/>
                <w:b w:val="0"/>
                <w:i w:val="0"/>
                <w:sz w:val="18"/>
              </w:rPr>
              <w:t>AUC 0.766; difference -0.000 (-0.020 to 0.018)</w:t>
            </w:r>
          </w:p>
        </w:tc>
        <w:tc>
          <w:tcPr>
            <w:tcW w:w="2450" w:type="dxa"/>
          </w:tcPr>
          <w:p w14:paraId="32DB6621">
            <w:r>
              <w:rPr>
                <w:rFonts w:ascii="Times New Roman" w:hAnsi="Times New Roman"/>
                <w:b w:val="0"/>
                <w:i w:val="0"/>
                <w:sz w:val="18"/>
              </w:rPr>
              <w:t>C = 0.05 on standardized predictors</w:t>
            </w:r>
          </w:p>
        </w:tc>
      </w:tr>
      <w:tr w14:paraId="2E7EB67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0" w:type="dxa"/>
          </w:tcPr>
          <w:p w14:paraId="6B9B6463">
            <w:r>
              <w:rPr>
                <w:rFonts w:ascii="Times New Roman" w:hAnsi="Times New Roman"/>
                <w:b w:val="0"/>
                <w:i w:val="0"/>
                <w:sz w:val="18"/>
              </w:rPr>
              <w:t>Night shifts only (test set)</w:t>
            </w:r>
          </w:p>
        </w:tc>
        <w:tc>
          <w:tcPr>
            <w:tcW w:w="4700" w:type="dxa"/>
          </w:tcPr>
          <w:p w14:paraId="7FB0D616">
            <w:r>
              <w:rPr>
                <w:rFonts w:ascii="Times New Roman" w:hAnsi="Times New Roman"/>
                <w:b w:val="0"/>
                <w:i w:val="0"/>
                <w:sz w:val="18"/>
              </w:rPr>
              <w:t>AUC 0.593; difference 0.173 (0.095 to 0.249)</w:t>
            </w:r>
          </w:p>
        </w:tc>
        <w:tc>
          <w:tcPr>
            <w:tcW w:w="2450" w:type="dxa"/>
          </w:tcPr>
          <w:p w14:paraId="02C2B757">
            <w:r>
              <w:rPr>
                <w:rFonts w:ascii="Times New Roman" w:hAnsi="Times New Roman"/>
                <w:b w:val="0"/>
                <w:i w:val="0"/>
                <w:sz w:val="18"/>
              </w:rPr>
              <w:t>Ordinal coding</w:t>
            </w:r>
          </w:p>
        </w:tc>
      </w:tr>
      <w:tr w14:paraId="2DDBF5A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0" w:type="dxa"/>
          </w:tcPr>
          <w:p w14:paraId="552D6DF2">
            <w:r>
              <w:rPr>
                <w:rFonts w:ascii="Times New Roman" w:hAnsi="Times New Roman"/>
                <w:b w:val="0"/>
                <w:i w:val="0"/>
                <w:sz w:val="18"/>
              </w:rPr>
              <w:t>CHSS-challenge and CHSS-hindrance only (test set)</w:t>
            </w:r>
          </w:p>
        </w:tc>
        <w:tc>
          <w:tcPr>
            <w:tcW w:w="4700" w:type="dxa"/>
          </w:tcPr>
          <w:p w14:paraId="3EF41CB7">
            <w:r>
              <w:rPr>
                <w:rFonts w:ascii="Times New Roman" w:hAnsi="Times New Roman"/>
                <w:b w:val="0"/>
                <w:i w:val="0"/>
                <w:sz w:val="18"/>
              </w:rPr>
              <w:t>AUC 0.753; difference 0.013 (-0.031 to 0.060)</w:t>
            </w:r>
          </w:p>
        </w:tc>
        <w:tc>
          <w:tcPr>
            <w:tcW w:w="2450" w:type="dxa"/>
          </w:tcPr>
          <w:p w14:paraId="5ECB7463">
            <w:r>
              <w:rPr>
                <w:rFonts w:ascii="Times New Roman" w:hAnsi="Times New Roman"/>
                <w:b w:val="0"/>
                <w:i w:val="0"/>
                <w:sz w:val="18"/>
              </w:rPr>
              <w:t>CHSS-challenge and CHSS-hindrance correlation r = 0.78</w:t>
            </w:r>
          </w:p>
        </w:tc>
      </w:tr>
      <w:tr w14:paraId="6BFAF94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0" w:type="dxa"/>
          </w:tcPr>
          <w:p w14:paraId="21EF7988">
            <w:r>
              <w:rPr>
                <w:rFonts w:ascii="Times New Roman" w:hAnsi="Times New Roman"/>
                <w:b w:val="0"/>
                <w:i w:val="0"/>
                <w:sz w:val="18"/>
              </w:rPr>
              <w:t>Sample size (Riley criterion, shrinkage 0.9)</w:t>
            </w:r>
          </w:p>
        </w:tc>
        <w:tc>
          <w:tcPr>
            <w:tcW w:w="4700" w:type="dxa"/>
          </w:tcPr>
          <w:p w14:paraId="3EA8D035">
            <w:r>
              <w:rPr>
                <w:rFonts w:ascii="Times New Roman" w:hAnsi="Times New Roman"/>
                <w:b w:val="0"/>
                <w:i w:val="0"/>
                <w:sz w:val="18"/>
              </w:rPr>
              <w:t>Cox–Snell R² 0.121; required n = 277 for 4 parameters (143 events per parameter) and 2,423 for 35 candidate parameters (16.3 events per parameter)</w:t>
            </w:r>
          </w:p>
        </w:tc>
        <w:tc>
          <w:tcPr>
            <w:tcW w:w="2450" w:type="dxa"/>
          </w:tcPr>
          <w:p w14:paraId="1E7C4A00">
            <w:r>
              <w:rPr>
                <w:rFonts w:ascii="Times New Roman" w:hAnsi="Times New Roman"/>
                <w:b w:val="0"/>
                <w:i w:val="0"/>
                <w:sz w:val="18"/>
              </w:rPr>
              <w:t>Training n = 1,917 with 571 events</w:t>
            </w:r>
          </w:p>
        </w:tc>
      </w:tr>
    </w:tbl>
    <w:p w14:paraId="72405D14">
      <w:pPr>
        <w:spacing w:after="160"/>
      </w:pPr>
      <w:r>
        <w:rPr>
          <w:b w:val="0"/>
          <w:i/>
          <w:sz w:val="18"/>
        </w:rPr>
        <w:t>Notes: AUC = area under the ROC curve; O:E = observed-to-expected ratio; CV = cross-validation. Differences are four-predictor logistic model minus comparator, with bootstrap percentile 95% intervals (1,000 resamples) on the same test set. Code: figures/analysis/an1.py and an2.py.</w:t>
      </w:r>
    </w:p>
    <w:p w14:paraId="06C54993">
      <w:pPr>
        <w:spacing w:before="200"/>
      </w:pPr>
      <w:r>
        <w:rPr>
          <w:b/>
          <w:sz w:val="26"/>
        </w:rPr>
        <w:t>Supplementary Table S3</w:t>
      </w:r>
    </w:p>
    <w:p w14:paraId="1D0DF41C">
      <w:pPr>
        <w:spacing w:after="160"/>
      </w:pPr>
      <w:r>
        <w:rPr>
          <w:b w:val="0"/>
          <w:i/>
          <w:sz w:val="21"/>
        </w:rPr>
        <w:t>Classification performance of the four-predictor model in the test set (n = 262; 78 events) at selected risk thresholds, and decision-curve net benefit.</w:t>
      </w:r>
    </w:p>
    <w:tbl>
      <w:tblPr>
        <w:tblStyle w:val="33"/>
        <w:tblW w:w="0" w:type="auto"/>
        <w:jc w:val="center"/>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900"/>
        <w:gridCol w:w="1100"/>
        <w:gridCol w:w="1700"/>
        <w:gridCol w:w="1700"/>
        <w:gridCol w:w="1700"/>
        <w:gridCol w:w="1600"/>
      </w:tblGrid>
      <w:tr w14:paraId="65D9058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00" w:type="dxa"/>
            <w:tcBorders>
              <w:bottom w:val="single" w:color="auto" w:sz="4" w:space="0"/>
            </w:tcBorders>
          </w:tcPr>
          <w:p w14:paraId="34A5CD32">
            <w:r>
              <w:rPr>
                <w:rFonts w:ascii="Times New Roman" w:hAnsi="Times New Roman"/>
                <w:b/>
                <w:i w:val="0"/>
                <w:sz w:val="18"/>
              </w:rPr>
              <w:t>Risk threshold</w:t>
            </w:r>
          </w:p>
        </w:tc>
        <w:tc>
          <w:tcPr>
            <w:tcW w:w="1100" w:type="dxa"/>
            <w:tcBorders>
              <w:bottom w:val="single" w:color="auto" w:sz="4" w:space="0"/>
            </w:tcBorders>
          </w:tcPr>
          <w:p w14:paraId="7A724472">
            <w:r>
              <w:rPr>
                <w:rFonts w:ascii="Times New Roman" w:hAnsi="Times New Roman"/>
                <w:b/>
                <w:i w:val="0"/>
                <w:sz w:val="18"/>
              </w:rPr>
              <w:t>Flagged, %</w:t>
            </w:r>
          </w:p>
        </w:tc>
        <w:tc>
          <w:tcPr>
            <w:tcW w:w="1700" w:type="dxa"/>
            <w:tcBorders>
              <w:bottom w:val="single" w:color="auto" w:sz="4" w:space="0"/>
            </w:tcBorders>
          </w:tcPr>
          <w:p w14:paraId="14B43631">
            <w:r>
              <w:rPr>
                <w:rFonts w:ascii="Times New Roman" w:hAnsi="Times New Roman"/>
                <w:b/>
                <w:i w:val="0"/>
                <w:sz w:val="18"/>
              </w:rPr>
              <w:t>Sensitivity, % (95% CI)</w:t>
            </w:r>
          </w:p>
        </w:tc>
        <w:tc>
          <w:tcPr>
            <w:tcW w:w="1700" w:type="dxa"/>
            <w:tcBorders>
              <w:bottom w:val="single" w:color="auto" w:sz="4" w:space="0"/>
            </w:tcBorders>
          </w:tcPr>
          <w:p w14:paraId="7C76F24C">
            <w:r>
              <w:rPr>
                <w:rFonts w:ascii="Times New Roman" w:hAnsi="Times New Roman"/>
                <w:b/>
                <w:i w:val="0"/>
                <w:sz w:val="18"/>
              </w:rPr>
              <w:t>Specificity, % (95% CI)</w:t>
            </w:r>
          </w:p>
        </w:tc>
        <w:tc>
          <w:tcPr>
            <w:tcW w:w="1700" w:type="dxa"/>
            <w:tcBorders>
              <w:bottom w:val="single" w:color="auto" w:sz="4" w:space="0"/>
            </w:tcBorders>
          </w:tcPr>
          <w:p w14:paraId="4E073DA6">
            <w:r>
              <w:rPr>
                <w:rFonts w:ascii="Times New Roman" w:hAnsi="Times New Roman"/>
                <w:b/>
                <w:i w:val="0"/>
                <w:sz w:val="18"/>
              </w:rPr>
              <w:t>PPV, % (95% CI)</w:t>
            </w:r>
          </w:p>
        </w:tc>
        <w:tc>
          <w:tcPr>
            <w:tcW w:w="1600" w:type="dxa"/>
            <w:tcBorders>
              <w:bottom w:val="single" w:color="auto" w:sz="4" w:space="0"/>
            </w:tcBorders>
          </w:tcPr>
          <w:p w14:paraId="31B609CF">
            <w:r>
              <w:rPr>
                <w:rFonts w:ascii="Times New Roman" w:hAnsi="Times New Roman"/>
                <w:b/>
                <w:i w:val="0"/>
                <w:sz w:val="18"/>
              </w:rPr>
              <w:t>NPV, % (95% CI)</w:t>
            </w:r>
          </w:p>
        </w:tc>
      </w:tr>
      <w:tr w14:paraId="3C080B07">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00" w:type="dxa"/>
            <w:tcBorders>
              <w:top w:val="single" w:color="auto" w:sz="4" w:space="0"/>
            </w:tcBorders>
          </w:tcPr>
          <w:p w14:paraId="4D1D29AD">
            <w:r>
              <w:rPr>
                <w:rFonts w:ascii="Times New Roman" w:hAnsi="Times New Roman"/>
                <w:b w:val="0"/>
                <w:i w:val="0"/>
                <w:sz w:val="18"/>
              </w:rPr>
              <w:t>0.20</w:t>
            </w:r>
          </w:p>
        </w:tc>
        <w:tc>
          <w:tcPr>
            <w:tcW w:w="1100" w:type="dxa"/>
            <w:tcBorders>
              <w:top w:val="single" w:color="auto" w:sz="4" w:space="0"/>
            </w:tcBorders>
          </w:tcPr>
          <w:p w14:paraId="4C466998">
            <w:r>
              <w:rPr>
                <w:rFonts w:ascii="Times New Roman" w:hAnsi="Times New Roman"/>
                <w:b w:val="0"/>
                <w:i w:val="0"/>
                <w:sz w:val="18"/>
              </w:rPr>
              <w:t>73.7</w:t>
            </w:r>
          </w:p>
        </w:tc>
        <w:tc>
          <w:tcPr>
            <w:tcW w:w="1700" w:type="dxa"/>
            <w:tcBorders>
              <w:top w:val="single" w:color="auto" w:sz="4" w:space="0"/>
            </w:tcBorders>
          </w:tcPr>
          <w:p w14:paraId="1B776EE1">
            <w:r>
              <w:rPr>
                <w:rFonts w:ascii="Times New Roman" w:hAnsi="Times New Roman"/>
                <w:b w:val="0"/>
                <w:i w:val="0"/>
                <w:sz w:val="18"/>
              </w:rPr>
              <w:t>93.6 (85.9–97.2)</w:t>
            </w:r>
          </w:p>
        </w:tc>
        <w:tc>
          <w:tcPr>
            <w:tcW w:w="1700" w:type="dxa"/>
            <w:tcBorders>
              <w:top w:val="single" w:color="auto" w:sz="4" w:space="0"/>
            </w:tcBorders>
          </w:tcPr>
          <w:p w14:paraId="2988943F">
            <w:r>
              <w:rPr>
                <w:rFonts w:ascii="Times New Roman" w:hAnsi="Times New Roman"/>
                <w:b w:val="0"/>
                <w:i w:val="0"/>
                <w:sz w:val="18"/>
              </w:rPr>
              <w:t>34.8 (28.3–41.9)</w:t>
            </w:r>
          </w:p>
        </w:tc>
        <w:tc>
          <w:tcPr>
            <w:tcW w:w="1700" w:type="dxa"/>
            <w:tcBorders>
              <w:top w:val="single" w:color="auto" w:sz="4" w:space="0"/>
            </w:tcBorders>
          </w:tcPr>
          <w:p w14:paraId="33FB790A">
            <w:r>
              <w:rPr>
                <w:rFonts w:ascii="Times New Roman" w:hAnsi="Times New Roman"/>
                <w:b w:val="0"/>
                <w:i w:val="0"/>
                <w:sz w:val="18"/>
              </w:rPr>
              <w:t>37.8 (31.3–44.8)</w:t>
            </w:r>
          </w:p>
        </w:tc>
        <w:tc>
          <w:tcPr>
            <w:tcW w:w="1600" w:type="dxa"/>
            <w:tcBorders>
              <w:top w:val="single" w:color="auto" w:sz="4" w:space="0"/>
            </w:tcBorders>
          </w:tcPr>
          <w:p w14:paraId="64FC9FDA">
            <w:r>
              <w:rPr>
                <w:rFonts w:ascii="Times New Roman" w:hAnsi="Times New Roman"/>
                <w:b w:val="0"/>
                <w:i w:val="0"/>
                <w:sz w:val="18"/>
              </w:rPr>
              <w:t>92.8 (84.1–96.9)</w:t>
            </w:r>
          </w:p>
        </w:tc>
      </w:tr>
      <w:tr w14:paraId="0701C6C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00" w:type="dxa"/>
          </w:tcPr>
          <w:p w14:paraId="4EF40495">
            <w:r>
              <w:rPr>
                <w:rFonts w:ascii="Times New Roman" w:hAnsi="Times New Roman"/>
                <w:b w:val="0"/>
                <w:i w:val="0"/>
                <w:sz w:val="18"/>
              </w:rPr>
              <w:t>0.25</w:t>
            </w:r>
          </w:p>
        </w:tc>
        <w:tc>
          <w:tcPr>
            <w:tcW w:w="1100" w:type="dxa"/>
          </w:tcPr>
          <w:p w14:paraId="3992EE54">
            <w:r>
              <w:rPr>
                <w:rFonts w:ascii="Times New Roman" w:hAnsi="Times New Roman"/>
                <w:b w:val="0"/>
                <w:i w:val="0"/>
                <w:sz w:val="18"/>
              </w:rPr>
              <w:t>60.3</w:t>
            </w:r>
          </w:p>
        </w:tc>
        <w:tc>
          <w:tcPr>
            <w:tcW w:w="1700" w:type="dxa"/>
          </w:tcPr>
          <w:p w14:paraId="0CA5B01D">
            <w:r>
              <w:rPr>
                <w:rFonts w:ascii="Times New Roman" w:hAnsi="Times New Roman"/>
                <w:b w:val="0"/>
                <w:i w:val="0"/>
                <w:sz w:val="18"/>
              </w:rPr>
              <w:t>85.9 (76.5–91.9)</w:t>
            </w:r>
          </w:p>
        </w:tc>
        <w:tc>
          <w:tcPr>
            <w:tcW w:w="1700" w:type="dxa"/>
          </w:tcPr>
          <w:p w14:paraId="76DE18FA">
            <w:r>
              <w:rPr>
                <w:rFonts w:ascii="Times New Roman" w:hAnsi="Times New Roman"/>
                <w:b w:val="0"/>
                <w:i w:val="0"/>
                <w:sz w:val="18"/>
              </w:rPr>
              <w:t>50.5 (43.4–57.7)</w:t>
            </w:r>
          </w:p>
        </w:tc>
        <w:tc>
          <w:tcPr>
            <w:tcW w:w="1700" w:type="dxa"/>
          </w:tcPr>
          <w:p w14:paraId="48901B01">
            <w:r>
              <w:rPr>
                <w:rFonts w:ascii="Times New Roman" w:hAnsi="Times New Roman"/>
                <w:b w:val="0"/>
                <w:i w:val="0"/>
                <w:sz w:val="18"/>
              </w:rPr>
              <w:t>42.4 (35.0–50.2)</w:t>
            </w:r>
          </w:p>
        </w:tc>
        <w:tc>
          <w:tcPr>
            <w:tcW w:w="1600" w:type="dxa"/>
          </w:tcPr>
          <w:p w14:paraId="5B9F6C9E">
            <w:r>
              <w:rPr>
                <w:rFonts w:ascii="Times New Roman" w:hAnsi="Times New Roman"/>
                <w:b w:val="0"/>
                <w:i w:val="0"/>
                <w:sz w:val="18"/>
              </w:rPr>
              <w:t>89.4 (82.0–94.0)</w:t>
            </w:r>
          </w:p>
        </w:tc>
      </w:tr>
      <w:tr w14:paraId="2CB9073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00" w:type="dxa"/>
          </w:tcPr>
          <w:p w14:paraId="285203C6">
            <w:r>
              <w:rPr>
                <w:rFonts w:ascii="Times New Roman" w:hAnsi="Times New Roman"/>
                <w:b w:val="0"/>
                <w:i w:val="0"/>
                <w:sz w:val="18"/>
              </w:rPr>
              <w:t>0.30</w:t>
            </w:r>
          </w:p>
        </w:tc>
        <w:tc>
          <w:tcPr>
            <w:tcW w:w="1100" w:type="dxa"/>
          </w:tcPr>
          <w:p w14:paraId="6670A431">
            <w:r>
              <w:rPr>
                <w:rFonts w:ascii="Times New Roman" w:hAnsi="Times New Roman"/>
                <w:b w:val="0"/>
                <w:i w:val="0"/>
                <w:sz w:val="18"/>
              </w:rPr>
              <w:t>47.7</w:t>
            </w:r>
          </w:p>
        </w:tc>
        <w:tc>
          <w:tcPr>
            <w:tcW w:w="1700" w:type="dxa"/>
          </w:tcPr>
          <w:p w14:paraId="7DC94DD5">
            <w:r>
              <w:rPr>
                <w:rFonts w:ascii="Times New Roman" w:hAnsi="Times New Roman"/>
                <w:b w:val="0"/>
                <w:i w:val="0"/>
                <w:sz w:val="18"/>
              </w:rPr>
              <w:t>71.8 (61.0–80.6)</w:t>
            </w:r>
          </w:p>
        </w:tc>
        <w:tc>
          <w:tcPr>
            <w:tcW w:w="1700" w:type="dxa"/>
          </w:tcPr>
          <w:p w14:paraId="002ECF7D">
            <w:r>
              <w:rPr>
                <w:rFonts w:ascii="Times New Roman" w:hAnsi="Times New Roman"/>
                <w:b w:val="0"/>
                <w:i w:val="0"/>
                <w:sz w:val="18"/>
              </w:rPr>
              <w:t>62.5 (55.3–69.2)</w:t>
            </w:r>
          </w:p>
        </w:tc>
        <w:tc>
          <w:tcPr>
            <w:tcW w:w="1700" w:type="dxa"/>
          </w:tcPr>
          <w:p w14:paraId="34FFD971">
            <w:r>
              <w:rPr>
                <w:rFonts w:ascii="Times New Roman" w:hAnsi="Times New Roman"/>
                <w:b w:val="0"/>
                <w:i w:val="0"/>
                <w:sz w:val="18"/>
              </w:rPr>
              <w:t>44.8 (36.4–53.5)</w:t>
            </w:r>
          </w:p>
        </w:tc>
        <w:tc>
          <w:tcPr>
            <w:tcW w:w="1600" w:type="dxa"/>
          </w:tcPr>
          <w:p w14:paraId="030560D0">
            <w:r>
              <w:rPr>
                <w:rFonts w:ascii="Times New Roman" w:hAnsi="Times New Roman"/>
                <w:b w:val="0"/>
                <w:i w:val="0"/>
                <w:sz w:val="18"/>
              </w:rPr>
              <w:t>83.9 (76.9–89.1)</w:t>
            </w:r>
          </w:p>
        </w:tc>
      </w:tr>
      <w:tr w14:paraId="0F95E13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00" w:type="dxa"/>
          </w:tcPr>
          <w:p w14:paraId="04D5103F">
            <w:r>
              <w:rPr>
                <w:rFonts w:ascii="Times New Roman" w:hAnsi="Times New Roman"/>
                <w:b w:val="0"/>
                <w:i w:val="0"/>
                <w:sz w:val="18"/>
              </w:rPr>
              <w:t>0.40</w:t>
            </w:r>
          </w:p>
        </w:tc>
        <w:tc>
          <w:tcPr>
            <w:tcW w:w="1100" w:type="dxa"/>
          </w:tcPr>
          <w:p w14:paraId="62DB7AA6">
            <w:r>
              <w:rPr>
                <w:rFonts w:ascii="Times New Roman" w:hAnsi="Times New Roman"/>
                <w:b w:val="0"/>
                <w:i w:val="0"/>
                <w:sz w:val="18"/>
              </w:rPr>
              <w:t>23.3</w:t>
            </w:r>
          </w:p>
        </w:tc>
        <w:tc>
          <w:tcPr>
            <w:tcW w:w="1700" w:type="dxa"/>
          </w:tcPr>
          <w:p w14:paraId="593AD0B2">
            <w:r>
              <w:rPr>
                <w:rFonts w:ascii="Times New Roman" w:hAnsi="Times New Roman"/>
                <w:b w:val="0"/>
                <w:i w:val="0"/>
                <w:sz w:val="18"/>
              </w:rPr>
              <w:t>44.9 (34.3–55.9)</w:t>
            </w:r>
          </w:p>
        </w:tc>
        <w:tc>
          <w:tcPr>
            <w:tcW w:w="1700" w:type="dxa"/>
          </w:tcPr>
          <w:p w14:paraId="4D3F71F3">
            <w:r>
              <w:rPr>
                <w:rFonts w:ascii="Times New Roman" w:hAnsi="Times New Roman"/>
                <w:b w:val="0"/>
                <w:i w:val="0"/>
                <w:sz w:val="18"/>
              </w:rPr>
              <w:t>85.9 (80.1–90.2)</w:t>
            </w:r>
          </w:p>
        </w:tc>
        <w:tc>
          <w:tcPr>
            <w:tcW w:w="1700" w:type="dxa"/>
          </w:tcPr>
          <w:p w14:paraId="63F94FF9">
            <w:r>
              <w:rPr>
                <w:rFonts w:ascii="Times New Roman" w:hAnsi="Times New Roman"/>
                <w:b w:val="0"/>
                <w:i w:val="0"/>
                <w:sz w:val="18"/>
              </w:rPr>
              <w:t>57.4 (44.9–69.0)</w:t>
            </w:r>
          </w:p>
        </w:tc>
        <w:tc>
          <w:tcPr>
            <w:tcW w:w="1600" w:type="dxa"/>
          </w:tcPr>
          <w:p w14:paraId="045E0392">
            <w:r>
              <w:rPr>
                <w:rFonts w:ascii="Times New Roman" w:hAnsi="Times New Roman"/>
                <w:b w:val="0"/>
                <w:i w:val="0"/>
                <w:sz w:val="18"/>
              </w:rPr>
              <w:t>78.6 (72.4–83.7)</w:t>
            </w:r>
          </w:p>
        </w:tc>
      </w:tr>
      <w:tr w14:paraId="6B995A8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00" w:type="dxa"/>
          </w:tcPr>
          <w:p w14:paraId="3705D2BB">
            <w:r>
              <w:rPr>
                <w:rFonts w:ascii="Times New Roman" w:hAnsi="Times New Roman"/>
                <w:b w:val="0"/>
                <w:i w:val="0"/>
                <w:sz w:val="18"/>
              </w:rPr>
              <w:t>0.29 (Youden, training set)</w:t>
            </w:r>
          </w:p>
        </w:tc>
        <w:tc>
          <w:tcPr>
            <w:tcW w:w="1100" w:type="dxa"/>
          </w:tcPr>
          <w:p w14:paraId="44440508">
            <w:r>
              <w:rPr>
                <w:rFonts w:ascii="Times New Roman" w:hAnsi="Times New Roman"/>
                <w:b w:val="0"/>
                <w:i w:val="0"/>
                <w:sz w:val="18"/>
              </w:rPr>
              <w:t>49.6</w:t>
            </w:r>
          </w:p>
        </w:tc>
        <w:tc>
          <w:tcPr>
            <w:tcW w:w="1700" w:type="dxa"/>
          </w:tcPr>
          <w:p w14:paraId="3C2C529A">
            <w:r>
              <w:rPr>
                <w:rFonts w:ascii="Times New Roman" w:hAnsi="Times New Roman"/>
                <w:b w:val="0"/>
                <w:i w:val="0"/>
                <w:sz w:val="18"/>
              </w:rPr>
              <w:t>74.4 (63.7–82.7)</w:t>
            </w:r>
          </w:p>
        </w:tc>
        <w:tc>
          <w:tcPr>
            <w:tcW w:w="1700" w:type="dxa"/>
          </w:tcPr>
          <w:p w14:paraId="44ADBA28">
            <w:r>
              <w:rPr>
                <w:rFonts w:ascii="Times New Roman" w:hAnsi="Times New Roman"/>
                <w:b w:val="0"/>
                <w:i w:val="0"/>
                <w:sz w:val="18"/>
              </w:rPr>
              <w:t>60.9 (53.7–67.6)</w:t>
            </w:r>
          </w:p>
        </w:tc>
        <w:tc>
          <w:tcPr>
            <w:tcW w:w="1700" w:type="dxa"/>
          </w:tcPr>
          <w:p w14:paraId="424B05C3">
            <w:r>
              <w:rPr>
                <w:rFonts w:ascii="Times New Roman" w:hAnsi="Times New Roman"/>
                <w:b w:val="0"/>
                <w:i w:val="0"/>
                <w:sz w:val="18"/>
              </w:rPr>
              <w:t>44.6 (36.3–53.2)</w:t>
            </w:r>
          </w:p>
        </w:tc>
        <w:tc>
          <w:tcPr>
            <w:tcW w:w="1600" w:type="dxa"/>
          </w:tcPr>
          <w:p w14:paraId="4458CE1D">
            <w:r>
              <w:rPr>
                <w:rFonts w:ascii="Times New Roman" w:hAnsi="Times New Roman"/>
                <w:b w:val="0"/>
                <w:i w:val="0"/>
                <w:sz w:val="18"/>
              </w:rPr>
              <w:t>84.8 (77.8–90.0)</w:t>
            </w:r>
          </w:p>
        </w:tc>
      </w:tr>
    </w:tbl>
    <w:p w14:paraId="561615DE">
      <w:pPr>
        <w:spacing w:after="80"/>
      </w:pPr>
      <w:r>
        <w:rPr>
          <w:b/>
          <w:i w:val="0"/>
          <w:sz w:val="21"/>
        </w:rPr>
        <w:t>Decision-curve net benefit (test set)</w:t>
      </w:r>
    </w:p>
    <w:tbl>
      <w:tblPr>
        <w:tblStyle w:val="33"/>
        <w:tblW w:w="0" w:type="auto"/>
        <w:jc w:val="center"/>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000"/>
        <w:gridCol w:w="3000"/>
        <w:gridCol w:w="3000"/>
      </w:tblGrid>
      <w:tr w14:paraId="56B198E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000" w:type="dxa"/>
            <w:tcBorders>
              <w:bottom w:val="single" w:color="auto" w:sz="4" w:space="0"/>
            </w:tcBorders>
          </w:tcPr>
          <w:p w14:paraId="38B8A729">
            <w:r>
              <w:rPr>
                <w:rFonts w:ascii="Times New Roman" w:hAnsi="Times New Roman"/>
                <w:b/>
                <w:i w:val="0"/>
                <w:sz w:val="18"/>
              </w:rPr>
              <w:t>Threshold probability</w:t>
            </w:r>
          </w:p>
        </w:tc>
        <w:tc>
          <w:tcPr>
            <w:tcW w:w="3000" w:type="dxa"/>
            <w:tcBorders>
              <w:bottom w:val="single" w:color="auto" w:sz="4" w:space="0"/>
            </w:tcBorders>
          </w:tcPr>
          <w:p w14:paraId="6BA5BCAC">
            <w:r>
              <w:rPr>
                <w:rFonts w:ascii="Times New Roman" w:hAnsi="Times New Roman"/>
                <w:b/>
                <w:i w:val="0"/>
                <w:sz w:val="18"/>
              </w:rPr>
              <w:t>Net benefit, model</w:t>
            </w:r>
          </w:p>
        </w:tc>
        <w:tc>
          <w:tcPr>
            <w:tcW w:w="3000" w:type="dxa"/>
            <w:tcBorders>
              <w:bottom w:val="single" w:color="auto" w:sz="4" w:space="0"/>
            </w:tcBorders>
          </w:tcPr>
          <w:p w14:paraId="150A2D3E">
            <w:r>
              <w:rPr>
                <w:rFonts w:ascii="Times New Roman" w:hAnsi="Times New Roman"/>
                <w:b/>
                <w:i w:val="0"/>
                <w:sz w:val="18"/>
              </w:rPr>
              <w:t>Net benefit, treat all</w:t>
            </w:r>
          </w:p>
        </w:tc>
      </w:tr>
      <w:tr w14:paraId="6BC2856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000" w:type="dxa"/>
            <w:tcBorders>
              <w:top w:val="single" w:color="auto" w:sz="4" w:space="0"/>
            </w:tcBorders>
          </w:tcPr>
          <w:p w14:paraId="05C02DA0">
            <w:r>
              <w:rPr>
                <w:rFonts w:ascii="Times New Roman" w:hAnsi="Times New Roman"/>
                <w:b w:val="0"/>
                <w:i w:val="0"/>
                <w:sz w:val="18"/>
              </w:rPr>
              <w:t>0.10</w:t>
            </w:r>
          </w:p>
        </w:tc>
        <w:tc>
          <w:tcPr>
            <w:tcW w:w="3000" w:type="dxa"/>
            <w:tcBorders>
              <w:top w:val="single" w:color="auto" w:sz="4" w:space="0"/>
            </w:tcBorders>
          </w:tcPr>
          <w:p w14:paraId="5D6A4793">
            <w:r>
              <w:rPr>
                <w:rFonts w:ascii="Times New Roman" w:hAnsi="Times New Roman"/>
                <w:b w:val="0"/>
                <w:i w:val="0"/>
                <w:sz w:val="18"/>
              </w:rPr>
              <w:t>0.230</w:t>
            </w:r>
          </w:p>
        </w:tc>
        <w:tc>
          <w:tcPr>
            <w:tcW w:w="3000" w:type="dxa"/>
            <w:tcBorders>
              <w:top w:val="single" w:color="auto" w:sz="4" w:space="0"/>
            </w:tcBorders>
          </w:tcPr>
          <w:p w14:paraId="7ADED2DE">
            <w:r>
              <w:rPr>
                <w:rFonts w:ascii="Times New Roman" w:hAnsi="Times New Roman"/>
                <w:b w:val="0"/>
                <w:i w:val="0"/>
                <w:sz w:val="18"/>
              </w:rPr>
              <w:t>0.220</w:t>
            </w:r>
          </w:p>
        </w:tc>
      </w:tr>
      <w:tr w14:paraId="6472B01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000" w:type="dxa"/>
          </w:tcPr>
          <w:p w14:paraId="7E442CB1">
            <w:r>
              <w:rPr>
                <w:rFonts w:ascii="Times New Roman" w:hAnsi="Times New Roman"/>
                <w:b w:val="0"/>
                <w:i w:val="0"/>
                <w:sz w:val="18"/>
              </w:rPr>
              <w:t>0.20</w:t>
            </w:r>
          </w:p>
        </w:tc>
        <w:tc>
          <w:tcPr>
            <w:tcW w:w="3000" w:type="dxa"/>
          </w:tcPr>
          <w:p w14:paraId="129337FE">
            <w:r>
              <w:rPr>
                <w:rFonts w:ascii="Times New Roman" w:hAnsi="Times New Roman"/>
                <w:b w:val="0"/>
                <w:i w:val="0"/>
                <w:sz w:val="18"/>
              </w:rPr>
              <w:t>0.164</w:t>
            </w:r>
          </w:p>
        </w:tc>
        <w:tc>
          <w:tcPr>
            <w:tcW w:w="3000" w:type="dxa"/>
          </w:tcPr>
          <w:p w14:paraId="40D11ADB">
            <w:r>
              <w:rPr>
                <w:rFonts w:ascii="Times New Roman" w:hAnsi="Times New Roman"/>
                <w:b w:val="0"/>
                <w:i w:val="0"/>
                <w:sz w:val="18"/>
              </w:rPr>
              <w:t>0.122</w:t>
            </w:r>
          </w:p>
        </w:tc>
      </w:tr>
      <w:tr w14:paraId="38FDF03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000" w:type="dxa"/>
          </w:tcPr>
          <w:p w14:paraId="357C50AC">
            <w:r>
              <w:rPr>
                <w:rFonts w:ascii="Times New Roman" w:hAnsi="Times New Roman"/>
                <w:b w:val="0"/>
                <w:i w:val="0"/>
                <w:sz w:val="18"/>
              </w:rPr>
              <w:t>0.30</w:t>
            </w:r>
          </w:p>
        </w:tc>
        <w:tc>
          <w:tcPr>
            <w:tcW w:w="3000" w:type="dxa"/>
          </w:tcPr>
          <w:p w14:paraId="1DC8A69E">
            <w:r>
              <w:rPr>
                <w:rFonts w:ascii="Times New Roman" w:hAnsi="Times New Roman"/>
                <w:b w:val="0"/>
                <w:i w:val="0"/>
                <w:sz w:val="18"/>
              </w:rPr>
              <w:t>0.101</w:t>
            </w:r>
          </w:p>
        </w:tc>
        <w:tc>
          <w:tcPr>
            <w:tcW w:w="3000" w:type="dxa"/>
          </w:tcPr>
          <w:p w14:paraId="069CC962">
            <w:r>
              <w:rPr>
                <w:rFonts w:ascii="Times New Roman" w:hAnsi="Times New Roman"/>
                <w:b w:val="0"/>
                <w:i w:val="0"/>
                <w:sz w:val="18"/>
              </w:rPr>
              <w:t>-0.003</w:t>
            </w:r>
          </w:p>
        </w:tc>
      </w:tr>
      <w:tr w14:paraId="49F07DF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000" w:type="dxa"/>
          </w:tcPr>
          <w:p w14:paraId="396FEAEE">
            <w:r>
              <w:rPr>
                <w:rFonts w:ascii="Times New Roman" w:hAnsi="Times New Roman"/>
                <w:b w:val="0"/>
                <w:i w:val="0"/>
                <w:sz w:val="18"/>
              </w:rPr>
              <w:t>0.40</w:t>
            </w:r>
          </w:p>
        </w:tc>
        <w:tc>
          <w:tcPr>
            <w:tcW w:w="3000" w:type="dxa"/>
          </w:tcPr>
          <w:p w14:paraId="444FB07E">
            <w:r>
              <w:rPr>
                <w:rFonts w:ascii="Times New Roman" w:hAnsi="Times New Roman"/>
                <w:b w:val="0"/>
                <w:i w:val="0"/>
                <w:sz w:val="18"/>
              </w:rPr>
              <w:t>0.067</w:t>
            </w:r>
          </w:p>
        </w:tc>
        <w:tc>
          <w:tcPr>
            <w:tcW w:w="3000" w:type="dxa"/>
          </w:tcPr>
          <w:p w14:paraId="16D6C374">
            <w:r>
              <w:rPr>
                <w:rFonts w:ascii="Times New Roman" w:hAnsi="Times New Roman"/>
                <w:b w:val="0"/>
                <w:i w:val="0"/>
                <w:sz w:val="18"/>
              </w:rPr>
              <w:t>-0.170</w:t>
            </w:r>
          </w:p>
        </w:tc>
      </w:tr>
      <w:tr w14:paraId="619F89E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000" w:type="dxa"/>
          </w:tcPr>
          <w:p w14:paraId="7CAC3699">
            <w:r>
              <w:rPr>
                <w:rFonts w:ascii="Times New Roman" w:hAnsi="Times New Roman"/>
                <w:b w:val="0"/>
                <w:i w:val="0"/>
                <w:sz w:val="18"/>
              </w:rPr>
              <w:t>0.50</w:t>
            </w:r>
          </w:p>
        </w:tc>
        <w:tc>
          <w:tcPr>
            <w:tcW w:w="3000" w:type="dxa"/>
          </w:tcPr>
          <w:p w14:paraId="72412747">
            <w:r>
              <w:rPr>
                <w:rFonts w:ascii="Times New Roman" w:hAnsi="Times New Roman"/>
                <w:b w:val="0"/>
                <w:i w:val="0"/>
                <w:sz w:val="18"/>
              </w:rPr>
              <w:t>0.038</w:t>
            </w:r>
          </w:p>
        </w:tc>
        <w:tc>
          <w:tcPr>
            <w:tcW w:w="3000" w:type="dxa"/>
          </w:tcPr>
          <w:p w14:paraId="67CF8020">
            <w:r>
              <w:rPr>
                <w:rFonts w:ascii="Times New Roman" w:hAnsi="Times New Roman"/>
                <w:b w:val="0"/>
                <w:i w:val="0"/>
                <w:sz w:val="18"/>
              </w:rPr>
              <w:t>-0.405</w:t>
            </w:r>
          </w:p>
        </w:tc>
      </w:tr>
    </w:tbl>
    <w:p w14:paraId="7F9860B2">
      <w:pPr>
        <w:spacing w:after="160"/>
        <w:rPr>
          <w:b w:val="0"/>
          <w:i/>
          <w:sz w:val="18"/>
        </w:rPr>
      </w:pPr>
      <w:r>
        <w:rPr>
          <w:b w:val="0"/>
          <w:i/>
          <w:sz w:val="18"/>
        </w:rPr>
        <w:t>Notes: Wilson 95% CIs. PPV = positive predictive value; NPV = negative predictive value. Net benefit of treating none is 0 at all thresholds. Prevalence in the test set: 29.8%.</w:t>
      </w:r>
    </w:p>
    <w:p w14:paraId="5D094B85">
      <w:pPr>
        <w:spacing w:before="200"/>
        <w:rPr>
          <w:rFonts w:hint="eastAsia" w:eastAsia="宋体"/>
          <w:lang w:eastAsia="zh-CN"/>
        </w:rPr>
      </w:pPr>
      <w:r>
        <w:rPr>
          <w:rFonts w:hint="eastAsia" w:eastAsia="宋体"/>
          <w:b w:val="0"/>
          <w:i/>
          <w:sz w:val="18"/>
          <w:lang w:val="en-US" w:eastAsia="zh-CN"/>
        </w:rPr>
        <w:t>\</w:t>
      </w:r>
      <w:r>
        <w:rPr>
          <w:b/>
          <w:sz w:val="26"/>
        </w:rPr>
        <w:t>Supplementary Table S</w:t>
      </w:r>
      <w:r>
        <w:rPr>
          <w:rFonts w:hint="eastAsia" w:eastAsia="宋体"/>
          <w:b/>
          <w:sz w:val="26"/>
          <w:lang w:val="en-US" w:eastAsia="zh-CN"/>
        </w:rPr>
        <w:t>4</w:t>
      </w:r>
    </w:p>
    <w:p w14:paraId="6F6550A2">
      <w:pPr>
        <w:spacing w:after="160"/>
      </w:pPr>
      <w:r>
        <w:rPr>
          <w:b w:val="0"/>
          <w:i/>
          <w:sz w:val="21"/>
        </w:rPr>
        <w:t>Data-quality screening for straight-line (long-string) responding on the CAAS and CHSS item batteries, and sensitivity analysis of the final predictive model excluding flagged participants.</w:t>
      </w:r>
    </w:p>
    <w:p w14:paraId="62C127C4">
      <w:pPr>
        <w:spacing w:after="80"/>
      </w:pPr>
      <w:r>
        <w:rPr>
          <w:b/>
          <w:i w:val="0"/>
          <w:sz w:val="21"/>
        </w:rPr>
        <w:t>Panel A. Long-string index screening (N = 2,179)</w:t>
      </w:r>
    </w:p>
    <w:tbl>
      <w:tblPr>
        <w:tblStyle w:val="33"/>
        <w:tblW w:w="0" w:type="auto"/>
        <w:jc w:val="center"/>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216"/>
        <w:gridCol w:w="3216"/>
        <w:gridCol w:w="3216"/>
      </w:tblGrid>
      <w:tr w14:paraId="0312A43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16" w:type="dxa"/>
            <w:tcBorders>
              <w:bottom w:val="single" w:color="auto" w:sz="4" w:space="0"/>
            </w:tcBorders>
          </w:tcPr>
          <w:p w14:paraId="1B66083F">
            <w:pPr>
              <w:rPr>
                <w:rFonts w:ascii="Times New Roman" w:hAnsi="Times New Roman"/>
                <w:b/>
                <w:i w:val="0"/>
                <w:sz w:val="18"/>
              </w:rPr>
            </w:pPr>
            <w:bookmarkStart w:id="0" w:name="_GoBack" w:colFirst="0" w:colLast="2"/>
            <w:r>
              <w:rPr>
                <w:rFonts w:ascii="Times New Roman" w:hAnsi="Times New Roman"/>
                <w:b/>
                <w:i w:val="0"/>
                <w:sz w:val="18"/>
              </w:rPr>
              <w:t>Scale screened</w:t>
            </w:r>
          </w:p>
        </w:tc>
        <w:tc>
          <w:tcPr>
            <w:tcW w:w="3216" w:type="dxa"/>
            <w:tcBorders>
              <w:bottom w:val="single" w:color="auto" w:sz="4" w:space="0"/>
            </w:tcBorders>
          </w:tcPr>
          <w:p w14:paraId="2EFC3272">
            <w:pPr>
              <w:rPr>
                <w:rFonts w:ascii="Times New Roman" w:hAnsi="Times New Roman"/>
                <w:b/>
                <w:i w:val="0"/>
                <w:sz w:val="18"/>
              </w:rPr>
            </w:pPr>
            <w:r>
              <w:rPr>
                <w:rFonts w:ascii="Times New Roman" w:hAnsi="Times New Roman"/>
                <w:b/>
                <w:i w:val="0"/>
                <w:sz w:val="18"/>
              </w:rPr>
              <w:t>n flagged (identical response to every item)</w:t>
            </w:r>
          </w:p>
        </w:tc>
        <w:tc>
          <w:tcPr>
            <w:tcW w:w="3216" w:type="dxa"/>
            <w:tcBorders>
              <w:bottom w:val="single" w:color="auto" w:sz="4" w:space="0"/>
            </w:tcBorders>
          </w:tcPr>
          <w:p w14:paraId="261557D0">
            <w:pPr>
              <w:rPr>
                <w:rFonts w:ascii="Times New Roman" w:hAnsi="Times New Roman"/>
                <w:b/>
                <w:i w:val="0"/>
                <w:sz w:val="18"/>
              </w:rPr>
            </w:pPr>
            <w:r>
              <w:rPr>
                <w:rFonts w:ascii="Times New Roman" w:hAnsi="Times New Roman"/>
                <w:b/>
                <w:i w:val="0"/>
                <w:sz w:val="18"/>
              </w:rPr>
              <w:t>% of sample</w:t>
            </w:r>
          </w:p>
        </w:tc>
      </w:tr>
      <w:bookmarkEnd w:id="0"/>
      <w:tr w14:paraId="176FC27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16" w:type="dxa"/>
            <w:tcBorders>
              <w:top w:val="single" w:color="auto" w:sz="4" w:space="0"/>
            </w:tcBorders>
          </w:tcPr>
          <w:p w14:paraId="2666D7E5">
            <w:r>
              <w:rPr>
                <w:rFonts w:ascii="Times New Roman" w:hAnsi="Times New Roman"/>
                <w:b w:val="0"/>
                <w:i w:val="0"/>
                <w:sz w:val="18"/>
              </w:rPr>
              <w:t>CAAS (24 items)</w:t>
            </w:r>
          </w:p>
        </w:tc>
        <w:tc>
          <w:tcPr>
            <w:tcW w:w="3216" w:type="dxa"/>
            <w:tcBorders>
              <w:top w:val="single" w:color="auto" w:sz="4" w:space="0"/>
            </w:tcBorders>
          </w:tcPr>
          <w:p w14:paraId="6D949CAF">
            <w:r>
              <w:rPr>
                <w:rFonts w:ascii="Times New Roman" w:hAnsi="Times New Roman"/>
                <w:b w:val="0"/>
                <w:i w:val="0"/>
                <w:sz w:val="18"/>
              </w:rPr>
              <w:t>668</w:t>
            </w:r>
          </w:p>
        </w:tc>
        <w:tc>
          <w:tcPr>
            <w:tcW w:w="3216" w:type="dxa"/>
            <w:tcBorders>
              <w:top w:val="single" w:color="auto" w:sz="4" w:space="0"/>
            </w:tcBorders>
          </w:tcPr>
          <w:p w14:paraId="12580460">
            <w:r>
              <w:rPr>
                <w:rFonts w:ascii="Times New Roman" w:hAnsi="Times New Roman"/>
                <w:b w:val="0"/>
                <w:i w:val="0"/>
                <w:sz w:val="18"/>
              </w:rPr>
              <w:t>30.7%</w:t>
            </w:r>
          </w:p>
        </w:tc>
      </w:tr>
      <w:tr w14:paraId="09DA2B7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16" w:type="dxa"/>
          </w:tcPr>
          <w:p w14:paraId="76C309DD">
            <w:r>
              <w:rPr>
                <w:rFonts w:ascii="Times New Roman" w:hAnsi="Times New Roman"/>
                <w:b w:val="0"/>
                <w:i w:val="0"/>
                <w:sz w:val="18"/>
              </w:rPr>
              <w:t>CHSS (11 items)</w:t>
            </w:r>
          </w:p>
        </w:tc>
        <w:tc>
          <w:tcPr>
            <w:tcW w:w="3216" w:type="dxa"/>
          </w:tcPr>
          <w:p w14:paraId="2C437697">
            <w:r>
              <w:rPr>
                <w:rFonts w:ascii="Times New Roman" w:hAnsi="Times New Roman"/>
                <w:b w:val="0"/>
                <w:i w:val="0"/>
                <w:sz w:val="18"/>
              </w:rPr>
              <w:t>790</w:t>
            </w:r>
          </w:p>
        </w:tc>
        <w:tc>
          <w:tcPr>
            <w:tcW w:w="3216" w:type="dxa"/>
          </w:tcPr>
          <w:p w14:paraId="027556B4">
            <w:r>
              <w:rPr>
                <w:rFonts w:ascii="Times New Roman" w:hAnsi="Times New Roman"/>
                <w:b w:val="0"/>
                <w:i w:val="0"/>
                <w:sz w:val="18"/>
              </w:rPr>
              <w:t>36.3%</w:t>
            </w:r>
          </w:p>
        </w:tc>
      </w:tr>
      <w:tr w14:paraId="6A4D4757">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16" w:type="dxa"/>
          </w:tcPr>
          <w:p w14:paraId="2C2C771D">
            <w:r>
              <w:rPr>
                <w:rFonts w:ascii="Times New Roman" w:hAnsi="Times New Roman"/>
                <w:b w:val="0"/>
                <w:i w:val="0"/>
                <w:sz w:val="18"/>
              </w:rPr>
              <w:t>Flagged on CAAS only</w:t>
            </w:r>
          </w:p>
        </w:tc>
        <w:tc>
          <w:tcPr>
            <w:tcW w:w="3216" w:type="dxa"/>
          </w:tcPr>
          <w:p w14:paraId="08C45AAD">
            <w:r>
              <w:rPr>
                <w:rFonts w:ascii="Times New Roman" w:hAnsi="Times New Roman"/>
                <w:b w:val="0"/>
                <w:i w:val="0"/>
                <w:sz w:val="18"/>
              </w:rPr>
              <w:t>245</w:t>
            </w:r>
          </w:p>
        </w:tc>
        <w:tc>
          <w:tcPr>
            <w:tcW w:w="3216" w:type="dxa"/>
          </w:tcPr>
          <w:p w14:paraId="7B39E7BF">
            <w:r>
              <w:rPr>
                <w:rFonts w:ascii="Times New Roman" w:hAnsi="Times New Roman"/>
                <w:b w:val="0"/>
                <w:i w:val="0"/>
                <w:sz w:val="18"/>
              </w:rPr>
              <w:t>11.2%</w:t>
            </w:r>
          </w:p>
        </w:tc>
      </w:tr>
      <w:tr w14:paraId="2C7A3A1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16" w:type="dxa"/>
          </w:tcPr>
          <w:p w14:paraId="4173FA1C">
            <w:r>
              <w:rPr>
                <w:rFonts w:ascii="Times New Roman" w:hAnsi="Times New Roman"/>
                <w:b w:val="0"/>
                <w:i w:val="0"/>
                <w:sz w:val="18"/>
              </w:rPr>
              <w:t>Flagged on CHSS only</w:t>
            </w:r>
          </w:p>
        </w:tc>
        <w:tc>
          <w:tcPr>
            <w:tcW w:w="3216" w:type="dxa"/>
          </w:tcPr>
          <w:p w14:paraId="6074DD40">
            <w:r>
              <w:rPr>
                <w:rFonts w:ascii="Times New Roman" w:hAnsi="Times New Roman"/>
                <w:b w:val="0"/>
                <w:i w:val="0"/>
                <w:sz w:val="18"/>
              </w:rPr>
              <w:t>367</w:t>
            </w:r>
          </w:p>
        </w:tc>
        <w:tc>
          <w:tcPr>
            <w:tcW w:w="3216" w:type="dxa"/>
          </w:tcPr>
          <w:p w14:paraId="521EED1E">
            <w:r>
              <w:rPr>
                <w:rFonts w:ascii="Times New Roman" w:hAnsi="Times New Roman"/>
                <w:b w:val="0"/>
                <w:i w:val="0"/>
                <w:sz w:val="18"/>
              </w:rPr>
              <w:t>16.8%</w:t>
            </w:r>
          </w:p>
        </w:tc>
      </w:tr>
      <w:tr w14:paraId="24FDFFB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16" w:type="dxa"/>
          </w:tcPr>
          <w:p w14:paraId="384F542E">
            <w:pPr>
              <w:rPr>
                <w:rFonts w:ascii="Times New Roman" w:hAnsi="Times New Roman"/>
                <w:b w:val="0"/>
                <w:i w:val="0"/>
                <w:sz w:val="18"/>
              </w:rPr>
            </w:pPr>
            <w:r>
              <w:rPr>
                <w:rFonts w:ascii="Times New Roman" w:hAnsi="Times New Roman"/>
                <w:b w:val="0"/>
                <w:i w:val="0"/>
                <w:sz w:val="18"/>
              </w:rPr>
              <w:t>Flagged on both CAAS and CHSS</w:t>
            </w:r>
          </w:p>
        </w:tc>
        <w:tc>
          <w:tcPr>
            <w:tcW w:w="3216" w:type="dxa"/>
          </w:tcPr>
          <w:p w14:paraId="39B1C742">
            <w:pPr>
              <w:rPr>
                <w:rFonts w:ascii="Times New Roman" w:hAnsi="Times New Roman"/>
                <w:b w:val="0"/>
                <w:i w:val="0"/>
                <w:sz w:val="18"/>
              </w:rPr>
            </w:pPr>
            <w:r>
              <w:rPr>
                <w:rFonts w:ascii="Times New Roman" w:hAnsi="Times New Roman"/>
                <w:b w:val="0"/>
                <w:i w:val="0"/>
                <w:sz w:val="18"/>
              </w:rPr>
              <w:t>423</w:t>
            </w:r>
          </w:p>
        </w:tc>
        <w:tc>
          <w:tcPr>
            <w:tcW w:w="3216" w:type="dxa"/>
          </w:tcPr>
          <w:p w14:paraId="16C2B47E">
            <w:pPr>
              <w:rPr>
                <w:rFonts w:ascii="Times New Roman" w:hAnsi="Times New Roman"/>
                <w:b w:val="0"/>
                <w:i w:val="0"/>
                <w:sz w:val="18"/>
              </w:rPr>
            </w:pPr>
            <w:r>
              <w:rPr>
                <w:rFonts w:ascii="Times New Roman" w:hAnsi="Times New Roman"/>
                <w:b w:val="0"/>
                <w:i w:val="0"/>
                <w:sz w:val="18"/>
              </w:rPr>
              <w:t>19.4%</w:t>
            </w:r>
          </w:p>
        </w:tc>
      </w:tr>
      <w:tr w14:paraId="46C39EA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16" w:type="dxa"/>
          </w:tcPr>
          <w:p w14:paraId="36FB8A8E">
            <w:pPr>
              <w:rPr>
                <w:rFonts w:ascii="Times New Roman" w:hAnsi="Times New Roman"/>
                <w:b w:val="0"/>
                <w:i w:val="0"/>
                <w:sz w:val="18"/>
              </w:rPr>
            </w:pPr>
            <w:r>
              <w:rPr>
                <w:rFonts w:ascii="Times New Roman" w:hAnsi="Times New Roman"/>
                <w:b w:val="0"/>
                <w:i w:val="0"/>
                <w:sz w:val="18"/>
              </w:rPr>
              <w:t>Flagged on CAAS or CHSS (either)</w:t>
            </w:r>
          </w:p>
        </w:tc>
        <w:tc>
          <w:tcPr>
            <w:tcW w:w="3216" w:type="dxa"/>
          </w:tcPr>
          <w:p w14:paraId="6FB87507">
            <w:pPr>
              <w:rPr>
                <w:rFonts w:ascii="Times New Roman" w:hAnsi="Times New Roman"/>
                <w:b w:val="0"/>
                <w:i w:val="0"/>
                <w:sz w:val="18"/>
              </w:rPr>
            </w:pPr>
            <w:r>
              <w:rPr>
                <w:rFonts w:ascii="Times New Roman" w:hAnsi="Times New Roman"/>
                <w:b w:val="0"/>
                <w:i w:val="0"/>
                <w:sz w:val="18"/>
              </w:rPr>
              <w:t>1,035</w:t>
            </w:r>
          </w:p>
        </w:tc>
        <w:tc>
          <w:tcPr>
            <w:tcW w:w="3216" w:type="dxa"/>
          </w:tcPr>
          <w:p w14:paraId="616C800E">
            <w:pPr>
              <w:rPr>
                <w:rFonts w:ascii="Times New Roman" w:hAnsi="Times New Roman"/>
                <w:b w:val="0"/>
                <w:i w:val="0"/>
                <w:sz w:val="18"/>
              </w:rPr>
            </w:pPr>
            <w:r>
              <w:rPr>
                <w:rFonts w:ascii="Times New Roman" w:hAnsi="Times New Roman"/>
                <w:b w:val="0"/>
                <w:i w:val="0"/>
                <w:sz w:val="18"/>
              </w:rPr>
              <w:t>47.5%</w:t>
            </w:r>
          </w:p>
        </w:tc>
      </w:tr>
      <w:tr w14:paraId="2F6FEEB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16" w:type="dxa"/>
          </w:tcPr>
          <w:p w14:paraId="28CBE8F5">
            <w:pPr>
              <w:rPr>
                <w:rFonts w:ascii="Times New Roman" w:hAnsi="Times New Roman"/>
                <w:b w:val="0"/>
                <w:i w:val="0"/>
                <w:sz w:val="18"/>
              </w:rPr>
            </w:pPr>
            <w:r>
              <w:rPr>
                <w:rFonts w:ascii="Times New Roman" w:hAnsi="Times New Roman"/>
                <w:b w:val="0"/>
                <w:i w:val="0"/>
                <w:sz w:val="18"/>
              </w:rPr>
              <w:t>Not flagged on CAAS or CHSS (screened subsample) – retained for sensitivity analysis</w:t>
            </w:r>
          </w:p>
        </w:tc>
        <w:tc>
          <w:tcPr>
            <w:tcW w:w="3216" w:type="dxa"/>
          </w:tcPr>
          <w:p w14:paraId="122B70B5">
            <w:pPr>
              <w:rPr>
                <w:rFonts w:ascii="Times New Roman" w:hAnsi="Times New Roman"/>
                <w:b w:val="0"/>
                <w:i w:val="0"/>
                <w:sz w:val="18"/>
              </w:rPr>
            </w:pPr>
            <w:r>
              <w:rPr>
                <w:rFonts w:ascii="Times New Roman" w:hAnsi="Times New Roman"/>
                <w:b w:val="0"/>
                <w:i w:val="0"/>
                <w:sz w:val="18"/>
              </w:rPr>
              <w:t>1,144</w:t>
            </w:r>
          </w:p>
        </w:tc>
        <w:tc>
          <w:tcPr>
            <w:tcW w:w="3216" w:type="dxa"/>
          </w:tcPr>
          <w:p w14:paraId="42B8DD8C">
            <w:pPr>
              <w:rPr>
                <w:rFonts w:ascii="Times New Roman" w:hAnsi="Times New Roman"/>
                <w:b w:val="0"/>
                <w:i w:val="0"/>
                <w:sz w:val="18"/>
              </w:rPr>
            </w:pPr>
            <w:r>
              <w:rPr>
                <w:rFonts w:ascii="Times New Roman" w:hAnsi="Times New Roman"/>
                <w:b w:val="0"/>
                <w:i w:val="0"/>
                <w:sz w:val="18"/>
              </w:rPr>
              <w:t>52.5%</w:t>
            </w:r>
          </w:p>
        </w:tc>
      </w:tr>
    </w:tbl>
    <w:p w14:paraId="4D0EF4E4">
      <w:pPr>
        <w:spacing w:after="160"/>
      </w:pPr>
      <w:r>
        <w:rPr>
          <w:b w:val="0"/>
          <w:i/>
          <w:sz w:val="18"/>
        </w:rPr>
        <w:t>Long-string index: a respondent is flagged on a scale if every item of that scale received an identical response (zero within-scale variance), following Meade &amp; Craig (2012). Screening was restricted to CAAS and CHSS because these are the two scales retained as model predictors; the outcome measure (ISI) and non-predictor scales collected in the same battery were not screened, as they do not enter the prediction model.</w:t>
      </w:r>
    </w:p>
    <w:p w14:paraId="25F496D2">
      <w:pPr>
        <w:spacing w:after="80"/>
      </w:pPr>
      <w:r>
        <w:rPr>
          <w:b/>
          <w:i w:val="0"/>
          <w:sz w:val="21"/>
        </w:rPr>
        <w:t>Panel B. Final logistic model re-estimated after excluding flagged participants (screened subsample, n = 1,144; training n = 1,006, test n = 138)</w:t>
      </w:r>
    </w:p>
    <w:tbl>
      <w:tblPr>
        <w:tblStyle w:val="33"/>
        <w:tblW w:w="0" w:type="auto"/>
        <w:jc w:val="center"/>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930"/>
        <w:gridCol w:w="1286"/>
        <w:gridCol w:w="644"/>
        <w:gridCol w:w="1930"/>
        <w:gridCol w:w="642"/>
        <w:gridCol w:w="1288"/>
        <w:gridCol w:w="1928"/>
        <w:gridCol w:w="2"/>
      </w:tblGrid>
      <w:tr w14:paraId="2246F18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30" w:type="dxa"/>
            <w:tcBorders>
              <w:bottom w:val="single" w:color="auto" w:sz="4" w:space="0"/>
            </w:tcBorders>
          </w:tcPr>
          <w:p w14:paraId="5B1CC35D">
            <w:pPr>
              <w:rPr>
                <w:rFonts w:ascii="Times New Roman" w:hAnsi="Times New Roman"/>
                <w:b/>
                <w:i w:val="0"/>
                <w:sz w:val="18"/>
              </w:rPr>
            </w:pPr>
            <w:r>
              <w:rPr>
                <w:rFonts w:ascii="Times New Roman" w:hAnsi="Times New Roman"/>
                <w:b/>
                <w:i w:val="0"/>
                <w:sz w:val="18"/>
              </w:rPr>
              <w:t>Predictor</w:t>
            </w:r>
          </w:p>
        </w:tc>
        <w:tc>
          <w:tcPr>
            <w:tcW w:w="1930" w:type="dxa"/>
            <w:gridSpan w:val="2"/>
            <w:tcBorders>
              <w:bottom w:val="single" w:color="auto" w:sz="4" w:space="0"/>
            </w:tcBorders>
          </w:tcPr>
          <w:p w14:paraId="685CCCF7">
            <w:pPr>
              <w:rPr>
                <w:rFonts w:ascii="Times New Roman" w:hAnsi="Times New Roman"/>
                <w:b/>
                <w:i w:val="0"/>
                <w:sz w:val="18"/>
              </w:rPr>
            </w:pPr>
            <w:r>
              <w:rPr>
                <w:rFonts w:ascii="Times New Roman" w:hAnsi="Times New Roman"/>
                <w:b/>
                <w:i w:val="0"/>
                <w:sz w:val="18"/>
              </w:rPr>
              <w:t>Full sample OR (95% CI)</w:t>
            </w:r>
          </w:p>
        </w:tc>
        <w:tc>
          <w:tcPr>
            <w:tcW w:w="1930" w:type="dxa"/>
            <w:tcBorders>
              <w:bottom w:val="single" w:color="auto" w:sz="4" w:space="0"/>
            </w:tcBorders>
          </w:tcPr>
          <w:p w14:paraId="035F4395">
            <w:pPr>
              <w:rPr>
                <w:rFonts w:ascii="Times New Roman" w:hAnsi="Times New Roman"/>
                <w:b/>
                <w:i w:val="0"/>
                <w:sz w:val="18"/>
              </w:rPr>
            </w:pPr>
            <w:r>
              <w:rPr>
                <w:rFonts w:ascii="Times New Roman" w:hAnsi="Times New Roman"/>
                <w:b/>
                <w:i w:val="0"/>
                <w:sz w:val="18"/>
              </w:rPr>
              <w:t>Full sample p</w:t>
            </w:r>
          </w:p>
        </w:tc>
        <w:tc>
          <w:tcPr>
            <w:tcW w:w="1930" w:type="dxa"/>
            <w:gridSpan w:val="2"/>
            <w:tcBorders>
              <w:bottom w:val="single" w:color="auto" w:sz="4" w:space="0"/>
            </w:tcBorders>
          </w:tcPr>
          <w:p w14:paraId="63427935">
            <w:pPr>
              <w:rPr>
                <w:rFonts w:ascii="Times New Roman" w:hAnsi="Times New Roman"/>
                <w:b/>
                <w:i w:val="0"/>
                <w:sz w:val="18"/>
              </w:rPr>
            </w:pPr>
            <w:r>
              <w:rPr>
                <w:rFonts w:ascii="Times New Roman" w:hAnsi="Times New Roman"/>
                <w:b/>
                <w:i w:val="0"/>
                <w:sz w:val="18"/>
              </w:rPr>
              <w:t>Screened subsample OR (95% CI)</w:t>
            </w:r>
          </w:p>
        </w:tc>
        <w:tc>
          <w:tcPr>
            <w:tcW w:w="1930" w:type="dxa"/>
            <w:gridSpan w:val="2"/>
            <w:tcBorders>
              <w:bottom w:val="single" w:color="auto" w:sz="4" w:space="0"/>
            </w:tcBorders>
          </w:tcPr>
          <w:p w14:paraId="4BDAC20C">
            <w:pPr>
              <w:rPr>
                <w:rFonts w:ascii="Times New Roman" w:hAnsi="Times New Roman"/>
                <w:b/>
                <w:i w:val="0"/>
                <w:sz w:val="18"/>
              </w:rPr>
            </w:pPr>
            <w:r>
              <w:rPr>
                <w:rFonts w:ascii="Times New Roman" w:hAnsi="Times New Roman"/>
                <w:b/>
                <w:i w:val="0"/>
                <w:sz w:val="18"/>
              </w:rPr>
              <w:t>Screened subsample p</w:t>
            </w:r>
          </w:p>
        </w:tc>
      </w:tr>
      <w:tr w14:paraId="1419AB37">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30" w:type="dxa"/>
            <w:tcBorders>
              <w:top w:val="single" w:color="auto" w:sz="4" w:space="0"/>
            </w:tcBorders>
          </w:tcPr>
          <w:p w14:paraId="1F370D0C">
            <w:pPr>
              <w:rPr>
                <w:rFonts w:ascii="Times New Roman" w:hAnsi="Times New Roman"/>
                <w:b w:val="0"/>
                <w:i w:val="0"/>
                <w:sz w:val="18"/>
              </w:rPr>
            </w:pPr>
            <w:r>
              <w:rPr>
                <w:rFonts w:ascii="Times New Roman" w:hAnsi="Times New Roman"/>
                <w:b w:val="0"/>
                <w:i w:val="0"/>
                <w:sz w:val="18"/>
              </w:rPr>
              <w:t>Average night shifts: 1-3 (ref. 0)</w:t>
            </w:r>
          </w:p>
        </w:tc>
        <w:tc>
          <w:tcPr>
            <w:tcW w:w="1930" w:type="dxa"/>
            <w:gridSpan w:val="2"/>
            <w:tcBorders>
              <w:top w:val="single" w:color="auto" w:sz="4" w:space="0"/>
            </w:tcBorders>
          </w:tcPr>
          <w:p w14:paraId="5317CCE6">
            <w:pPr>
              <w:rPr>
                <w:rFonts w:ascii="Times New Roman" w:hAnsi="Times New Roman"/>
                <w:b w:val="0"/>
                <w:i w:val="0"/>
                <w:sz w:val="18"/>
              </w:rPr>
            </w:pPr>
            <w:r>
              <w:rPr>
                <w:rFonts w:ascii="Times New Roman" w:hAnsi="Times New Roman"/>
                <w:b w:val="0"/>
                <w:i w:val="0"/>
                <w:sz w:val="18"/>
              </w:rPr>
              <w:t>1.17 (0.77, 1.80)</w:t>
            </w:r>
          </w:p>
        </w:tc>
        <w:tc>
          <w:tcPr>
            <w:tcW w:w="1930" w:type="dxa"/>
            <w:tcBorders>
              <w:top w:val="single" w:color="auto" w:sz="4" w:space="0"/>
            </w:tcBorders>
          </w:tcPr>
          <w:p w14:paraId="64FA8B9C">
            <w:pPr>
              <w:rPr>
                <w:rFonts w:ascii="Times New Roman" w:hAnsi="Times New Roman"/>
                <w:b w:val="0"/>
                <w:i w:val="0"/>
                <w:sz w:val="18"/>
              </w:rPr>
            </w:pPr>
            <w:r>
              <w:rPr>
                <w:rFonts w:ascii="Times New Roman" w:hAnsi="Times New Roman"/>
                <w:b w:val="0"/>
                <w:i w:val="0"/>
                <w:sz w:val="18"/>
              </w:rPr>
              <w:t>0.46</w:t>
            </w:r>
          </w:p>
        </w:tc>
        <w:tc>
          <w:tcPr>
            <w:tcW w:w="1930" w:type="dxa"/>
            <w:gridSpan w:val="2"/>
            <w:tcBorders>
              <w:top w:val="single" w:color="auto" w:sz="4" w:space="0"/>
            </w:tcBorders>
          </w:tcPr>
          <w:p w14:paraId="3881A624">
            <w:pPr>
              <w:rPr>
                <w:rFonts w:ascii="Times New Roman" w:hAnsi="Times New Roman"/>
                <w:b w:val="0"/>
                <w:i w:val="0"/>
                <w:sz w:val="18"/>
              </w:rPr>
            </w:pPr>
            <w:r>
              <w:rPr>
                <w:rFonts w:ascii="Times New Roman" w:hAnsi="Times New Roman"/>
                <w:b w:val="0"/>
                <w:i w:val="0"/>
                <w:sz w:val="18"/>
              </w:rPr>
              <w:t>0.84 (0.44, 1.57)</w:t>
            </w:r>
          </w:p>
        </w:tc>
        <w:tc>
          <w:tcPr>
            <w:tcW w:w="1930" w:type="dxa"/>
            <w:gridSpan w:val="2"/>
            <w:tcBorders>
              <w:top w:val="single" w:color="auto" w:sz="4" w:space="0"/>
            </w:tcBorders>
          </w:tcPr>
          <w:p w14:paraId="45062C4D">
            <w:pPr>
              <w:rPr>
                <w:rFonts w:ascii="Times New Roman" w:hAnsi="Times New Roman"/>
                <w:b w:val="0"/>
                <w:i w:val="0"/>
                <w:sz w:val="18"/>
              </w:rPr>
            </w:pPr>
            <w:r>
              <w:rPr>
                <w:rFonts w:ascii="Times New Roman" w:hAnsi="Times New Roman"/>
                <w:b w:val="0"/>
                <w:i w:val="0"/>
                <w:sz w:val="18"/>
              </w:rPr>
              <w:t>0.58</w:t>
            </w:r>
          </w:p>
        </w:tc>
      </w:tr>
      <w:tr w14:paraId="20888F4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30" w:type="dxa"/>
          </w:tcPr>
          <w:p w14:paraId="42371B14">
            <w:pPr>
              <w:rPr>
                <w:rFonts w:ascii="Times New Roman" w:hAnsi="Times New Roman"/>
                <w:b w:val="0"/>
                <w:i w:val="0"/>
                <w:sz w:val="18"/>
              </w:rPr>
            </w:pPr>
            <w:r>
              <w:rPr>
                <w:rFonts w:ascii="Times New Roman" w:hAnsi="Times New Roman"/>
                <w:b w:val="0"/>
                <w:i w:val="0"/>
                <w:sz w:val="18"/>
              </w:rPr>
              <w:t>Average night shifts: 4-8 (ref. 0)</w:t>
            </w:r>
          </w:p>
        </w:tc>
        <w:tc>
          <w:tcPr>
            <w:tcW w:w="1930" w:type="dxa"/>
            <w:gridSpan w:val="2"/>
          </w:tcPr>
          <w:p w14:paraId="6269EFF3">
            <w:pPr>
              <w:rPr>
                <w:rFonts w:ascii="Times New Roman" w:hAnsi="Times New Roman"/>
                <w:b w:val="0"/>
                <w:i w:val="0"/>
                <w:sz w:val="18"/>
              </w:rPr>
            </w:pPr>
            <w:r>
              <w:rPr>
                <w:rFonts w:ascii="Times New Roman" w:hAnsi="Times New Roman"/>
                <w:b w:val="0"/>
                <w:i w:val="0"/>
                <w:sz w:val="18"/>
              </w:rPr>
              <w:t>1.36 (1.05, 1.76)</w:t>
            </w:r>
          </w:p>
        </w:tc>
        <w:tc>
          <w:tcPr>
            <w:tcW w:w="1930" w:type="dxa"/>
          </w:tcPr>
          <w:p w14:paraId="3394C542">
            <w:pPr>
              <w:rPr>
                <w:rFonts w:ascii="Times New Roman" w:hAnsi="Times New Roman"/>
                <w:b w:val="0"/>
                <w:i w:val="0"/>
                <w:sz w:val="18"/>
              </w:rPr>
            </w:pPr>
            <w:r>
              <w:rPr>
                <w:rFonts w:ascii="Times New Roman" w:hAnsi="Times New Roman"/>
                <w:b w:val="0"/>
                <w:i w:val="0"/>
                <w:sz w:val="18"/>
              </w:rPr>
              <w:t>0.018</w:t>
            </w:r>
          </w:p>
        </w:tc>
        <w:tc>
          <w:tcPr>
            <w:tcW w:w="1930" w:type="dxa"/>
            <w:gridSpan w:val="2"/>
          </w:tcPr>
          <w:p w14:paraId="6524895C">
            <w:pPr>
              <w:rPr>
                <w:rFonts w:ascii="Times New Roman" w:hAnsi="Times New Roman"/>
                <w:b w:val="0"/>
                <w:i w:val="0"/>
                <w:sz w:val="18"/>
              </w:rPr>
            </w:pPr>
            <w:r>
              <w:rPr>
                <w:rFonts w:ascii="Times New Roman" w:hAnsi="Times New Roman"/>
                <w:b w:val="0"/>
                <w:i w:val="0"/>
                <w:sz w:val="18"/>
              </w:rPr>
              <w:t>1.41 (1.00, 1.98)</w:t>
            </w:r>
          </w:p>
        </w:tc>
        <w:tc>
          <w:tcPr>
            <w:tcW w:w="1930" w:type="dxa"/>
            <w:gridSpan w:val="2"/>
          </w:tcPr>
          <w:p w14:paraId="13B64735">
            <w:pPr>
              <w:rPr>
                <w:rFonts w:ascii="Times New Roman" w:hAnsi="Times New Roman"/>
                <w:b w:val="0"/>
                <w:i w:val="0"/>
                <w:sz w:val="18"/>
              </w:rPr>
            </w:pPr>
            <w:r>
              <w:rPr>
                <w:rFonts w:ascii="Times New Roman" w:hAnsi="Times New Roman"/>
                <w:b w:val="0"/>
                <w:i w:val="0"/>
                <w:sz w:val="18"/>
              </w:rPr>
              <w:t>0.049</w:t>
            </w:r>
          </w:p>
        </w:tc>
      </w:tr>
      <w:tr w14:paraId="78708A0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30" w:type="dxa"/>
          </w:tcPr>
          <w:p w14:paraId="2BDE0CA7">
            <w:pPr>
              <w:rPr>
                <w:rFonts w:ascii="Times New Roman" w:hAnsi="Times New Roman"/>
                <w:b w:val="0"/>
                <w:i w:val="0"/>
                <w:sz w:val="18"/>
              </w:rPr>
            </w:pPr>
            <w:r>
              <w:rPr>
                <w:rFonts w:ascii="Times New Roman" w:hAnsi="Times New Roman"/>
                <w:b w:val="0"/>
                <w:i w:val="0"/>
                <w:sz w:val="18"/>
              </w:rPr>
              <w:t>Average night shifts: &gt;8 (ref. 0)</w:t>
            </w:r>
          </w:p>
        </w:tc>
        <w:tc>
          <w:tcPr>
            <w:tcW w:w="1930" w:type="dxa"/>
            <w:gridSpan w:val="2"/>
          </w:tcPr>
          <w:p w14:paraId="44BB9D74">
            <w:pPr>
              <w:rPr>
                <w:rFonts w:ascii="Times New Roman" w:hAnsi="Times New Roman"/>
                <w:b w:val="0"/>
                <w:i w:val="0"/>
                <w:sz w:val="18"/>
              </w:rPr>
            </w:pPr>
            <w:r>
              <w:rPr>
                <w:rFonts w:ascii="Times New Roman" w:hAnsi="Times New Roman"/>
                <w:b w:val="0"/>
                <w:i w:val="0"/>
                <w:sz w:val="18"/>
              </w:rPr>
              <w:t>2.37 (1.79, 3.15)</w:t>
            </w:r>
          </w:p>
        </w:tc>
        <w:tc>
          <w:tcPr>
            <w:tcW w:w="1930" w:type="dxa"/>
          </w:tcPr>
          <w:p w14:paraId="0E69B11C">
            <w:pPr>
              <w:rPr>
                <w:rFonts w:ascii="Times New Roman" w:hAnsi="Times New Roman"/>
                <w:b w:val="0"/>
                <w:i w:val="0"/>
                <w:sz w:val="18"/>
              </w:rPr>
            </w:pPr>
            <w:r>
              <w:rPr>
                <w:rFonts w:ascii="Times New Roman" w:hAnsi="Times New Roman"/>
                <w:b w:val="0"/>
                <w:i w:val="0"/>
                <w:sz w:val="18"/>
              </w:rPr>
              <w:t>&lt;.001</w:t>
            </w:r>
          </w:p>
        </w:tc>
        <w:tc>
          <w:tcPr>
            <w:tcW w:w="1930" w:type="dxa"/>
            <w:gridSpan w:val="2"/>
          </w:tcPr>
          <w:p w14:paraId="7AF55344">
            <w:pPr>
              <w:rPr>
                <w:rFonts w:ascii="Times New Roman" w:hAnsi="Times New Roman"/>
                <w:b w:val="0"/>
                <w:i w:val="0"/>
                <w:sz w:val="18"/>
              </w:rPr>
            </w:pPr>
            <w:r>
              <w:rPr>
                <w:rFonts w:ascii="Times New Roman" w:hAnsi="Times New Roman"/>
                <w:b w:val="0"/>
                <w:i w:val="0"/>
                <w:sz w:val="18"/>
              </w:rPr>
              <w:t>2.44 (1.65, 3.60)</w:t>
            </w:r>
          </w:p>
        </w:tc>
        <w:tc>
          <w:tcPr>
            <w:tcW w:w="1930" w:type="dxa"/>
            <w:gridSpan w:val="2"/>
          </w:tcPr>
          <w:p w14:paraId="4A82EE9A">
            <w:pPr>
              <w:rPr>
                <w:rFonts w:ascii="Times New Roman" w:hAnsi="Times New Roman"/>
                <w:b w:val="0"/>
                <w:i w:val="0"/>
                <w:sz w:val="18"/>
              </w:rPr>
            </w:pPr>
            <w:r>
              <w:rPr>
                <w:rFonts w:ascii="Times New Roman" w:hAnsi="Times New Roman"/>
                <w:b w:val="0"/>
                <w:i w:val="0"/>
                <w:sz w:val="18"/>
              </w:rPr>
              <w:t>&lt;.001</w:t>
            </w:r>
          </w:p>
        </w:tc>
      </w:tr>
      <w:tr w14:paraId="4F50B94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30" w:type="dxa"/>
          </w:tcPr>
          <w:p w14:paraId="459FBA29">
            <w:pPr>
              <w:rPr>
                <w:rFonts w:ascii="Times New Roman" w:hAnsi="Times New Roman"/>
                <w:b w:val="0"/>
                <w:i w:val="0"/>
                <w:sz w:val="18"/>
              </w:rPr>
            </w:pPr>
            <w:r>
              <w:rPr>
                <w:rFonts w:ascii="Times New Roman" w:hAnsi="Times New Roman"/>
                <w:b w:val="0"/>
                <w:i w:val="0"/>
                <w:sz w:val="18"/>
              </w:rPr>
              <w:t>CAAS score</w:t>
            </w:r>
          </w:p>
        </w:tc>
        <w:tc>
          <w:tcPr>
            <w:tcW w:w="1930" w:type="dxa"/>
            <w:gridSpan w:val="2"/>
          </w:tcPr>
          <w:p w14:paraId="4A70789A">
            <w:pPr>
              <w:rPr>
                <w:rFonts w:ascii="Times New Roman" w:hAnsi="Times New Roman"/>
                <w:b w:val="0"/>
                <w:i w:val="0"/>
                <w:sz w:val="18"/>
              </w:rPr>
            </w:pPr>
            <w:r>
              <w:rPr>
                <w:rFonts w:ascii="Times New Roman" w:hAnsi="Times New Roman"/>
                <w:b w:val="0"/>
                <w:i w:val="0"/>
                <w:sz w:val="18"/>
              </w:rPr>
              <w:t>0.983 (0.976, 0.990)</w:t>
            </w:r>
          </w:p>
        </w:tc>
        <w:tc>
          <w:tcPr>
            <w:tcW w:w="1930" w:type="dxa"/>
          </w:tcPr>
          <w:p w14:paraId="1F6F9476">
            <w:pPr>
              <w:rPr>
                <w:rFonts w:ascii="Times New Roman" w:hAnsi="Times New Roman"/>
                <w:b w:val="0"/>
                <w:i w:val="0"/>
                <w:sz w:val="18"/>
              </w:rPr>
            </w:pPr>
            <w:r>
              <w:rPr>
                <w:rFonts w:ascii="Times New Roman" w:hAnsi="Times New Roman"/>
                <w:b w:val="0"/>
                <w:i w:val="0"/>
                <w:sz w:val="18"/>
              </w:rPr>
              <w:t>&lt;.001</w:t>
            </w:r>
          </w:p>
        </w:tc>
        <w:tc>
          <w:tcPr>
            <w:tcW w:w="1930" w:type="dxa"/>
            <w:gridSpan w:val="2"/>
          </w:tcPr>
          <w:p w14:paraId="3DD991DE">
            <w:pPr>
              <w:rPr>
                <w:rFonts w:ascii="Times New Roman" w:hAnsi="Times New Roman"/>
                <w:b w:val="0"/>
                <w:i w:val="0"/>
                <w:sz w:val="18"/>
              </w:rPr>
            </w:pPr>
            <w:r>
              <w:rPr>
                <w:rFonts w:ascii="Times New Roman" w:hAnsi="Times New Roman"/>
                <w:b w:val="0"/>
                <w:i w:val="0"/>
                <w:sz w:val="18"/>
              </w:rPr>
              <w:t>0.983 (0.972, 0.994)</w:t>
            </w:r>
          </w:p>
        </w:tc>
        <w:tc>
          <w:tcPr>
            <w:tcW w:w="1930" w:type="dxa"/>
            <w:gridSpan w:val="2"/>
          </w:tcPr>
          <w:p w14:paraId="26064699">
            <w:pPr>
              <w:rPr>
                <w:rFonts w:ascii="Times New Roman" w:hAnsi="Times New Roman"/>
                <w:b w:val="0"/>
                <w:i w:val="0"/>
                <w:sz w:val="18"/>
              </w:rPr>
            </w:pPr>
            <w:r>
              <w:rPr>
                <w:rFonts w:ascii="Times New Roman" w:hAnsi="Times New Roman"/>
                <w:b w:val="0"/>
                <w:i w:val="0"/>
                <w:sz w:val="18"/>
              </w:rPr>
              <w:t>0.002</w:t>
            </w:r>
          </w:p>
        </w:tc>
      </w:tr>
      <w:tr w14:paraId="33B4578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30" w:type="dxa"/>
          </w:tcPr>
          <w:p w14:paraId="787950EC">
            <w:pPr>
              <w:rPr>
                <w:rFonts w:ascii="Times New Roman" w:hAnsi="Times New Roman"/>
                <w:b w:val="0"/>
                <w:i w:val="0"/>
                <w:sz w:val="18"/>
              </w:rPr>
            </w:pPr>
            <w:r>
              <w:rPr>
                <w:rFonts w:ascii="Times New Roman" w:hAnsi="Times New Roman"/>
                <w:b w:val="0"/>
                <w:i w:val="0"/>
                <w:sz w:val="18"/>
              </w:rPr>
              <w:t>CHSS-Challenge score</w:t>
            </w:r>
          </w:p>
        </w:tc>
        <w:tc>
          <w:tcPr>
            <w:tcW w:w="1930" w:type="dxa"/>
            <w:gridSpan w:val="2"/>
          </w:tcPr>
          <w:p w14:paraId="3279DFDD">
            <w:pPr>
              <w:rPr>
                <w:rFonts w:ascii="Times New Roman" w:hAnsi="Times New Roman"/>
                <w:b w:val="0"/>
                <w:i w:val="0"/>
                <w:sz w:val="18"/>
              </w:rPr>
            </w:pPr>
            <w:r>
              <w:rPr>
                <w:rFonts w:ascii="Times New Roman" w:hAnsi="Times New Roman"/>
                <w:b w:val="0"/>
                <w:i w:val="0"/>
                <w:sz w:val="18"/>
              </w:rPr>
              <w:t>1.39 (1.12, 1.73)</w:t>
            </w:r>
          </w:p>
        </w:tc>
        <w:tc>
          <w:tcPr>
            <w:tcW w:w="1930" w:type="dxa"/>
          </w:tcPr>
          <w:p w14:paraId="204D5DF4">
            <w:pPr>
              <w:rPr>
                <w:rFonts w:ascii="Times New Roman" w:hAnsi="Times New Roman"/>
                <w:b w:val="0"/>
                <w:i w:val="0"/>
                <w:sz w:val="18"/>
              </w:rPr>
            </w:pPr>
            <w:r>
              <w:rPr>
                <w:rFonts w:ascii="Times New Roman" w:hAnsi="Times New Roman"/>
                <w:b w:val="0"/>
                <w:i w:val="0"/>
                <w:sz w:val="18"/>
              </w:rPr>
              <w:t>0.002</w:t>
            </w:r>
          </w:p>
        </w:tc>
        <w:tc>
          <w:tcPr>
            <w:tcW w:w="1930" w:type="dxa"/>
            <w:gridSpan w:val="2"/>
          </w:tcPr>
          <w:p w14:paraId="724D8AB7">
            <w:pPr>
              <w:rPr>
                <w:rFonts w:ascii="Times New Roman" w:hAnsi="Times New Roman"/>
                <w:b w:val="0"/>
                <w:i w:val="0"/>
                <w:sz w:val="18"/>
              </w:rPr>
            </w:pPr>
            <w:r>
              <w:rPr>
                <w:rFonts w:ascii="Times New Roman" w:hAnsi="Times New Roman"/>
                <w:b w:val="0"/>
                <w:i w:val="0"/>
                <w:sz w:val="18"/>
              </w:rPr>
              <w:t>1.48 (1.13, 1.95)</w:t>
            </w:r>
          </w:p>
        </w:tc>
        <w:tc>
          <w:tcPr>
            <w:tcW w:w="1930" w:type="dxa"/>
            <w:gridSpan w:val="2"/>
          </w:tcPr>
          <w:p w14:paraId="30DEC930">
            <w:pPr>
              <w:rPr>
                <w:rFonts w:ascii="Times New Roman" w:hAnsi="Times New Roman"/>
                <w:b w:val="0"/>
                <w:i w:val="0"/>
                <w:sz w:val="18"/>
              </w:rPr>
            </w:pPr>
            <w:r>
              <w:rPr>
                <w:rFonts w:ascii="Times New Roman" w:hAnsi="Times New Roman"/>
                <w:b w:val="0"/>
                <w:i w:val="0"/>
                <w:sz w:val="18"/>
              </w:rPr>
              <w:t>0.005</w:t>
            </w:r>
          </w:p>
        </w:tc>
      </w:tr>
      <w:tr w14:paraId="4F35EEB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30" w:type="dxa"/>
          </w:tcPr>
          <w:p w14:paraId="32C088AB">
            <w:pPr>
              <w:rPr>
                <w:rFonts w:ascii="Times New Roman" w:hAnsi="Times New Roman"/>
                <w:b w:val="0"/>
                <w:i w:val="0"/>
                <w:sz w:val="18"/>
              </w:rPr>
            </w:pPr>
            <w:r>
              <w:rPr>
                <w:rFonts w:ascii="Times New Roman" w:hAnsi="Times New Roman"/>
                <w:b w:val="0"/>
                <w:i w:val="0"/>
                <w:sz w:val="18"/>
              </w:rPr>
              <w:t>CHSS-Hindrance score</w:t>
            </w:r>
          </w:p>
        </w:tc>
        <w:tc>
          <w:tcPr>
            <w:tcW w:w="1930" w:type="dxa"/>
            <w:gridSpan w:val="2"/>
          </w:tcPr>
          <w:p w14:paraId="29C0CF2B">
            <w:pPr>
              <w:rPr>
                <w:rFonts w:ascii="Times New Roman" w:hAnsi="Times New Roman"/>
                <w:b w:val="0"/>
                <w:i w:val="0"/>
                <w:sz w:val="18"/>
              </w:rPr>
            </w:pPr>
            <w:r>
              <w:rPr>
                <w:rFonts w:ascii="Times New Roman" w:hAnsi="Times New Roman"/>
                <w:b w:val="0"/>
                <w:i w:val="0"/>
                <w:sz w:val="18"/>
              </w:rPr>
              <w:t>1.68 (1.38, 2.04)</w:t>
            </w:r>
          </w:p>
        </w:tc>
        <w:tc>
          <w:tcPr>
            <w:tcW w:w="1930" w:type="dxa"/>
          </w:tcPr>
          <w:p w14:paraId="16644CAC">
            <w:pPr>
              <w:rPr>
                <w:rFonts w:ascii="Times New Roman" w:hAnsi="Times New Roman"/>
                <w:b w:val="0"/>
                <w:i w:val="0"/>
                <w:sz w:val="18"/>
              </w:rPr>
            </w:pPr>
            <w:r>
              <w:rPr>
                <w:rFonts w:ascii="Times New Roman" w:hAnsi="Times New Roman"/>
                <w:b w:val="0"/>
                <w:i w:val="0"/>
                <w:sz w:val="18"/>
              </w:rPr>
              <w:t>&lt;.001</w:t>
            </w:r>
          </w:p>
        </w:tc>
        <w:tc>
          <w:tcPr>
            <w:tcW w:w="1930" w:type="dxa"/>
            <w:gridSpan w:val="2"/>
          </w:tcPr>
          <w:p w14:paraId="5F9568A4">
            <w:pPr>
              <w:rPr>
                <w:rFonts w:ascii="Times New Roman" w:hAnsi="Times New Roman"/>
                <w:b w:val="0"/>
                <w:i w:val="0"/>
                <w:sz w:val="18"/>
              </w:rPr>
            </w:pPr>
            <w:r>
              <w:rPr>
                <w:rFonts w:ascii="Times New Roman" w:hAnsi="Times New Roman"/>
                <w:b w:val="0"/>
                <w:i w:val="0"/>
                <w:sz w:val="18"/>
              </w:rPr>
              <w:t>1.81 (1.43, 2.29)</w:t>
            </w:r>
          </w:p>
        </w:tc>
        <w:tc>
          <w:tcPr>
            <w:tcW w:w="1930" w:type="dxa"/>
            <w:gridSpan w:val="2"/>
          </w:tcPr>
          <w:p w14:paraId="40DC5D0C">
            <w:pPr>
              <w:rPr>
                <w:rFonts w:ascii="Times New Roman" w:hAnsi="Times New Roman"/>
                <w:b w:val="0"/>
                <w:i w:val="0"/>
                <w:sz w:val="18"/>
              </w:rPr>
            </w:pPr>
            <w:r>
              <w:rPr>
                <w:rFonts w:ascii="Times New Roman" w:hAnsi="Times New Roman"/>
                <w:b w:val="0"/>
                <w:i w:val="0"/>
                <w:sz w:val="18"/>
              </w:rPr>
              <w:t>&lt;.001</w:t>
            </w:r>
          </w:p>
        </w:tc>
      </w:tr>
      <w:tr w14:paraId="67581F6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 w:type="dxa"/>
          <w:jc w:val="center"/>
        </w:trPr>
        <w:tc>
          <w:tcPr>
            <w:tcW w:w="3216" w:type="dxa"/>
            <w:gridSpan w:val="2"/>
          </w:tcPr>
          <w:p w14:paraId="3947AF22">
            <w:pPr>
              <w:rPr>
                <w:rFonts w:ascii="Times New Roman" w:hAnsi="Times New Roman"/>
                <w:b/>
                <w:i w:val="0"/>
                <w:sz w:val="18"/>
              </w:rPr>
            </w:pPr>
            <w:r>
              <w:rPr>
                <w:rFonts w:ascii="Times New Roman" w:hAnsi="Times New Roman"/>
                <w:b/>
                <w:i w:val="0"/>
                <w:sz w:val="18"/>
              </w:rPr>
              <w:t>Model performance</w:t>
            </w:r>
          </w:p>
        </w:tc>
        <w:tc>
          <w:tcPr>
            <w:tcW w:w="3216" w:type="dxa"/>
            <w:gridSpan w:val="3"/>
          </w:tcPr>
          <w:p w14:paraId="09808F1E">
            <w:pPr>
              <w:rPr>
                <w:rFonts w:ascii="Times New Roman" w:hAnsi="Times New Roman"/>
                <w:b/>
                <w:i w:val="0"/>
                <w:sz w:val="18"/>
              </w:rPr>
            </w:pPr>
            <w:r>
              <w:rPr>
                <w:rFonts w:ascii="Times New Roman" w:hAnsi="Times New Roman"/>
                <w:b/>
                <w:i w:val="0"/>
                <w:sz w:val="18"/>
              </w:rPr>
              <w:t>Full sample</w:t>
            </w:r>
          </w:p>
        </w:tc>
        <w:tc>
          <w:tcPr>
            <w:tcW w:w="3216" w:type="dxa"/>
            <w:gridSpan w:val="2"/>
          </w:tcPr>
          <w:p w14:paraId="3B989D95">
            <w:pPr>
              <w:rPr>
                <w:rFonts w:ascii="Times New Roman" w:hAnsi="Times New Roman"/>
                <w:b/>
                <w:i w:val="0"/>
                <w:sz w:val="18"/>
              </w:rPr>
            </w:pPr>
            <w:r>
              <w:rPr>
                <w:rFonts w:ascii="Times New Roman" w:hAnsi="Times New Roman"/>
                <w:b/>
                <w:i w:val="0"/>
                <w:sz w:val="18"/>
              </w:rPr>
              <w:t>Screened subsample</w:t>
            </w:r>
          </w:p>
        </w:tc>
      </w:tr>
      <w:tr w14:paraId="5014E47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 w:type="dxa"/>
          <w:jc w:val="center"/>
        </w:trPr>
        <w:tc>
          <w:tcPr>
            <w:tcW w:w="3216" w:type="dxa"/>
            <w:gridSpan w:val="2"/>
          </w:tcPr>
          <w:p w14:paraId="16DF8AC4">
            <w:pPr>
              <w:rPr>
                <w:rFonts w:ascii="Times New Roman" w:hAnsi="Times New Roman"/>
                <w:b w:val="0"/>
                <w:i w:val="0"/>
                <w:sz w:val="18"/>
              </w:rPr>
            </w:pPr>
            <w:r>
              <w:rPr>
                <w:rFonts w:ascii="Times New Roman" w:hAnsi="Times New Roman"/>
                <w:b w:val="0"/>
                <w:i w:val="0"/>
                <w:sz w:val="18"/>
              </w:rPr>
              <w:t>Held-out test-set AUC (95% CI)</w:t>
            </w:r>
          </w:p>
        </w:tc>
        <w:tc>
          <w:tcPr>
            <w:tcW w:w="3216" w:type="dxa"/>
            <w:gridSpan w:val="3"/>
          </w:tcPr>
          <w:p w14:paraId="0448AA5B">
            <w:pPr>
              <w:rPr>
                <w:rFonts w:ascii="Times New Roman" w:hAnsi="Times New Roman"/>
                <w:b w:val="0"/>
                <w:i w:val="0"/>
                <w:sz w:val="18"/>
              </w:rPr>
            </w:pPr>
            <w:r>
              <w:rPr>
                <w:rFonts w:ascii="Times New Roman" w:hAnsi="Times New Roman"/>
                <w:b w:val="0"/>
                <w:i w:val="0"/>
                <w:sz w:val="18"/>
              </w:rPr>
              <w:t>0.766 (0.708–0.825)</w:t>
            </w:r>
          </w:p>
        </w:tc>
        <w:tc>
          <w:tcPr>
            <w:tcW w:w="3216" w:type="dxa"/>
            <w:gridSpan w:val="2"/>
          </w:tcPr>
          <w:p w14:paraId="116614B2">
            <w:pPr>
              <w:rPr>
                <w:rFonts w:ascii="Times New Roman" w:hAnsi="Times New Roman"/>
                <w:b w:val="0"/>
                <w:i w:val="0"/>
                <w:sz w:val="18"/>
              </w:rPr>
            </w:pPr>
            <w:r>
              <w:rPr>
                <w:rFonts w:ascii="Times New Roman" w:hAnsi="Times New Roman"/>
                <w:b w:val="0"/>
                <w:i w:val="0"/>
                <w:sz w:val="18"/>
              </w:rPr>
              <w:t>0.723 (0.621–0.815)</w:t>
            </w:r>
          </w:p>
        </w:tc>
      </w:tr>
      <w:tr w14:paraId="5879C99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 w:type="dxa"/>
          <w:jc w:val="center"/>
        </w:trPr>
        <w:tc>
          <w:tcPr>
            <w:tcW w:w="3216" w:type="dxa"/>
            <w:gridSpan w:val="2"/>
          </w:tcPr>
          <w:p w14:paraId="08506963">
            <w:pPr>
              <w:rPr>
                <w:rFonts w:ascii="Times New Roman" w:hAnsi="Times New Roman"/>
                <w:b w:val="0"/>
                <w:i w:val="0"/>
                <w:sz w:val="18"/>
              </w:rPr>
            </w:pPr>
            <w:r>
              <w:rPr>
                <w:rFonts w:ascii="Times New Roman" w:hAnsi="Times New Roman"/>
                <w:b w:val="0"/>
                <w:i w:val="0"/>
                <w:sz w:val="18"/>
              </w:rPr>
              <w:t>Held-out test-set Brier score</w:t>
            </w:r>
          </w:p>
        </w:tc>
        <w:tc>
          <w:tcPr>
            <w:tcW w:w="3216" w:type="dxa"/>
            <w:gridSpan w:val="3"/>
          </w:tcPr>
          <w:p w14:paraId="49C95AF3">
            <w:pPr>
              <w:rPr>
                <w:rFonts w:ascii="Times New Roman" w:hAnsi="Times New Roman"/>
                <w:b w:val="0"/>
                <w:i w:val="0"/>
                <w:sz w:val="18"/>
              </w:rPr>
            </w:pPr>
            <w:r>
              <w:rPr>
                <w:rFonts w:ascii="Times New Roman" w:hAnsi="Times New Roman"/>
                <w:b w:val="0"/>
                <w:i w:val="0"/>
                <w:sz w:val="18"/>
              </w:rPr>
              <w:t>—</w:t>
            </w:r>
          </w:p>
        </w:tc>
        <w:tc>
          <w:tcPr>
            <w:tcW w:w="3216" w:type="dxa"/>
            <w:gridSpan w:val="2"/>
          </w:tcPr>
          <w:p w14:paraId="5C4A42B6">
            <w:pPr>
              <w:rPr>
                <w:rFonts w:ascii="Times New Roman" w:hAnsi="Times New Roman"/>
                <w:b w:val="0"/>
                <w:i w:val="0"/>
                <w:sz w:val="18"/>
              </w:rPr>
            </w:pPr>
            <w:r>
              <w:rPr>
                <w:rFonts w:ascii="Times New Roman" w:hAnsi="Times New Roman"/>
                <w:b w:val="0"/>
                <w:i w:val="0"/>
                <w:sz w:val="18"/>
              </w:rPr>
              <w:t>0.177</w:t>
            </w:r>
          </w:p>
        </w:tc>
      </w:tr>
      <w:tr w14:paraId="2E0B2EE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 w:type="dxa"/>
          <w:jc w:val="center"/>
        </w:trPr>
        <w:tc>
          <w:tcPr>
            <w:tcW w:w="3216" w:type="dxa"/>
            <w:gridSpan w:val="2"/>
          </w:tcPr>
          <w:p w14:paraId="0E9772A8">
            <w:pPr>
              <w:rPr>
                <w:rFonts w:ascii="Times New Roman" w:hAnsi="Times New Roman"/>
                <w:b w:val="0"/>
                <w:i w:val="0"/>
                <w:sz w:val="18"/>
              </w:rPr>
            </w:pPr>
            <w:r>
              <w:rPr>
                <w:rFonts w:ascii="Times New Roman" w:hAnsi="Times New Roman"/>
                <w:b w:val="0"/>
                <w:i w:val="0"/>
                <w:sz w:val="18"/>
              </w:rPr>
              <w:t>Moderate-to-severe insomnia prevalence</w:t>
            </w:r>
          </w:p>
        </w:tc>
        <w:tc>
          <w:tcPr>
            <w:tcW w:w="3216" w:type="dxa"/>
            <w:gridSpan w:val="3"/>
          </w:tcPr>
          <w:p w14:paraId="788160F6">
            <w:pPr>
              <w:rPr>
                <w:rFonts w:ascii="Times New Roman" w:hAnsi="Times New Roman"/>
                <w:b w:val="0"/>
                <w:i w:val="0"/>
                <w:sz w:val="18"/>
              </w:rPr>
            </w:pPr>
            <w:r>
              <w:rPr>
                <w:rFonts w:ascii="Times New Roman" w:hAnsi="Times New Roman"/>
                <w:b w:val="0"/>
                <w:i w:val="0"/>
                <w:sz w:val="18"/>
              </w:rPr>
              <w:t>29.8%</w:t>
            </w:r>
          </w:p>
        </w:tc>
        <w:tc>
          <w:tcPr>
            <w:tcW w:w="3216" w:type="dxa"/>
            <w:gridSpan w:val="2"/>
          </w:tcPr>
          <w:p w14:paraId="2A73E5B3">
            <w:pPr>
              <w:rPr>
                <w:rFonts w:ascii="Times New Roman" w:hAnsi="Times New Roman"/>
                <w:b w:val="0"/>
                <w:i w:val="0"/>
                <w:sz w:val="18"/>
              </w:rPr>
            </w:pPr>
            <w:r>
              <w:rPr>
                <w:rFonts w:ascii="Times New Roman" w:hAnsi="Times New Roman"/>
                <w:b w:val="0"/>
                <w:i w:val="0"/>
                <w:sz w:val="18"/>
              </w:rPr>
              <w:t>30.7%</w:t>
            </w:r>
          </w:p>
        </w:tc>
      </w:tr>
    </w:tbl>
    <w:p w14:paraId="05E426C9">
      <w:pPr>
        <w:spacing w:after="160"/>
      </w:pPr>
      <w:r>
        <w:rPr>
          <w:b w:val="0"/>
          <w:i/>
          <w:sz w:val="18"/>
        </w:rPr>
        <w:t>Notes: The screened-subsample model was re-fit from scratch on a fresh stratified random split of the screened subsample (same 88:12 ratio and random seed logic as the primary analysis), not merely re-evaluated using the full-sample model's coefficients. All four key predictor associations retained the same direction and statistical significance (or gained significance, for average night shifts 4–8 per month) in the screened subsample, with point estimates similar to or modestly larger than the full-sample estimates, indicating that straight-line responding did not spuriously generate the reported associations. OR = odds ratio; CI = confidence interval; CAAS = Career Adapt-Abilities Scale; CHSS = Challenge- and Hindrance-Related Self-Reported Stress.</w:t>
      </w:r>
    </w:p>
    <w:p w14:paraId="3F3E70A3">
      <w:pPr>
        <w:spacing w:after="160"/>
        <w:rPr>
          <w:rFonts w:hint="eastAsia" w:eastAsia="宋体"/>
          <w:b w:val="0"/>
          <w:i/>
          <w:sz w:val="18"/>
          <w:lang w:val="en-US" w:eastAsia="zh-CN"/>
        </w:rPr>
      </w:pPr>
    </w:p>
    <w:p w14:paraId="2890479F">
      <w:pPr>
        <w:spacing w:before="200"/>
        <w:rPr>
          <w:rFonts w:hint="eastAsia" w:eastAsia="宋体"/>
          <w:lang w:eastAsia="zh-CN"/>
        </w:rPr>
      </w:pPr>
      <w:r>
        <w:rPr>
          <w:b/>
          <w:sz w:val="26"/>
        </w:rPr>
        <w:t>Supplementary Table S</w:t>
      </w:r>
      <w:r>
        <w:rPr>
          <w:rFonts w:hint="eastAsia" w:eastAsia="宋体"/>
          <w:b/>
          <w:sz w:val="26"/>
          <w:lang w:val="en-US" w:eastAsia="zh-CN"/>
        </w:rPr>
        <w:t>5</w:t>
      </w:r>
    </w:p>
    <w:p w14:paraId="463BB345">
      <w:pPr>
        <w:spacing w:after="160"/>
      </w:pPr>
      <w:r>
        <w:rPr>
          <w:b w:val="0"/>
          <w:i/>
          <w:sz w:val="21"/>
        </w:rPr>
        <w:t>Sensitivity of the four-predictor model to the ISI cut-off (same split and predictors; training n = 1,917; test n = 262).</w:t>
      </w:r>
    </w:p>
    <w:tbl>
      <w:tblPr>
        <w:tblStyle w:val="33"/>
        <w:tblW w:w="0" w:type="auto"/>
        <w:jc w:val="center"/>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37"/>
        <w:gridCol w:w="1326"/>
        <w:gridCol w:w="1362"/>
        <w:gridCol w:w="1151"/>
        <w:gridCol w:w="2194"/>
        <w:gridCol w:w="2194"/>
      </w:tblGrid>
      <w:tr w14:paraId="25C99FC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00" w:type="dxa"/>
            <w:tcBorders>
              <w:bottom w:val="single" w:color="auto" w:sz="4" w:space="0"/>
            </w:tcBorders>
          </w:tcPr>
          <w:p w14:paraId="6CE68306">
            <w:r>
              <w:rPr>
                <w:rFonts w:ascii="Times New Roman" w:hAnsi="Times New Roman"/>
                <w:b/>
                <w:i w:val="0"/>
                <w:sz w:val="18"/>
              </w:rPr>
              <w:t>Outcome definition</w:t>
            </w:r>
          </w:p>
        </w:tc>
        <w:tc>
          <w:tcPr>
            <w:tcW w:w="1300" w:type="dxa"/>
            <w:tcBorders>
              <w:bottom w:val="single" w:color="auto" w:sz="4" w:space="0"/>
            </w:tcBorders>
          </w:tcPr>
          <w:p w14:paraId="55FFCC04">
            <w:r>
              <w:rPr>
                <w:rFonts w:ascii="Times New Roman" w:hAnsi="Times New Roman"/>
                <w:b/>
                <w:i w:val="0"/>
                <w:sz w:val="18"/>
              </w:rPr>
              <w:t>Prevalence, %</w:t>
            </w:r>
          </w:p>
        </w:tc>
        <w:tc>
          <w:tcPr>
            <w:tcW w:w="1400" w:type="dxa"/>
            <w:tcBorders>
              <w:bottom w:val="single" w:color="auto" w:sz="4" w:space="0"/>
            </w:tcBorders>
          </w:tcPr>
          <w:p w14:paraId="0991419C">
            <w:r>
              <w:rPr>
                <w:rFonts w:ascii="Times New Roman" w:hAnsi="Times New Roman"/>
                <w:b/>
                <w:i w:val="0"/>
                <w:sz w:val="18"/>
              </w:rPr>
              <w:t>Events (training)</w:t>
            </w:r>
          </w:p>
        </w:tc>
        <w:tc>
          <w:tcPr>
            <w:tcW w:w="1200" w:type="dxa"/>
            <w:tcBorders>
              <w:bottom w:val="single" w:color="auto" w:sz="4" w:space="0"/>
            </w:tcBorders>
          </w:tcPr>
          <w:p w14:paraId="56C64685">
            <w:r>
              <w:rPr>
                <w:rFonts w:ascii="Times New Roman" w:hAnsi="Times New Roman"/>
                <w:b/>
                <w:i w:val="0"/>
                <w:sz w:val="18"/>
              </w:rPr>
              <w:t>Test AUC</w:t>
            </w:r>
          </w:p>
        </w:tc>
        <w:tc>
          <w:tcPr>
            <w:tcW w:w="2300" w:type="dxa"/>
            <w:tcBorders>
              <w:bottom w:val="single" w:color="auto" w:sz="4" w:space="0"/>
            </w:tcBorders>
          </w:tcPr>
          <w:p w14:paraId="7350B3DE">
            <w:r>
              <w:rPr>
                <w:rFonts w:ascii="Times New Roman" w:hAnsi="Times New Roman"/>
                <w:b/>
                <w:i w:val="0"/>
                <w:sz w:val="18"/>
              </w:rPr>
              <w:t>OR, &gt;8 vs 0 night shifts (95% CI)</w:t>
            </w:r>
          </w:p>
        </w:tc>
        <w:tc>
          <w:tcPr>
            <w:tcW w:w="2300" w:type="dxa"/>
            <w:tcBorders>
              <w:bottom w:val="single" w:color="auto" w:sz="4" w:space="0"/>
            </w:tcBorders>
          </w:tcPr>
          <w:p w14:paraId="3EC909EF">
            <w:r>
              <w:rPr>
                <w:rFonts w:ascii="Times New Roman" w:hAnsi="Times New Roman"/>
                <w:b/>
                <w:i w:val="0"/>
                <w:sz w:val="18"/>
              </w:rPr>
              <w:t>OR, CHSS-hindrance per point (95% CI)</w:t>
            </w:r>
          </w:p>
        </w:tc>
      </w:tr>
      <w:tr w14:paraId="257A1C1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00" w:type="dxa"/>
            <w:tcBorders>
              <w:top w:val="single" w:color="auto" w:sz="4" w:space="0"/>
            </w:tcBorders>
          </w:tcPr>
          <w:p w14:paraId="73363B86">
            <w:r>
              <w:rPr>
                <w:rFonts w:ascii="Times New Roman" w:hAnsi="Times New Roman"/>
                <w:b w:val="0"/>
                <w:i w:val="0"/>
                <w:sz w:val="18"/>
              </w:rPr>
              <w:t>ISI ≥8</w:t>
            </w:r>
          </w:p>
        </w:tc>
        <w:tc>
          <w:tcPr>
            <w:tcW w:w="1300" w:type="dxa"/>
            <w:tcBorders>
              <w:top w:val="single" w:color="auto" w:sz="4" w:space="0"/>
            </w:tcBorders>
          </w:tcPr>
          <w:p w14:paraId="3C3E5CC3">
            <w:r>
              <w:rPr>
                <w:rFonts w:ascii="Times New Roman" w:hAnsi="Times New Roman"/>
                <w:b w:val="0"/>
                <w:i w:val="0"/>
                <w:sz w:val="18"/>
              </w:rPr>
              <w:t>73.3</w:t>
            </w:r>
          </w:p>
        </w:tc>
        <w:tc>
          <w:tcPr>
            <w:tcW w:w="1400" w:type="dxa"/>
            <w:tcBorders>
              <w:top w:val="single" w:color="auto" w:sz="4" w:space="0"/>
            </w:tcBorders>
          </w:tcPr>
          <w:p w14:paraId="37405A38">
            <w:r>
              <w:rPr>
                <w:rFonts w:ascii="Times New Roman" w:hAnsi="Times New Roman"/>
                <w:b w:val="0"/>
                <w:i w:val="0"/>
                <w:sz w:val="18"/>
              </w:rPr>
              <w:t>1401</w:t>
            </w:r>
          </w:p>
        </w:tc>
        <w:tc>
          <w:tcPr>
            <w:tcW w:w="1200" w:type="dxa"/>
            <w:tcBorders>
              <w:top w:val="single" w:color="auto" w:sz="4" w:space="0"/>
            </w:tcBorders>
          </w:tcPr>
          <w:p w14:paraId="4CF73315">
            <w:r>
              <w:rPr>
                <w:rFonts w:ascii="Times New Roman" w:hAnsi="Times New Roman"/>
                <w:b w:val="0"/>
                <w:i w:val="0"/>
                <w:sz w:val="18"/>
              </w:rPr>
              <w:t>0.780</w:t>
            </w:r>
          </w:p>
        </w:tc>
        <w:tc>
          <w:tcPr>
            <w:tcW w:w="2300" w:type="dxa"/>
            <w:tcBorders>
              <w:top w:val="single" w:color="auto" w:sz="4" w:space="0"/>
            </w:tcBorders>
          </w:tcPr>
          <w:p w14:paraId="140086F6">
            <w:r>
              <w:rPr>
                <w:rFonts w:ascii="Times New Roman" w:hAnsi="Times New Roman"/>
                <w:b w:val="0"/>
                <w:i w:val="0"/>
                <w:sz w:val="18"/>
              </w:rPr>
              <w:t>2.59 (1.84–3.65)</w:t>
            </w:r>
          </w:p>
        </w:tc>
        <w:tc>
          <w:tcPr>
            <w:tcW w:w="2300" w:type="dxa"/>
            <w:tcBorders>
              <w:top w:val="single" w:color="auto" w:sz="4" w:space="0"/>
            </w:tcBorders>
          </w:tcPr>
          <w:p w14:paraId="13626273">
            <w:r>
              <w:rPr>
                <w:rFonts w:ascii="Times New Roman" w:hAnsi="Times New Roman"/>
                <w:b w:val="0"/>
                <w:i w:val="0"/>
                <w:sz w:val="18"/>
              </w:rPr>
              <w:t>2.14 (1.77–2.58)</w:t>
            </w:r>
          </w:p>
        </w:tc>
      </w:tr>
      <w:tr w14:paraId="712C1E7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00" w:type="dxa"/>
          </w:tcPr>
          <w:p w14:paraId="494BEFAC">
            <w:r>
              <w:rPr>
                <w:rFonts w:ascii="Times New Roman" w:hAnsi="Times New Roman"/>
                <w:b w:val="0"/>
                <w:i w:val="0"/>
                <w:sz w:val="18"/>
              </w:rPr>
              <w:t>ISI ≥10</w:t>
            </w:r>
          </w:p>
        </w:tc>
        <w:tc>
          <w:tcPr>
            <w:tcW w:w="1300" w:type="dxa"/>
          </w:tcPr>
          <w:p w14:paraId="1F40AF2B">
            <w:r>
              <w:rPr>
                <w:rFonts w:ascii="Times New Roman" w:hAnsi="Times New Roman"/>
                <w:b w:val="0"/>
                <w:i w:val="0"/>
                <w:sz w:val="18"/>
              </w:rPr>
              <w:t>63.1</w:t>
            </w:r>
          </w:p>
        </w:tc>
        <w:tc>
          <w:tcPr>
            <w:tcW w:w="1400" w:type="dxa"/>
          </w:tcPr>
          <w:p w14:paraId="28AE9C80">
            <w:r>
              <w:rPr>
                <w:rFonts w:ascii="Times New Roman" w:hAnsi="Times New Roman"/>
                <w:b w:val="0"/>
                <w:i w:val="0"/>
                <w:sz w:val="18"/>
              </w:rPr>
              <w:t>1200</w:t>
            </w:r>
          </w:p>
        </w:tc>
        <w:tc>
          <w:tcPr>
            <w:tcW w:w="1200" w:type="dxa"/>
          </w:tcPr>
          <w:p w14:paraId="092B926F">
            <w:r>
              <w:rPr>
                <w:rFonts w:ascii="Times New Roman" w:hAnsi="Times New Roman"/>
                <w:b w:val="0"/>
                <w:i w:val="0"/>
                <w:sz w:val="18"/>
              </w:rPr>
              <w:t>0.787</w:t>
            </w:r>
          </w:p>
        </w:tc>
        <w:tc>
          <w:tcPr>
            <w:tcW w:w="2300" w:type="dxa"/>
          </w:tcPr>
          <w:p w14:paraId="47A8BE5A">
            <w:r>
              <w:rPr>
                <w:rFonts w:ascii="Times New Roman" w:hAnsi="Times New Roman"/>
                <w:b w:val="0"/>
                <w:i w:val="0"/>
                <w:sz w:val="18"/>
              </w:rPr>
              <w:t>2.45 (1.82–3.29)</w:t>
            </w:r>
          </w:p>
        </w:tc>
        <w:tc>
          <w:tcPr>
            <w:tcW w:w="2300" w:type="dxa"/>
          </w:tcPr>
          <w:p w14:paraId="5593530D">
            <w:r>
              <w:rPr>
                <w:rFonts w:ascii="Times New Roman" w:hAnsi="Times New Roman"/>
                <w:b w:val="0"/>
                <w:i w:val="0"/>
                <w:sz w:val="18"/>
              </w:rPr>
              <w:t>2.24 (1.87–2.68)</w:t>
            </w:r>
          </w:p>
        </w:tc>
      </w:tr>
      <w:tr w14:paraId="5362ECC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00" w:type="dxa"/>
          </w:tcPr>
          <w:p w14:paraId="59BB7D57">
            <w:r>
              <w:rPr>
                <w:rFonts w:ascii="Times New Roman" w:hAnsi="Times New Roman"/>
                <w:b w:val="0"/>
                <w:i w:val="0"/>
                <w:sz w:val="18"/>
              </w:rPr>
              <w:t>ISI ≥15</w:t>
            </w:r>
          </w:p>
        </w:tc>
        <w:tc>
          <w:tcPr>
            <w:tcW w:w="1300" w:type="dxa"/>
          </w:tcPr>
          <w:p w14:paraId="0BE3132F">
            <w:r>
              <w:rPr>
                <w:rFonts w:ascii="Times New Roman" w:hAnsi="Times New Roman"/>
                <w:b w:val="0"/>
                <w:i w:val="0"/>
                <w:sz w:val="18"/>
              </w:rPr>
              <w:t>29.8</w:t>
            </w:r>
          </w:p>
        </w:tc>
        <w:tc>
          <w:tcPr>
            <w:tcW w:w="1400" w:type="dxa"/>
          </w:tcPr>
          <w:p w14:paraId="1E538ABA">
            <w:r>
              <w:rPr>
                <w:rFonts w:ascii="Times New Roman" w:hAnsi="Times New Roman"/>
                <w:b w:val="0"/>
                <w:i w:val="0"/>
                <w:sz w:val="18"/>
              </w:rPr>
              <w:t>571</w:t>
            </w:r>
          </w:p>
        </w:tc>
        <w:tc>
          <w:tcPr>
            <w:tcW w:w="1200" w:type="dxa"/>
          </w:tcPr>
          <w:p w14:paraId="5058DB8A">
            <w:r>
              <w:rPr>
                <w:rFonts w:ascii="Times New Roman" w:hAnsi="Times New Roman"/>
                <w:b w:val="0"/>
                <w:i w:val="0"/>
                <w:sz w:val="18"/>
              </w:rPr>
              <w:t>0.766</w:t>
            </w:r>
          </w:p>
        </w:tc>
        <w:tc>
          <w:tcPr>
            <w:tcW w:w="2300" w:type="dxa"/>
          </w:tcPr>
          <w:p w14:paraId="64214EBC">
            <w:r>
              <w:rPr>
                <w:rFonts w:ascii="Times New Roman" w:hAnsi="Times New Roman"/>
                <w:b w:val="0"/>
                <w:i w:val="0"/>
                <w:sz w:val="18"/>
              </w:rPr>
              <w:t>2.37 (1.79–3.15)</w:t>
            </w:r>
          </w:p>
        </w:tc>
        <w:tc>
          <w:tcPr>
            <w:tcW w:w="2300" w:type="dxa"/>
          </w:tcPr>
          <w:p w14:paraId="70E0318F">
            <w:r>
              <w:rPr>
                <w:rFonts w:ascii="Times New Roman" w:hAnsi="Times New Roman"/>
                <w:b w:val="0"/>
                <w:i w:val="0"/>
                <w:sz w:val="18"/>
              </w:rPr>
              <w:t>1.68 (1.38–2.04)</w:t>
            </w:r>
          </w:p>
        </w:tc>
      </w:tr>
      <w:tr w14:paraId="4892F11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00" w:type="dxa"/>
          </w:tcPr>
          <w:p w14:paraId="0BA1D984">
            <w:r>
              <w:rPr>
                <w:rFonts w:ascii="Times New Roman" w:hAnsi="Times New Roman"/>
                <w:b w:val="0"/>
                <w:i w:val="0"/>
                <w:sz w:val="18"/>
              </w:rPr>
              <w:t>ISI ≥22</w:t>
            </w:r>
          </w:p>
        </w:tc>
        <w:tc>
          <w:tcPr>
            <w:tcW w:w="1300" w:type="dxa"/>
          </w:tcPr>
          <w:p w14:paraId="16A253F4">
            <w:r>
              <w:rPr>
                <w:rFonts w:ascii="Times New Roman" w:hAnsi="Times New Roman"/>
                <w:b w:val="0"/>
                <w:i w:val="0"/>
                <w:sz w:val="18"/>
              </w:rPr>
              <w:t>7.3</w:t>
            </w:r>
          </w:p>
        </w:tc>
        <w:tc>
          <w:tcPr>
            <w:tcW w:w="1400" w:type="dxa"/>
          </w:tcPr>
          <w:p w14:paraId="5BF0BCDD">
            <w:r>
              <w:rPr>
                <w:rFonts w:ascii="Times New Roman" w:hAnsi="Times New Roman"/>
                <w:b w:val="0"/>
                <w:i w:val="0"/>
                <w:sz w:val="18"/>
              </w:rPr>
              <w:t>142</w:t>
            </w:r>
          </w:p>
        </w:tc>
        <w:tc>
          <w:tcPr>
            <w:tcW w:w="1200" w:type="dxa"/>
          </w:tcPr>
          <w:p w14:paraId="2D6CCC3C">
            <w:r>
              <w:rPr>
                <w:rFonts w:ascii="Times New Roman" w:hAnsi="Times New Roman"/>
                <w:b w:val="0"/>
                <w:i w:val="0"/>
                <w:sz w:val="18"/>
              </w:rPr>
              <w:t>0.787</w:t>
            </w:r>
          </w:p>
        </w:tc>
        <w:tc>
          <w:tcPr>
            <w:tcW w:w="2300" w:type="dxa"/>
          </w:tcPr>
          <w:p w14:paraId="25E9AC6E">
            <w:r>
              <w:rPr>
                <w:rFonts w:ascii="Times New Roman" w:hAnsi="Times New Roman"/>
                <w:b w:val="0"/>
                <w:i w:val="0"/>
                <w:sz w:val="18"/>
              </w:rPr>
              <w:t>4.49 (2.67–7.54)</w:t>
            </w:r>
          </w:p>
        </w:tc>
        <w:tc>
          <w:tcPr>
            <w:tcW w:w="2300" w:type="dxa"/>
          </w:tcPr>
          <w:p w14:paraId="1E8902C0">
            <w:r>
              <w:rPr>
                <w:rFonts w:ascii="Times New Roman" w:hAnsi="Times New Roman"/>
                <w:b w:val="0"/>
                <w:i w:val="0"/>
                <w:sz w:val="18"/>
              </w:rPr>
              <w:t>1.47 (1.04–2.07)</w:t>
            </w:r>
          </w:p>
        </w:tc>
      </w:tr>
    </w:tbl>
    <w:p w14:paraId="038059D8">
      <w:pPr>
        <w:spacing w:after="80"/>
      </w:pPr>
      <w:r>
        <w:rPr>
          <w:b/>
          <w:i w:val="0"/>
          <w:sz w:val="21"/>
        </w:rPr>
        <w:t>Other sensitivity analyses</w:t>
      </w:r>
    </w:p>
    <w:p w14:paraId="1EA48D14">
      <w:pPr>
        <w:spacing w:after="160"/>
        <w:rPr>
          <w:b w:val="0"/>
          <w:i/>
          <w:sz w:val="18"/>
        </w:rPr>
      </w:pPr>
      <w:r>
        <w:rPr>
          <w:b w:val="0"/>
          <w:i/>
          <w:sz w:val="18"/>
        </w:rPr>
        <w:t>Candidate set extended with the PES-NWI, PPFI and TSNGNS: Boruta confirmed age, years of experience, CAAS, CHSS-challenge, CHSS-hindrance, night shifts, PPFI, PES-NWI and TSNGNS; LASSO (1-SE) retained night shifts, CAAS, CHSS-challenge, CHSS-hindrance, years of experience, PPFI and PES-NWI. Test-set AUC of the four-predictor model with ordinal night-shift coding 0.755; adding PPFI 0.754; LASSO-selected extended set 0.772. Likelihood-ratio tests against 4-df restricted cubic splines: CAAS χ²(3) = 5.77, P = 0.123; CHSS-challenge χ²(3) = 8.51, P = 0.037; CHSS-hindrance χ²(3) = 8.71, P = 0.033. Interaction terms (challenge × hindrance; any night shift × hindrance): χ²(2) = 3.36, P = 0.186. Prevalence of moderate-to-severe insomnia in participants flagged versus not flagged for straight-line responding: 28.8% vs 30.7% (P = 0.36).</w:t>
      </w:r>
    </w:p>
    <w:p w14:paraId="62E7FEC9">
      <w:pPr>
        <w:spacing w:before="200"/>
        <w:rPr>
          <w:rFonts w:hint="default"/>
          <w:b/>
          <w:sz w:val="26"/>
          <w:lang w:val="en-US" w:eastAsia="zh-CN"/>
        </w:rPr>
      </w:pPr>
      <w:r>
        <w:rPr>
          <w:b/>
          <w:sz w:val="26"/>
        </w:rPr>
        <w:t>Supplementary</w:t>
      </w:r>
      <w:r>
        <w:rPr>
          <w:rFonts w:hint="eastAsia" w:eastAsia="宋体"/>
          <w:b/>
          <w:sz w:val="26"/>
          <w:lang w:val="en-US" w:eastAsia="zh-CN"/>
        </w:rPr>
        <w:t xml:space="preserve"> f</w:t>
      </w:r>
      <w:r>
        <w:rPr>
          <w:rFonts w:hint="eastAsia"/>
          <w:b/>
          <w:sz w:val="26"/>
          <w:lang w:val="en-US" w:eastAsia="zh-CN"/>
        </w:rPr>
        <w:t xml:space="preserve">igure s1 </w:t>
      </w:r>
    </w:p>
    <w:p w14:paraId="37533441">
      <w:pPr>
        <w:spacing w:after="160"/>
        <w:rPr>
          <w:rFonts w:hint="eastAsia" w:eastAsia="宋体"/>
          <w:b w:val="0"/>
          <w:i/>
          <w:sz w:val="18"/>
          <w:lang w:eastAsia="zh-CN"/>
        </w:rPr>
      </w:pPr>
      <w:r>
        <w:rPr>
          <w:rFonts w:hint="eastAsia" w:eastAsia="宋体"/>
          <w:b w:val="0"/>
          <w:i/>
          <w:sz w:val="18"/>
          <w:lang w:eastAsia="zh-CN"/>
        </w:rPr>
        <w:drawing>
          <wp:inline distT="0" distB="0" distL="114300" distR="114300">
            <wp:extent cx="6125210" cy="3324860"/>
            <wp:effectExtent l="0" t="0" r="8890" b="8890"/>
            <wp:docPr id="1" name="图片 1" descr="FigureS1_nom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ureS1_nomogram"/>
                    <pic:cNvPicPr>
                      <a:picLocks noChangeAspect="1"/>
                    </pic:cNvPicPr>
                  </pic:nvPicPr>
                  <pic:blipFill>
                    <a:blip r:embed="rId6"/>
                    <a:stretch>
                      <a:fillRect/>
                    </a:stretch>
                  </pic:blipFill>
                  <pic:spPr>
                    <a:xfrm>
                      <a:off x="0" y="0"/>
                      <a:ext cx="6125210" cy="3324860"/>
                    </a:xfrm>
                    <a:prstGeom prst="rect">
                      <a:avLst/>
                    </a:prstGeom>
                  </pic:spPr>
                </pic:pic>
              </a:graphicData>
            </a:graphic>
          </wp:inline>
        </w:drawing>
      </w:r>
    </w:p>
    <w:sectPr>
      <w:pgSz w:w="12240" w:h="15840"/>
      <w:pgMar w:top="1440" w:right="1296" w:bottom="1440" w:left="1296"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ＭＳ 明朝">
    <w:altName w:val="仓耳玄三01简繁 W01"/>
    <w:panose1 w:val="00000000000000000000"/>
    <w:charset w:val="80"/>
    <w:family w:val="roman"/>
    <w:pitch w:val="default"/>
    <w:sig w:usb0="00000000" w:usb1="00000000" w:usb2="00000010" w:usb3="00000000" w:csb0="00020000" w:csb1="00000000"/>
  </w:font>
  <w:font w:name="仓耳玄三01简繁 W01">
    <w:panose1 w:val="02020400000000000000"/>
    <w:charset w:val="80"/>
    <w:family w:val="auto"/>
    <w:pitch w:val="default"/>
    <w:sig w:usb0="800002BF" w:usb1="184D64F8" w:usb2="00000012" w:usb3="00000000" w:csb0="00020001"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Cambria">
    <w:panose1 w:val="02040503050406030204"/>
    <w:charset w:val="00"/>
    <w:family w:val="auto"/>
    <w:pitch w:val="default"/>
    <w:sig w:usb0="E00006FF" w:usb1="420024FF" w:usb2="02000000" w:usb3="00000000" w:csb0="2000019F"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51C2CDE"/>
    <w:rsid w:val="4A3E05CE"/>
    <w:rsid w:val="53327DFB"/>
    <w:rsid w:val="536E3CD2"/>
    <w:rsid w:val="6EC9070C"/>
    <w:rsid w:val="7FBF128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120" w:line="276" w:lineRule="auto"/>
    </w:pPr>
    <w:rPr>
      <w:rFonts w:ascii="Times New Roman" w:hAnsi="Times New Roman" w:eastAsiaTheme="minorEastAsia" w:cstheme="minorBidi"/>
      <w:sz w:val="22"/>
      <w:szCs w:val="22"/>
      <w:lang w:val="en-US" w:eastAsia="en-US" w:bidi="ar-SA"/>
    </w:rPr>
  </w:style>
  <w:style w:type="paragraph" w:styleId="3">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0"/>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3">
    <w:name w:val="Default Paragraph Font"/>
    <w:semiHidden/>
    <w:unhideWhenUsed/>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2">
    <w:name w:val="macro"/>
    <w:link w:val="148"/>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7"/>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5"/>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7"/>
    <w:unhideWhenUsed/>
    <w:uiPriority w:val="99"/>
    <w:pPr>
      <w:tabs>
        <w:tab w:val="center" w:pos="4680"/>
        <w:tab w:val="right" w:pos="9360"/>
      </w:tabs>
      <w:spacing w:after="0" w:line="240" w:lineRule="auto"/>
    </w:pPr>
  </w:style>
  <w:style w:type="paragraph" w:styleId="25">
    <w:name w:val="header"/>
    <w:basedOn w:val="1"/>
    <w:link w:val="136"/>
    <w:unhideWhenUsed/>
    <w:qFormat/>
    <w:uiPriority w:val="99"/>
    <w:pPr>
      <w:tabs>
        <w:tab w:val="center" w:pos="4680"/>
        <w:tab w:val="right" w:pos="9360"/>
      </w:tabs>
      <w:spacing w:after="0" w:line="240" w:lineRule="auto"/>
    </w:pPr>
  </w:style>
  <w:style w:type="paragraph" w:styleId="26">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6"/>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31">
    <w:name w:val="List Continue 3"/>
    <w:basedOn w:val="1"/>
    <w:unhideWhenUsed/>
    <w:qFormat/>
    <w:uiPriority w:val="99"/>
    <w:pPr>
      <w:spacing w:after="120"/>
      <w:ind w:left="1080"/>
      <w:contextualSpacing/>
    </w:pPr>
  </w:style>
  <w:style w:type="paragraph" w:styleId="32">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4">
    <w:name w:val="Table Grid"/>
    <w:basedOn w:val="3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5">
    <w:name w:val="Light Shading"/>
    <w:basedOn w:val="33"/>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6">
    <w:name w:val="Light Shading Accent 1"/>
    <w:basedOn w:val="33"/>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7">
    <w:name w:val="Light Shading Accent 2"/>
    <w:basedOn w:val="33"/>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8">
    <w:name w:val="Light Shading Accent 3"/>
    <w:basedOn w:val="33"/>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9">
    <w:name w:val="Light Shading Accent 4"/>
    <w:basedOn w:val="33"/>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0">
    <w:name w:val="Light Shading Accent 5"/>
    <w:basedOn w:val="33"/>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1">
    <w:name w:val="Light Shading Accent 6"/>
    <w:basedOn w:val="33"/>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2">
    <w:name w:val="Light List"/>
    <w:basedOn w:val="33"/>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3">
    <w:name w:val="Light List Accent 1"/>
    <w:basedOn w:val="33"/>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4">
    <w:name w:val="Light List Accent 2"/>
    <w:basedOn w:val="33"/>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5">
    <w:name w:val="Light List Accent 3"/>
    <w:basedOn w:val="33"/>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6">
    <w:name w:val="Light List Accent 4"/>
    <w:basedOn w:val="33"/>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7">
    <w:name w:val="Light List Accent 5"/>
    <w:basedOn w:val="33"/>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8">
    <w:name w:val="Light List Accent 6"/>
    <w:basedOn w:val="33"/>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9">
    <w:name w:val="Light Grid"/>
    <w:basedOn w:val="33"/>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0">
    <w:name w:val="Light Grid Accent 1"/>
    <w:basedOn w:val="33"/>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1">
    <w:name w:val="Light Grid Accent 2"/>
    <w:basedOn w:val="33"/>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2">
    <w:name w:val="Light Grid Accent 3"/>
    <w:basedOn w:val="33"/>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3">
    <w:name w:val="Light Grid Accent 4"/>
    <w:basedOn w:val="33"/>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4">
    <w:name w:val="Light Grid Accent 5"/>
    <w:basedOn w:val="33"/>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5">
    <w:name w:val="Light Grid Accent 6"/>
    <w:basedOn w:val="33"/>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6">
    <w:name w:val="Medium Shading 1"/>
    <w:basedOn w:val="33"/>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7">
    <w:name w:val="Medium Shading 1 Accent 1"/>
    <w:basedOn w:val="33"/>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8">
    <w:name w:val="Medium Shading 1 Accent 2"/>
    <w:basedOn w:val="33"/>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9">
    <w:name w:val="Medium Shading 1 Accent 3"/>
    <w:basedOn w:val="33"/>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0">
    <w:name w:val="Medium Shading 1 Accent 4"/>
    <w:basedOn w:val="33"/>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1">
    <w:name w:val="Medium Shading 1 Accent 5"/>
    <w:basedOn w:val="33"/>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2">
    <w:name w:val="Medium Shading 1 Accent 6"/>
    <w:basedOn w:val="33"/>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3">
    <w:name w:val="Medium Shading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1"/>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3"/>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4"/>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5"/>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6"/>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List 1"/>
    <w:basedOn w:val="33"/>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1">
    <w:name w:val="Medium List 1 Accent 1"/>
    <w:basedOn w:val="33"/>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2">
    <w:name w:val="Medium List 1 Accent 2"/>
    <w:basedOn w:val="33"/>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3">
    <w:name w:val="Medium List 1 Accent 3"/>
    <w:basedOn w:val="33"/>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4">
    <w:name w:val="Medium List 1 Accent 4"/>
    <w:basedOn w:val="33"/>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5">
    <w:name w:val="Medium List 1 Accent 5"/>
    <w:basedOn w:val="33"/>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6">
    <w:name w:val="Medium List 1 Accent 6"/>
    <w:basedOn w:val="33"/>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7">
    <w:name w:val="Medium Lis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1"/>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3"/>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4"/>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5"/>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6"/>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Grid 1"/>
    <w:basedOn w:val="33"/>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5">
    <w:name w:val="Medium Grid 1 Accent 1"/>
    <w:basedOn w:val="33"/>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6">
    <w:name w:val="Medium Grid 1 Accent 2"/>
    <w:basedOn w:val="33"/>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7">
    <w:name w:val="Medium Grid 1 Accent 3"/>
    <w:basedOn w:val="33"/>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8">
    <w:name w:val="Medium Grid 1 Accent 4"/>
    <w:basedOn w:val="33"/>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9">
    <w:name w:val="Medium Grid 1 Accent 5"/>
    <w:basedOn w:val="33"/>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0">
    <w:name w:val="Medium Grid 1 Accent 6"/>
    <w:basedOn w:val="33"/>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2">
    <w:name w:val="Medium Grid 2 Accent 1"/>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3">
    <w:name w:val="Medium Grid 2 Accent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8">
    <w:name w:val="Medium Grid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9">
    <w:name w:val="Medium Grid 3 Accent 1"/>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0">
    <w:name w:val="Medium Grid 3 Accent 2"/>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1">
    <w:name w:val="Medium Grid 3 Accent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2">
    <w:name w:val="Medium Grid 3 Accent 4"/>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3">
    <w:name w:val="Medium Grid 3 Accent 5"/>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4">
    <w:name w:val="Medium Grid 3 Accent 6"/>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5">
    <w:name w:val="Dark List"/>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6">
    <w:name w:val="Dark List Accent 1"/>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7">
    <w:name w:val="Dark List Accent 2"/>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8">
    <w:name w:val="Dark List Accent 3"/>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9">
    <w:name w:val="Dark List Accent 4"/>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0">
    <w:name w:val="Dark List Accent 5"/>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1">
    <w:name w:val="Dark List Accent 6"/>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2">
    <w:name w:val="Colorful Shading"/>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1"/>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2"/>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3"/>
    <w:basedOn w:val="33"/>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6">
    <w:name w:val="Colorful Shading Accent 4"/>
    <w:basedOn w:val="33"/>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5"/>
    <w:basedOn w:val="33"/>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6"/>
    <w:basedOn w:val="33"/>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List"/>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0">
    <w:name w:val="Colorful List Accent 1"/>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1">
    <w:name w:val="Colorful List Accent 2"/>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2">
    <w:name w:val="Colorful List Accent 3"/>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3">
    <w:name w:val="Colorful List Accent 4"/>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4">
    <w:name w:val="Colorful List Accent 5"/>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5">
    <w:name w:val="Colorful List Accent 6"/>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6">
    <w:name w:val="Colorful Grid"/>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7">
    <w:name w:val="Colorful Grid Accent 1"/>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8">
    <w:name w:val="Colorful Grid Accent 2"/>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9">
    <w:name w:val="Colorful Grid Accent 3"/>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0">
    <w:name w:val="Colorful Grid Accent 4"/>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1">
    <w:name w:val="Colorful Grid Accent 5"/>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2">
    <w:name w:val="Colorful Grid Accent 6"/>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4">
    <w:name w:val="Strong"/>
    <w:basedOn w:val="133"/>
    <w:qFormat/>
    <w:uiPriority w:val="22"/>
    <w:rPr>
      <w:b/>
      <w:bCs/>
    </w:rPr>
  </w:style>
  <w:style w:type="character" w:styleId="135">
    <w:name w:val="Emphasis"/>
    <w:basedOn w:val="133"/>
    <w:qFormat/>
    <w:uiPriority w:val="20"/>
    <w:rPr>
      <w:i/>
      <w:iCs/>
    </w:rPr>
  </w:style>
  <w:style w:type="character" w:customStyle="1" w:styleId="136">
    <w:name w:val="Header Char"/>
    <w:basedOn w:val="133"/>
    <w:link w:val="25"/>
    <w:qFormat/>
    <w:uiPriority w:val="99"/>
  </w:style>
  <w:style w:type="character" w:customStyle="1" w:styleId="137">
    <w:name w:val="Footer Char"/>
    <w:basedOn w:val="133"/>
    <w:link w:val="24"/>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33"/>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33"/>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33"/>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33"/>
    <w:link w:val="32"/>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33"/>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33"/>
    <w:link w:val="19"/>
    <w:qFormat/>
    <w:uiPriority w:val="99"/>
  </w:style>
  <w:style w:type="character" w:customStyle="1" w:styleId="146">
    <w:name w:val="Body Text 2 Char"/>
    <w:basedOn w:val="133"/>
    <w:link w:val="28"/>
    <w:qFormat/>
    <w:uiPriority w:val="99"/>
  </w:style>
  <w:style w:type="character" w:customStyle="1" w:styleId="147">
    <w:name w:val="Body Text 3 Char"/>
    <w:basedOn w:val="133"/>
    <w:link w:val="17"/>
    <w:qFormat/>
    <w:uiPriority w:val="99"/>
    <w:rPr>
      <w:sz w:val="16"/>
      <w:szCs w:val="16"/>
    </w:rPr>
  </w:style>
  <w:style w:type="character" w:customStyle="1" w:styleId="148">
    <w:name w:val="Macro Text Char"/>
    <w:basedOn w:val="133"/>
    <w:link w:val="2"/>
    <w:qFormat/>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33"/>
    <w:link w:val="149"/>
    <w:qFormat/>
    <w:uiPriority w:val="29"/>
    <w:rPr>
      <w:i/>
      <w:iCs/>
      <w:color w:val="000000" w:themeColor="text1"/>
      <w14:textFill>
        <w14:solidFill>
          <w14:schemeClr w14:val="tx1"/>
        </w14:solidFill>
      </w14:textFill>
    </w:rPr>
  </w:style>
  <w:style w:type="character" w:customStyle="1" w:styleId="151">
    <w:name w:val="Heading 4 Char"/>
    <w:basedOn w:val="133"/>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33"/>
    <w:link w:val="7"/>
    <w:semiHidden/>
    <w:qFormat/>
    <w:uiPriority w:val="9"/>
    <w:rPr>
      <w:rFonts w:asciiTheme="majorHAnsi" w:hAnsiTheme="majorHAnsi" w:eastAsiaTheme="majorEastAsia" w:cstheme="majorBidi"/>
      <w:color w:val="254061" w:themeColor="accent1" w:themeShade="80"/>
    </w:rPr>
  </w:style>
  <w:style w:type="character" w:customStyle="1" w:styleId="153">
    <w:name w:val="Heading 6 Char"/>
    <w:basedOn w:val="133"/>
    <w:link w:val="8"/>
    <w:semiHidden/>
    <w:qFormat/>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33"/>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33"/>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33"/>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33"/>
    <w:link w:val="157"/>
    <w:qFormat/>
    <w:uiPriority w:val="30"/>
    <w:rPr>
      <w:b/>
      <w:bCs/>
      <w:i/>
      <w:iCs/>
      <w:color w:val="4F81BD" w:themeColor="accent1"/>
      <w14:textFill>
        <w14:solidFill>
          <w14:schemeClr w14:val="accent1"/>
        </w14:solidFill>
      </w14:textFill>
    </w:rPr>
  </w:style>
  <w:style w:type="character" w:customStyle="1" w:styleId="159">
    <w:name w:val="Subtle Emphasis"/>
    <w:basedOn w:val="133"/>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33"/>
    <w:qFormat/>
    <w:uiPriority w:val="21"/>
    <w:rPr>
      <w:b/>
      <w:bCs/>
      <w:i/>
      <w:iCs/>
      <w:color w:val="4F81BD" w:themeColor="accent1"/>
      <w14:textFill>
        <w14:solidFill>
          <w14:schemeClr w14:val="accent1"/>
        </w14:solidFill>
      </w14:textFill>
    </w:rPr>
  </w:style>
  <w:style w:type="character" w:customStyle="1" w:styleId="161">
    <w:name w:val="Subtle Reference"/>
    <w:basedOn w:val="133"/>
    <w:qFormat/>
    <w:uiPriority w:val="31"/>
    <w:rPr>
      <w:smallCaps/>
      <w:color w:val="C0504D" w:themeColor="accent2"/>
      <w:u w:val="single"/>
      <w14:textFill>
        <w14:solidFill>
          <w14:schemeClr w14:val="accent2"/>
        </w14:solidFill>
      </w14:textFill>
    </w:rPr>
  </w:style>
  <w:style w:type="character" w:customStyle="1" w:styleId="162">
    <w:name w:val="Intense Reference"/>
    <w:basedOn w:val="133"/>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33"/>
    <w:qFormat/>
    <w:uiPriority w:val="33"/>
    <w:rPr>
      <w:b/>
      <w:bCs/>
      <w:smallCaps/>
      <w:spacing w:val="5"/>
    </w:rPr>
  </w:style>
  <w:style w:type="paragraph" w:customStyle="1" w:styleId="164">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1611</Words>
  <Characters>9498</Characters>
  <Lines>0</Lines>
  <Paragraphs>0</Paragraphs>
  <TotalTime>3</TotalTime>
  <ScaleCrop>false</ScaleCrop>
  <LinksUpToDate>false</LinksUpToDate>
  <CharactersWithSpaces>10798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评阅人</cp:lastModifiedBy>
  <dcterms:modified xsi:type="dcterms:W3CDTF">2026-10-05T03:03:22Z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eyJoZGlkIjoiNmQzNDQ1ZWUzMDM3NzBhMTkwNTNiZjRiOWEwZTRmZjMiLCJ1c2VySWQiOiIzMzM4NzU5NDAifQ==</vt:lpwstr>
  </property>
  <property fmtid="{D5CDD505-2E9C-101B-9397-08002B2CF9AE}" pid="3" name="KSOProductBuildVer">
    <vt:lpwstr>2052-12.1.0.28505</vt:lpwstr>
  </property>
  <property fmtid="{D5CDD505-2E9C-101B-9397-08002B2CF9AE}" pid="4" name="ICV">
    <vt:lpwstr>74F292C6CC514642A65C077648775E9E_12</vt:lpwstr>
  </property>
</Properties>
</file>