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B31E70" w14:textId="77777777" w:rsidR="00C74318" w:rsidRDefault="00E641A9">
      <w:pPr>
        <w:pStyle w:val="Title"/>
        <w:jc w:val="center"/>
      </w:pPr>
      <w:r>
        <w:t>Supplementary Material</w:t>
      </w:r>
    </w:p>
    <w:p w14:paraId="12A38469" w14:textId="77777777" w:rsidR="00C74318" w:rsidRDefault="00E641A9">
      <w:pPr>
        <w:pStyle w:val="Subtitle"/>
        <w:jc w:val="center"/>
      </w:pPr>
      <w:r>
        <w:t>International case studies underpinning the expanded health financing framework for Somalia</w:t>
      </w:r>
    </w:p>
    <w:p w14:paraId="261B5BD4" w14:textId="77777777" w:rsidR="00C74318" w:rsidRDefault="00E641A9">
      <w:pPr>
        <w:jc w:val="center"/>
      </w:pPr>
      <w:r>
        <w:rPr>
          <w:rFonts w:ascii="Arial" w:hAnsi="Arial"/>
          <w:b/>
          <w:color w:val="0F6164"/>
          <w:sz w:val="18"/>
        </w:rPr>
        <w:t>SUPPLEMENTARY TABLES S1–S2</w:t>
      </w:r>
    </w:p>
    <w:p w14:paraId="029EA9E3" w14:textId="77777777" w:rsidR="00C74318" w:rsidRDefault="00E641A9">
      <w:pPr>
        <w:pStyle w:val="Caption"/>
      </w:pPr>
      <w:r>
        <w:t>Supplementary Table S1. Comparative international experiences in conventional health financing mechanisms relevant to Somalia</w:t>
      </w:r>
    </w:p>
    <w:tbl>
      <w:tblPr>
        <w:tblW w:w="0" w:type="auto"/>
        <w:jc w:val="center"/>
        <w:tblBorders>
          <w:top w:val="single" w:sz="6" w:space="0" w:color="8A9AA3"/>
          <w:left w:val="single" w:sz="6" w:space="0" w:color="8A9AA3"/>
          <w:bottom w:val="single" w:sz="6" w:space="0" w:color="8A9AA3"/>
          <w:right w:val="single" w:sz="6" w:space="0" w:color="8A9AA3"/>
          <w:insideH w:val="single" w:sz="6" w:space="0" w:color="8A9AA3"/>
          <w:insideV w:val="single" w:sz="6" w:space="0" w:color="8A9AA3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3096"/>
        <w:gridCol w:w="7560"/>
      </w:tblGrid>
      <w:tr w:rsidR="00C74318" w14:paraId="70D93D3A" w14:textId="77777777">
        <w:trPr>
          <w:tblHeader/>
          <w:jc w:val="center"/>
        </w:trPr>
        <w:tc>
          <w:tcPr>
            <w:tcW w:w="1872" w:type="dxa"/>
            <w:shd w:val="clear" w:color="auto" w:fill="0F616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E82316" w14:textId="77777777" w:rsidR="00C74318" w:rsidRDefault="00E641A9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Jurisdiction</w:t>
            </w:r>
          </w:p>
        </w:tc>
        <w:tc>
          <w:tcPr>
            <w:tcW w:w="3096" w:type="dxa"/>
            <w:shd w:val="clear" w:color="auto" w:fill="0F616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96D09F" w14:textId="77777777" w:rsidR="00C74318" w:rsidRDefault="00E641A9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Focal financing mechanism</w:t>
            </w:r>
          </w:p>
        </w:tc>
        <w:tc>
          <w:tcPr>
            <w:tcW w:w="7560" w:type="dxa"/>
            <w:shd w:val="clear" w:color="auto" w:fill="0F616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CE3522" w14:textId="77777777" w:rsidR="00C74318" w:rsidRDefault="00E641A9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Institutional relevance to Somalia</w:t>
            </w:r>
          </w:p>
        </w:tc>
      </w:tr>
      <w:tr w:rsidR="00C74318" w14:paraId="34108C26" w14:textId="77777777">
        <w:trPr>
          <w:jc w:val="center"/>
        </w:trPr>
        <w:tc>
          <w:tcPr>
            <w:tcW w:w="18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0EDF24" w14:textId="77777777" w:rsidR="00C74318" w:rsidRDefault="00E641A9">
            <w:r>
              <w:rPr>
                <w:b/>
                <w:sz w:val="18"/>
              </w:rPr>
              <w:t>Ghana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9358B2" w14:textId="77777777" w:rsidR="00C74318" w:rsidRDefault="00E641A9">
            <w:r>
              <w:rPr>
                <w:sz w:val="18"/>
              </w:rPr>
              <w:t>National Health Insurance Levy (NHIL)</w:t>
            </w:r>
          </w:p>
        </w:tc>
        <w:tc>
          <w:tcPr>
            <w:tcW w:w="756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BE7EBA" w14:textId="77777777" w:rsidR="00C74318" w:rsidRDefault="00E641A9">
            <w:r>
              <w:rPr>
                <w:sz w:val="18"/>
              </w:rPr>
              <w:t>Operational performance of earmarked value-added/consumption levies within a national social health insurance framework.</w:t>
            </w:r>
          </w:p>
        </w:tc>
      </w:tr>
      <w:tr w:rsidR="00C74318" w14:paraId="28CAE75B" w14:textId="77777777">
        <w:trPr>
          <w:jc w:val="center"/>
        </w:trPr>
        <w:tc>
          <w:tcPr>
            <w:tcW w:w="1872" w:type="dxa"/>
            <w:shd w:val="clear" w:color="auto" w:fill="EEF5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DD5AE7" w14:textId="77777777" w:rsidR="00C74318" w:rsidRDefault="00E641A9">
            <w:r>
              <w:rPr>
                <w:b/>
                <w:sz w:val="18"/>
              </w:rPr>
              <w:t>Rwanda</w:t>
            </w:r>
          </w:p>
        </w:tc>
        <w:tc>
          <w:tcPr>
            <w:tcW w:w="3096" w:type="dxa"/>
            <w:shd w:val="clear" w:color="auto" w:fill="EEF5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F54C99" w14:textId="77777777" w:rsidR="00C74318" w:rsidRDefault="00E641A9">
            <w:r>
              <w:rPr>
                <w:sz w:val="18"/>
              </w:rPr>
              <w:t>Community-Based Health Insurance (Mutuelles de Santé)</w:t>
            </w:r>
          </w:p>
        </w:tc>
        <w:tc>
          <w:tcPr>
            <w:tcW w:w="7560" w:type="dxa"/>
            <w:shd w:val="clear" w:color="auto" w:fill="EEF5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886D03" w14:textId="77777777" w:rsidR="00C74318" w:rsidRDefault="00E641A9">
            <w:r>
              <w:rPr>
                <w:sz w:val="18"/>
              </w:rPr>
              <w:t>Institutional mechanisms for broad-scale enrollment, community-level pooling, and multi-tier equity cross-subsidization.</w:t>
            </w:r>
          </w:p>
        </w:tc>
      </w:tr>
      <w:tr w:rsidR="00C74318" w14:paraId="132CC404" w14:textId="77777777">
        <w:trPr>
          <w:jc w:val="center"/>
        </w:trPr>
        <w:tc>
          <w:tcPr>
            <w:tcW w:w="18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1A4AAE" w14:textId="77777777" w:rsidR="00C74318" w:rsidRDefault="00E641A9">
            <w:r>
              <w:rPr>
                <w:b/>
                <w:sz w:val="18"/>
              </w:rPr>
              <w:t>Philippines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AFA6AB" w14:textId="77777777" w:rsidR="00C74318" w:rsidRDefault="00E641A9">
            <w:r>
              <w:rPr>
                <w:sz w:val="18"/>
              </w:rPr>
              <w:t>Sin Tax Reform Law (Republic Acts 10351 and 11346)</w:t>
            </w:r>
          </w:p>
        </w:tc>
        <w:tc>
          <w:tcPr>
            <w:tcW w:w="756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999D1B" w14:textId="77777777" w:rsidR="00C74318" w:rsidRDefault="00E641A9">
            <w:r>
              <w:rPr>
                <w:sz w:val="18"/>
              </w:rPr>
              <w:t>Legislative earmarking of excise taxes on tobacco and alcohol to expand universal health coverage entitlements.</w:t>
            </w:r>
          </w:p>
        </w:tc>
      </w:tr>
      <w:tr w:rsidR="00C74318" w14:paraId="58493D43" w14:textId="77777777">
        <w:trPr>
          <w:jc w:val="center"/>
        </w:trPr>
        <w:tc>
          <w:tcPr>
            <w:tcW w:w="1872" w:type="dxa"/>
            <w:shd w:val="clear" w:color="auto" w:fill="EEF5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689190" w14:textId="77777777" w:rsidR="00C74318" w:rsidRDefault="00E641A9">
            <w:r>
              <w:rPr>
                <w:b/>
                <w:sz w:val="18"/>
              </w:rPr>
              <w:t>Afghanistan</w:t>
            </w:r>
          </w:p>
        </w:tc>
        <w:tc>
          <w:tcPr>
            <w:tcW w:w="3096" w:type="dxa"/>
            <w:shd w:val="clear" w:color="auto" w:fill="EEF5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A51F6C" w14:textId="77777777" w:rsidR="00C74318" w:rsidRDefault="00E641A9">
            <w:r>
              <w:rPr>
                <w:sz w:val="18"/>
              </w:rPr>
              <w:t>System-Wide NGO Service Contracting</w:t>
            </w:r>
          </w:p>
        </w:tc>
        <w:tc>
          <w:tcPr>
            <w:tcW w:w="7560" w:type="dxa"/>
            <w:shd w:val="clear" w:color="auto" w:fill="EEF5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B35177" w14:textId="77777777" w:rsidR="00C74318" w:rsidRDefault="00E641A9">
            <w:r>
              <w:rPr>
                <w:sz w:val="18"/>
              </w:rPr>
              <w:t>Performance-based contracting of non-state providers for the delivery of essential primary health packages within fragile and insecure operating environments.</w:t>
            </w:r>
          </w:p>
        </w:tc>
      </w:tr>
    </w:tbl>
    <w:p w14:paraId="0CC016EC" w14:textId="77777777" w:rsidR="00C74318" w:rsidRDefault="00E641A9">
      <w:pPr>
        <w:pStyle w:val="TableNote"/>
      </w:pPr>
      <w:r>
        <w:rPr>
          <w:b/>
          <w:i/>
        </w:rPr>
        <w:t xml:space="preserve">Note. </w:t>
      </w:r>
      <w:r>
        <w:rPr>
          <w:i/>
        </w:rPr>
        <w:t>These cases correspond to financing functions represented within the standard health financing framework, including revenue raising, risk pooling, strategic purchasing, and earmarked taxation.</w:t>
      </w:r>
    </w:p>
    <w:p w14:paraId="403C1E92" w14:textId="77777777" w:rsidR="00C74318" w:rsidRDefault="00E641A9">
      <w:r>
        <w:br w:type="page"/>
      </w:r>
    </w:p>
    <w:p w14:paraId="5D6DA1C7" w14:textId="77777777" w:rsidR="00C74318" w:rsidRDefault="00E641A9">
      <w:pPr>
        <w:pStyle w:val="Caption"/>
      </w:pPr>
      <w:r>
        <w:lastRenderedPageBreak/>
        <w:t>Supplementary Table S2. Comparative international experiences in context-specific financing channels relevant to Somalia</w:t>
      </w:r>
    </w:p>
    <w:tbl>
      <w:tblPr>
        <w:tblW w:w="0" w:type="auto"/>
        <w:jc w:val="center"/>
        <w:tblBorders>
          <w:top w:val="single" w:sz="6" w:space="0" w:color="8A9AA3"/>
          <w:left w:val="single" w:sz="6" w:space="0" w:color="8A9AA3"/>
          <w:bottom w:val="single" w:sz="6" w:space="0" w:color="8A9AA3"/>
          <w:right w:val="single" w:sz="6" w:space="0" w:color="8A9AA3"/>
          <w:insideH w:val="single" w:sz="6" w:space="0" w:color="8A9AA3"/>
          <w:insideV w:val="single" w:sz="6" w:space="0" w:color="8A9AA3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3096"/>
        <w:gridCol w:w="7560"/>
      </w:tblGrid>
      <w:tr w:rsidR="00C74318" w14:paraId="76B945D0" w14:textId="77777777">
        <w:trPr>
          <w:tblHeader/>
          <w:jc w:val="center"/>
        </w:trPr>
        <w:tc>
          <w:tcPr>
            <w:tcW w:w="1872" w:type="dxa"/>
            <w:shd w:val="clear" w:color="auto" w:fill="0F616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E427DC" w14:textId="77777777" w:rsidR="00C74318" w:rsidRDefault="00E641A9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Jurisdiction</w:t>
            </w:r>
          </w:p>
        </w:tc>
        <w:tc>
          <w:tcPr>
            <w:tcW w:w="3096" w:type="dxa"/>
            <w:shd w:val="clear" w:color="auto" w:fill="0F616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D9F139" w14:textId="77777777" w:rsidR="00C74318" w:rsidRDefault="00E641A9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Focal financing mechanism</w:t>
            </w:r>
          </w:p>
        </w:tc>
        <w:tc>
          <w:tcPr>
            <w:tcW w:w="7560" w:type="dxa"/>
            <w:shd w:val="clear" w:color="auto" w:fill="0F616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07EA6E" w14:textId="77777777" w:rsidR="00C74318" w:rsidRDefault="00E641A9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Institutional relevance to Somalia</w:t>
            </w:r>
          </w:p>
        </w:tc>
      </w:tr>
      <w:tr w:rsidR="00C74318" w14:paraId="014E8F82" w14:textId="77777777">
        <w:trPr>
          <w:jc w:val="center"/>
        </w:trPr>
        <w:tc>
          <w:tcPr>
            <w:tcW w:w="18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B8442F" w14:textId="77777777" w:rsidR="00C74318" w:rsidRDefault="00E641A9">
            <w:r>
              <w:rPr>
                <w:b/>
                <w:sz w:val="18"/>
              </w:rPr>
              <w:t>Indonesia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C9013" w14:textId="77777777" w:rsidR="00C74318" w:rsidRDefault="00E641A9">
            <w:r>
              <w:rPr>
                <w:sz w:val="18"/>
              </w:rPr>
              <w:t>Integrated Islamic Social Finance (Zakat, Waqf, Sukuk)</w:t>
            </w:r>
          </w:p>
        </w:tc>
        <w:tc>
          <w:tcPr>
            <w:tcW w:w="756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CFE9F0" w14:textId="77777777" w:rsidR="00C74318" w:rsidRDefault="00E641A9">
            <w:r>
              <w:rPr>
                <w:sz w:val="18"/>
              </w:rPr>
              <w:t>Regulatory and institutional integration of faith-based and sovereign Islamic financing instruments into primary healthcare infrastructure and health equity initiatives.</w:t>
            </w:r>
          </w:p>
        </w:tc>
      </w:tr>
      <w:tr w:rsidR="00C74318" w14:paraId="7E955128" w14:textId="77777777">
        <w:trPr>
          <w:jc w:val="center"/>
        </w:trPr>
        <w:tc>
          <w:tcPr>
            <w:tcW w:w="1872" w:type="dxa"/>
            <w:shd w:val="clear" w:color="auto" w:fill="EEF5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E4103F" w14:textId="77777777" w:rsidR="00C74318" w:rsidRDefault="00E641A9">
            <w:r>
              <w:rPr>
                <w:b/>
                <w:sz w:val="18"/>
              </w:rPr>
              <w:t>India</w:t>
            </w:r>
          </w:p>
        </w:tc>
        <w:tc>
          <w:tcPr>
            <w:tcW w:w="3096" w:type="dxa"/>
            <w:shd w:val="clear" w:color="auto" w:fill="EEF5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500632" w14:textId="77777777" w:rsidR="00C74318" w:rsidRDefault="00E641A9">
            <w:r>
              <w:rPr>
                <w:sz w:val="18"/>
              </w:rPr>
              <w:t>Sovereign Diaspora Bonds</w:t>
            </w:r>
          </w:p>
        </w:tc>
        <w:tc>
          <w:tcPr>
            <w:tcW w:w="7560" w:type="dxa"/>
            <w:shd w:val="clear" w:color="auto" w:fill="EEF5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0A9225" w14:textId="77777777" w:rsidR="00C74318" w:rsidRDefault="00E641A9">
            <w:r>
              <w:rPr>
                <w:sz w:val="18"/>
              </w:rPr>
              <w:t>Experience in mobilizing overseas national savings for public infrastructure through government-backed diaspora investment instruments.</w:t>
            </w:r>
          </w:p>
        </w:tc>
      </w:tr>
      <w:tr w:rsidR="00C74318" w14:paraId="7C87EE24" w14:textId="77777777">
        <w:trPr>
          <w:jc w:val="center"/>
        </w:trPr>
        <w:tc>
          <w:tcPr>
            <w:tcW w:w="187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5762D1" w14:textId="77777777" w:rsidR="00C74318" w:rsidRDefault="00E641A9">
            <w:r>
              <w:rPr>
                <w:b/>
                <w:sz w:val="18"/>
              </w:rPr>
              <w:t>Israel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76CC5C" w14:textId="77777777" w:rsidR="00C74318" w:rsidRDefault="00E641A9">
            <w:r>
              <w:rPr>
                <w:sz w:val="18"/>
              </w:rPr>
              <w:t>Sovereign Diaspora Bonds</w:t>
            </w:r>
          </w:p>
        </w:tc>
        <w:tc>
          <w:tcPr>
            <w:tcW w:w="756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8AB67E" w14:textId="77777777" w:rsidR="00C74318" w:rsidRDefault="00E641A9">
            <w:r>
              <w:rPr>
                <w:sz w:val="18"/>
              </w:rPr>
              <w:t>Long-standing experience demonstrating investor confidence, patriotic investment motivations, and institutional mechanisms for diaspora engagement.</w:t>
            </w:r>
          </w:p>
        </w:tc>
      </w:tr>
      <w:tr w:rsidR="00C74318" w14:paraId="37A46013" w14:textId="77777777">
        <w:trPr>
          <w:jc w:val="center"/>
        </w:trPr>
        <w:tc>
          <w:tcPr>
            <w:tcW w:w="1872" w:type="dxa"/>
            <w:shd w:val="clear" w:color="auto" w:fill="EEF5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C7CA5A" w14:textId="77777777" w:rsidR="00C74318" w:rsidRDefault="00E641A9">
            <w:r>
              <w:rPr>
                <w:b/>
                <w:sz w:val="18"/>
              </w:rPr>
              <w:t>Ethiopia</w:t>
            </w:r>
          </w:p>
        </w:tc>
        <w:tc>
          <w:tcPr>
            <w:tcW w:w="3096" w:type="dxa"/>
            <w:shd w:val="clear" w:color="auto" w:fill="EEF5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AA8821" w14:textId="77777777" w:rsidR="00C74318" w:rsidRDefault="00E641A9">
            <w:r>
              <w:rPr>
                <w:sz w:val="18"/>
              </w:rPr>
              <w:t>Diaspora Bond Programs</w:t>
            </w:r>
          </w:p>
        </w:tc>
        <w:tc>
          <w:tcPr>
            <w:tcW w:w="7560" w:type="dxa"/>
            <w:shd w:val="clear" w:color="auto" w:fill="EEF5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3544FD" w14:textId="77777777" w:rsidR="00C74318" w:rsidRDefault="00E641A9">
            <w:r>
              <w:rPr>
                <w:sz w:val="18"/>
              </w:rPr>
              <w:t>Lessons regarding governance requirements, investor trust, foreign exchange considerations, and implementation challenges in low-income settings.</w:t>
            </w:r>
          </w:p>
        </w:tc>
      </w:tr>
    </w:tbl>
    <w:p w14:paraId="38067B4A" w14:textId="77777777" w:rsidR="00C74318" w:rsidRDefault="00E641A9">
      <w:pPr>
        <w:pStyle w:val="TableNote"/>
      </w:pPr>
      <w:r>
        <w:rPr>
          <w:b/>
          <w:i/>
        </w:rPr>
        <w:t xml:space="preserve">Note. </w:t>
      </w:r>
      <w:r>
        <w:rPr>
          <w:i/>
        </w:rPr>
        <w:t>These cases correspond to the context-specific financing channels illustrated in the framework, namely Islamic social finance and diaspora financing mechanisms, which may provide complementary sources of health-sector funding in Somalia.</w:t>
      </w:r>
    </w:p>
    <w:p w14:paraId="6BB49D2C" w14:textId="77777777" w:rsidR="00C74318" w:rsidRDefault="00E641A9">
      <w:pPr>
        <w:spacing w:before="240"/>
      </w:pPr>
      <w:r>
        <w:rPr>
          <w:rFonts w:ascii="Arial" w:hAnsi="Arial"/>
          <w:b/>
          <w:color w:val="0F6164"/>
        </w:rPr>
        <w:t>Supplementary file caption</w:t>
      </w:r>
    </w:p>
    <w:p w14:paraId="0AFE9248" w14:textId="77777777" w:rsidR="00C74318" w:rsidRDefault="00E641A9">
      <w:r>
        <w:rPr>
          <w:b/>
        </w:rPr>
        <w:t xml:space="preserve">Supplementary Tables S1–S2. International case studies underpinning the expanded health financing framework for Somalia. </w:t>
      </w:r>
      <w:r>
        <w:t>The tables summarize selected country experiences that informed the inclusion of conventional financing instruments (Table S1) and context-specific financing channels (Table S2) within the conceptual framework. These cases were selected for their institutional relevance to Somalia’s health financing environment, state capacity constraints, and opportunities for resource mobilization.</w:t>
      </w:r>
    </w:p>
    <w:sectPr w:rsidR="00C74318" w:rsidSect="00034616">
      <w:headerReference w:type="default" r:id="rId8"/>
      <w:footerReference w:type="default" r:id="rId9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BCD116" w14:textId="77777777" w:rsidR="00E641A9" w:rsidRDefault="00E641A9">
      <w:pPr>
        <w:spacing w:after="0" w:line="240" w:lineRule="auto"/>
      </w:pPr>
      <w:r>
        <w:separator/>
      </w:r>
    </w:p>
  </w:endnote>
  <w:endnote w:type="continuationSeparator" w:id="0">
    <w:p w14:paraId="2048E4AE" w14:textId="77777777" w:rsidR="00E641A9" w:rsidRDefault="00E64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FC7EA5" w14:textId="77777777" w:rsidR="00C74318" w:rsidRDefault="00E641A9">
    <w:pPr>
      <w:pStyle w:val="Footer"/>
      <w:jc w:val="center"/>
    </w:pPr>
    <w:r>
      <w:rPr>
        <w:i/>
        <w:sz w:val="16"/>
      </w:rPr>
      <w:t>Supplementary tables | Expanded health financing framework for Somalia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D53B51" w14:textId="77777777" w:rsidR="00E641A9" w:rsidRDefault="00E641A9">
      <w:pPr>
        <w:spacing w:after="0" w:line="240" w:lineRule="auto"/>
      </w:pPr>
      <w:r>
        <w:separator/>
      </w:r>
    </w:p>
  </w:footnote>
  <w:footnote w:type="continuationSeparator" w:id="0">
    <w:p w14:paraId="2408CC88" w14:textId="77777777" w:rsidR="00E641A9" w:rsidRDefault="00E64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D3D0BB" w14:textId="77777777" w:rsidR="00C74318" w:rsidRDefault="00E641A9">
    <w:pPr>
      <w:pStyle w:val="Header"/>
      <w:jc w:val="right"/>
    </w:pPr>
    <w:r>
      <w:rPr>
        <w:rFonts w:ascii="Arial" w:hAnsi="Arial"/>
        <w:b/>
        <w:color w:val="0F6164"/>
        <w:sz w:val="16"/>
      </w:rPr>
      <w:t>SUPPLEMENTARY MATERIAL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6133550">
    <w:abstractNumId w:val="8"/>
  </w:num>
  <w:num w:numId="2" w16cid:durableId="1463040336">
    <w:abstractNumId w:val="6"/>
  </w:num>
  <w:num w:numId="3" w16cid:durableId="647980817">
    <w:abstractNumId w:val="5"/>
  </w:num>
  <w:num w:numId="4" w16cid:durableId="2096248248">
    <w:abstractNumId w:val="4"/>
  </w:num>
  <w:num w:numId="5" w16cid:durableId="433521111">
    <w:abstractNumId w:val="7"/>
  </w:num>
  <w:num w:numId="6" w16cid:durableId="1093742346">
    <w:abstractNumId w:val="3"/>
  </w:num>
  <w:num w:numId="7" w16cid:durableId="84688547">
    <w:abstractNumId w:val="2"/>
  </w:num>
  <w:num w:numId="8" w16cid:durableId="1897085055">
    <w:abstractNumId w:val="1"/>
  </w:num>
  <w:num w:numId="9" w16cid:durableId="19771039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32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D45"/>
    <w:rsid w:val="00034616"/>
    <w:rsid w:val="0006063C"/>
    <w:rsid w:val="0015074B"/>
    <w:rsid w:val="0029639D"/>
    <w:rsid w:val="00326F90"/>
    <w:rsid w:val="00AA1D8D"/>
    <w:rsid w:val="00B47730"/>
    <w:rsid w:val="00C74318"/>
    <w:rsid w:val="00CB0664"/>
    <w:rsid w:val="00E641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5FF6B6"/>
  <w14:defaultImageDpi w14:val="300"/>
  <w15:docId w15:val="{7475A344-C3D8-364A-80D8-8B3B34FCF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spacing w:before="120" w:after="120"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Note">
    <w:name w:val="Table Note"/>
    <w:pPr>
      <w:spacing w:before="100"/>
    </w:pPr>
    <w:rPr>
      <w:rFonts w:ascii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2609</Characters>
  <Application>Microsoft Office Word</Application>
  <DocSecurity>0</DocSecurity>
  <Lines>45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Tables: Expanded Health Financing Framework for Somalia</dc:title>
  <dc:subject>International comparative health financing mechanisms</dc:subject>
  <dc:creator>M365 Copilot</dc:creator>
  <cp:keywords>Somalia; health financing; supplementary tables; Islamic social finance; diaspora bonds</cp:keywords>
  <dc:description>generated by python-docx</dc:description>
  <cp:lastModifiedBy>Dr Abdulrazaq Yusuf Ahmed</cp:lastModifiedBy>
  <cp:revision>2</cp:revision>
  <dcterms:created xsi:type="dcterms:W3CDTF">2026-10-05T01:59:00Z</dcterms:created>
  <dcterms:modified xsi:type="dcterms:W3CDTF">2026-10-05T01:59:00Z</dcterms:modified>
  <cp:category/>
</cp:coreProperties>
</file>