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B6097" w14:textId="77777777" w:rsidR="00515499" w:rsidRPr="00C02E77" w:rsidRDefault="00893D21" w:rsidP="00A22126">
      <w:pPr>
        <w:spacing w:after="120"/>
        <w:jc w:val="both"/>
        <w:rPr>
          <w:rFonts w:cs="Times New Roman"/>
        </w:rPr>
      </w:pPr>
      <w:bookmarkStart w:id="0" w:name="_GoBack"/>
      <w:bookmarkEnd w:id="0"/>
      <w:r w:rsidRPr="00C02E77">
        <w:rPr>
          <w:rFonts w:cs="Times New Roman"/>
          <w:noProof/>
        </w:rPr>
        <w:drawing>
          <wp:inline distT="0" distB="0" distL="0" distR="0" wp14:anchorId="63214614" wp14:editId="0E8A5100">
            <wp:extent cx="5760720" cy="6483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tiff"/>
                    <pic:cNvPicPr/>
                  </pic:nvPicPr>
                  <pic:blipFill>
                    <a:blip r:embed="rId8"/>
                    <a:stretch>
                      <a:fillRect/>
                    </a:stretch>
                  </pic:blipFill>
                  <pic:spPr>
                    <a:xfrm>
                      <a:off x="0" y="0"/>
                      <a:ext cx="5760720" cy="6483945"/>
                    </a:xfrm>
                    <a:prstGeom prst="rect">
                      <a:avLst/>
                    </a:prstGeom>
                  </pic:spPr>
                </pic:pic>
              </a:graphicData>
            </a:graphic>
          </wp:inline>
        </w:drawing>
      </w:r>
    </w:p>
    <w:p w14:paraId="42453920" w14:textId="29E45DFA" w:rsidR="00515499" w:rsidRPr="00C02E77" w:rsidRDefault="00893D21" w:rsidP="00A22126">
      <w:pPr>
        <w:spacing w:after="360"/>
        <w:jc w:val="both"/>
        <w:rPr>
          <w:rFonts w:cs="Times New Roman"/>
        </w:rPr>
      </w:pPr>
      <w:r w:rsidRPr="00C02E77">
        <w:rPr>
          <w:rFonts w:cs="Times New Roman"/>
          <w:b/>
        </w:rPr>
        <w:t xml:space="preserve">Supplementary Fig. 1. </w:t>
      </w:r>
      <w:r w:rsidRPr="00CA2042">
        <w:rPr>
          <w:rFonts w:cs="Times New Roman"/>
          <w:b/>
          <w:i/>
          <w:iCs/>
        </w:rPr>
        <w:t>ENG</w:t>
      </w:r>
      <w:r w:rsidRPr="00C02E77">
        <w:rPr>
          <w:rFonts w:cs="Times New Roman"/>
          <w:b/>
        </w:rPr>
        <w:t xml:space="preserve"> KO reduces the motility of patient-derived CAFs.</w:t>
      </w:r>
      <w:r w:rsidRPr="00C02E77">
        <w:rPr>
          <w:rFonts w:cs="Times New Roman"/>
        </w:rPr>
        <w:t xml:space="preserve"> Representative time-lapse images of Cas9-only control and patient-derived </w:t>
      </w:r>
      <w:r w:rsidRPr="00C02E77">
        <w:rPr>
          <w:rFonts w:cs="Times New Roman"/>
          <w:i/>
        </w:rPr>
        <w:t>ENG</w:t>
      </w:r>
      <w:r w:rsidRPr="00C02E77">
        <w:rPr>
          <w:rFonts w:cs="Times New Roman"/>
        </w:rPr>
        <w:t>-KO CAFs from Pt.3 and Pt.5 over 120 min. Yellow arrows and dotted lines indicate cell movement trajectories. Images were acquired at 10-min intervals. Scale bars, 10 μm.</w:t>
      </w:r>
    </w:p>
    <w:p w14:paraId="74AD6A45" w14:textId="42045BD5" w:rsidR="00515499" w:rsidRPr="00C02E77" w:rsidRDefault="003E2938" w:rsidP="00A22126">
      <w:pPr>
        <w:spacing w:after="120"/>
        <w:jc w:val="both"/>
        <w:rPr>
          <w:rFonts w:cs="Times New Roman"/>
        </w:rPr>
      </w:pPr>
      <w:r w:rsidRPr="00C02E77">
        <w:rPr>
          <w:rFonts w:cs="Times New Roman"/>
          <w:noProof/>
        </w:rPr>
        <w:lastRenderedPageBreak/>
        <w:drawing>
          <wp:inline distT="0" distB="0" distL="0" distR="0" wp14:anchorId="3C43E53A" wp14:editId="61B61140">
            <wp:extent cx="6126480" cy="6892925"/>
            <wp:effectExtent l="0" t="0" r="7620" b="3175"/>
            <wp:docPr id="178635192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351925" name="그림 1786351925"/>
                    <pic:cNvPicPr/>
                  </pic:nvPicPr>
                  <pic:blipFill>
                    <a:blip r:embed="rId9"/>
                    <a:stretch>
                      <a:fillRect/>
                    </a:stretch>
                  </pic:blipFill>
                  <pic:spPr>
                    <a:xfrm>
                      <a:off x="0" y="0"/>
                      <a:ext cx="6126480" cy="6892925"/>
                    </a:xfrm>
                    <a:prstGeom prst="rect">
                      <a:avLst/>
                    </a:prstGeom>
                  </pic:spPr>
                </pic:pic>
              </a:graphicData>
            </a:graphic>
          </wp:inline>
        </w:drawing>
      </w:r>
    </w:p>
    <w:p w14:paraId="23A7CBA7" w14:textId="77777777" w:rsidR="003E2938" w:rsidRDefault="00893D21" w:rsidP="003E2938">
      <w:pPr>
        <w:spacing w:after="360"/>
        <w:jc w:val="both"/>
        <w:rPr>
          <w:rFonts w:eastAsia="맑은 고딕" w:cs="Times New Roman"/>
          <w:lang w:eastAsia="ko-KR"/>
        </w:rPr>
      </w:pPr>
      <w:r w:rsidRPr="00C02E77">
        <w:rPr>
          <w:rFonts w:cs="Times New Roman"/>
          <w:b/>
        </w:rPr>
        <w:t>Supplementary Fig. 2. Uncropped immunoblot images.</w:t>
      </w:r>
      <w:r w:rsidRPr="00C02E77">
        <w:rPr>
          <w:rFonts w:cs="Times New Roman"/>
        </w:rPr>
        <w:t xml:space="preserve"> </w:t>
      </w:r>
      <w:r w:rsidRPr="00C02E77">
        <w:rPr>
          <w:rFonts w:cs="Times New Roman"/>
          <w:b/>
        </w:rPr>
        <w:t>a,</w:t>
      </w:r>
      <w:r w:rsidRPr="00C02E77">
        <w:rPr>
          <w:rFonts w:cs="Times New Roman"/>
        </w:rPr>
        <w:t xml:space="preserve"> Immunoblot analysis of E-cadherin expression in AsPC-1 and PANC-1 cells treated with conditioned media from control or </w:t>
      </w:r>
      <w:r w:rsidRPr="00C02E77">
        <w:rPr>
          <w:rFonts w:cs="Times New Roman"/>
          <w:i/>
        </w:rPr>
        <w:t>ENG</w:t>
      </w:r>
      <w:r w:rsidRPr="00C02E77">
        <w:rPr>
          <w:rFonts w:cs="Times New Roman"/>
        </w:rPr>
        <w:t xml:space="preserve">-KO fibroblasts. Pt., patient-derived CAF donor number. </w:t>
      </w:r>
      <w:r w:rsidRPr="00C02E77">
        <w:rPr>
          <w:rFonts w:cs="Times New Roman"/>
          <w:b/>
        </w:rPr>
        <w:t>b,</w:t>
      </w:r>
      <w:r w:rsidRPr="00C02E77">
        <w:rPr>
          <w:rFonts w:cs="Times New Roman"/>
        </w:rPr>
        <w:t xml:space="preserve"> Corresponding uncropped immunoblot images for E-cadherin and β-actin in AsPC-1 and PANC-1 cells treated with conditioned media from Cas9-only control or </w:t>
      </w:r>
      <w:r w:rsidRPr="00C02E77">
        <w:rPr>
          <w:rFonts w:cs="Times New Roman"/>
          <w:i/>
        </w:rPr>
        <w:t>ENG</w:t>
      </w:r>
      <w:r w:rsidRPr="00C02E77">
        <w:rPr>
          <w:rFonts w:cs="Times New Roman"/>
        </w:rPr>
        <w:t>-KO HPPFs and patient-derived CAFs.</w:t>
      </w:r>
      <w:r w:rsidR="003E2938" w:rsidRPr="00C02E77">
        <w:rPr>
          <w:rFonts w:eastAsia="맑은 고딕" w:cs="Times New Roman"/>
          <w:lang w:eastAsia="ko-KR"/>
        </w:rPr>
        <w:t xml:space="preserve"> </w:t>
      </w:r>
      <w:r w:rsidR="003E2938" w:rsidRPr="00C02E77">
        <w:rPr>
          <w:rFonts w:eastAsia="맑은 고딕" w:cs="Times New Roman"/>
          <w:b/>
          <w:bCs/>
          <w:lang w:eastAsia="ko-KR"/>
        </w:rPr>
        <w:t>c,</w:t>
      </w:r>
      <w:r w:rsidR="003E2938" w:rsidRPr="00C02E77">
        <w:rPr>
          <w:rFonts w:eastAsia="맑은 고딕" w:cs="Times New Roman"/>
          <w:lang w:eastAsia="ko-KR"/>
        </w:rPr>
        <w:t xml:space="preserve"> Uncropped immunoblot images for CD105 and β-actin used in Extended Data Fig. 1c. </w:t>
      </w:r>
      <w:r w:rsidR="003E2938" w:rsidRPr="00C02E77">
        <w:rPr>
          <w:rFonts w:eastAsia="맑은 고딕" w:cs="Times New Roman"/>
          <w:b/>
          <w:bCs/>
          <w:lang w:eastAsia="ko-KR"/>
        </w:rPr>
        <w:t>d,</w:t>
      </w:r>
      <w:r w:rsidR="003E2938" w:rsidRPr="00C02E77">
        <w:rPr>
          <w:rFonts w:eastAsia="맑은 고딕" w:cs="Times New Roman"/>
          <w:lang w:eastAsia="ko-KR"/>
        </w:rPr>
        <w:t xml:space="preserve"> Uncropped immunoblot images for CD105, α-SMA and β-actin used in Fig. 1c. </w:t>
      </w:r>
      <w:r w:rsidR="003E2938" w:rsidRPr="00C02E77">
        <w:rPr>
          <w:rFonts w:eastAsia="맑은 고딕" w:cs="Times New Roman"/>
          <w:b/>
          <w:bCs/>
          <w:lang w:eastAsia="ko-KR"/>
        </w:rPr>
        <w:t>e,</w:t>
      </w:r>
      <w:r w:rsidR="003E2938" w:rsidRPr="00C02E77">
        <w:rPr>
          <w:rFonts w:eastAsia="맑은 고딕" w:cs="Times New Roman"/>
          <w:lang w:eastAsia="ko-KR"/>
        </w:rPr>
        <w:t xml:space="preserve"> Uncropped immunoblot images for fibronectin, vimentin, COL1A1 and β-actin used in Fig. 2b.</w:t>
      </w:r>
    </w:p>
    <w:p w14:paraId="6CBD20F0" w14:textId="77777777" w:rsidR="008D17A3" w:rsidRPr="00C02E77" w:rsidRDefault="008D17A3" w:rsidP="008D17A3">
      <w:pPr>
        <w:spacing w:after="360"/>
        <w:jc w:val="both"/>
        <w:rPr>
          <w:rFonts w:cs="Times New Roman"/>
        </w:rPr>
      </w:pPr>
      <w:r>
        <w:rPr>
          <w:rFonts w:cs="Times New Roman"/>
          <w:noProof/>
        </w:rPr>
        <w:lastRenderedPageBreak/>
        <w:drawing>
          <wp:inline distT="0" distB="0" distL="0" distR="0" wp14:anchorId="1F6EC2F1" wp14:editId="77396420">
            <wp:extent cx="6032571" cy="5570220"/>
            <wp:effectExtent l="0" t="0" r="6350" b="0"/>
            <wp:docPr id="1210403741"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03741" name="그림 1210403741"/>
                    <pic:cNvPicPr/>
                  </pic:nvPicPr>
                  <pic:blipFill rotWithShape="1">
                    <a:blip r:embed="rId10"/>
                    <a:srcRect l="11318" t="1769" r="20522" b="42294"/>
                    <a:stretch>
                      <a:fillRect/>
                    </a:stretch>
                  </pic:blipFill>
                  <pic:spPr bwMode="auto">
                    <a:xfrm>
                      <a:off x="0" y="0"/>
                      <a:ext cx="6036087" cy="5573467"/>
                    </a:xfrm>
                    <a:prstGeom prst="rect">
                      <a:avLst/>
                    </a:prstGeom>
                    <a:ln>
                      <a:noFill/>
                    </a:ln>
                    <a:extLst>
                      <a:ext uri="{53640926-AAD7-44D8-BBD7-CCE9431645EC}">
                        <a14:shadowObscured xmlns:a14="http://schemas.microsoft.com/office/drawing/2010/main"/>
                      </a:ext>
                    </a:extLst>
                  </pic:spPr>
                </pic:pic>
              </a:graphicData>
            </a:graphic>
          </wp:inline>
        </w:drawing>
      </w:r>
    </w:p>
    <w:p w14:paraId="2EA58868" w14:textId="299231D2" w:rsidR="008D17A3" w:rsidRPr="00C02E77" w:rsidRDefault="008D17A3" w:rsidP="008D17A3">
      <w:pPr>
        <w:spacing w:after="360"/>
        <w:jc w:val="both"/>
        <w:rPr>
          <w:rFonts w:cs="Times New Roman"/>
        </w:rPr>
      </w:pPr>
      <w:r w:rsidRPr="00C02E77">
        <w:rPr>
          <w:rFonts w:cs="Times New Roman"/>
          <w:b/>
        </w:rPr>
        <w:t xml:space="preserve">Supplementary Fig. </w:t>
      </w:r>
      <w:r>
        <w:rPr>
          <w:rFonts w:eastAsia="맑은 고딕" w:cs="Times New Roman" w:hint="eastAsia"/>
          <w:b/>
          <w:lang w:eastAsia="ko-KR"/>
        </w:rPr>
        <w:t>3</w:t>
      </w:r>
      <w:r w:rsidRPr="00C02E77">
        <w:rPr>
          <w:rFonts w:cs="Times New Roman"/>
          <w:b/>
        </w:rPr>
        <w:t>. Gating strategy and individual flow cytometry plots for intratumoural transferred NK-cell analysis.</w:t>
      </w:r>
      <w:r w:rsidRPr="00C02E77">
        <w:rPr>
          <w:rFonts w:cs="Times New Roman"/>
        </w:rPr>
        <w:t xml:space="preserve"> Flow cytometry gating strategy used to identify transferred pNK cells in dissociated tumour tissues. Live single cells were gated, followed by identification of human CD45⁺DiD⁺ NK cells. Representative plots from individual mice bearing AsPC-1 tumours co-implanted with Cas9-only control or </w:t>
      </w:r>
      <w:r w:rsidRPr="00C02E77">
        <w:rPr>
          <w:rFonts w:cs="Times New Roman"/>
          <w:i/>
        </w:rPr>
        <w:t>ENG</w:t>
      </w:r>
      <w:r w:rsidRPr="00C02E77">
        <w:rPr>
          <w:rFonts w:cs="Times New Roman"/>
        </w:rPr>
        <w:t>-KO patient-derived CAFs are shown. CD45⁺DiD⁺ events indicate intravenously transferred NK cells recovered from tumour tissues.</w:t>
      </w:r>
    </w:p>
    <w:p w14:paraId="1D3A225C" w14:textId="77777777" w:rsidR="008D17A3" w:rsidRDefault="008D17A3" w:rsidP="003E2938">
      <w:pPr>
        <w:spacing w:after="360"/>
        <w:jc w:val="both"/>
        <w:rPr>
          <w:rFonts w:eastAsia="맑은 고딕" w:cs="Times New Roman"/>
          <w:lang w:eastAsia="ko-KR"/>
        </w:rPr>
      </w:pPr>
    </w:p>
    <w:p w14:paraId="1FCC7205" w14:textId="77777777" w:rsidR="008D17A3" w:rsidRDefault="008D17A3" w:rsidP="003E2938">
      <w:pPr>
        <w:spacing w:after="360"/>
        <w:jc w:val="both"/>
        <w:rPr>
          <w:rFonts w:eastAsia="맑은 고딕" w:cs="Times New Roman"/>
          <w:lang w:eastAsia="ko-KR"/>
        </w:rPr>
      </w:pPr>
    </w:p>
    <w:p w14:paraId="01B3527E" w14:textId="6F8A18F2" w:rsidR="009A3A1C" w:rsidRDefault="00E7134E" w:rsidP="003E2938">
      <w:pPr>
        <w:spacing w:after="360"/>
        <w:jc w:val="both"/>
        <w:rPr>
          <w:rFonts w:eastAsia="맑은 고딕" w:cs="Times New Roman"/>
          <w:lang w:eastAsia="ko-KR"/>
        </w:rPr>
      </w:pPr>
      <w:r>
        <w:rPr>
          <w:rFonts w:eastAsia="맑은 고딕" w:cs="Times New Roman"/>
          <w:noProof/>
          <w:lang w:eastAsia="ko-KR"/>
        </w:rPr>
        <w:lastRenderedPageBreak/>
        <w:drawing>
          <wp:inline distT="0" distB="0" distL="0" distR="0" wp14:anchorId="1FEBFC1E" wp14:editId="232DDE06">
            <wp:extent cx="6126480" cy="3524250"/>
            <wp:effectExtent l="0" t="0" r="7620" b="0"/>
            <wp:docPr id="128178939"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8939" name="그림 128178939"/>
                    <pic:cNvPicPr/>
                  </pic:nvPicPr>
                  <pic:blipFill rotWithShape="1">
                    <a:blip r:embed="rId11"/>
                    <a:srcRect b="48872"/>
                    <a:stretch>
                      <a:fillRect/>
                    </a:stretch>
                  </pic:blipFill>
                  <pic:spPr bwMode="auto">
                    <a:xfrm>
                      <a:off x="0" y="0"/>
                      <a:ext cx="6126480" cy="3524250"/>
                    </a:xfrm>
                    <a:prstGeom prst="rect">
                      <a:avLst/>
                    </a:prstGeom>
                    <a:ln>
                      <a:noFill/>
                    </a:ln>
                    <a:extLst>
                      <a:ext uri="{53640926-AAD7-44D8-BBD7-CCE9431645EC}">
                        <a14:shadowObscured xmlns:a14="http://schemas.microsoft.com/office/drawing/2010/main"/>
                      </a:ext>
                    </a:extLst>
                  </pic:spPr>
                </pic:pic>
              </a:graphicData>
            </a:graphic>
          </wp:inline>
        </w:drawing>
      </w:r>
    </w:p>
    <w:p w14:paraId="0F44B1EF" w14:textId="6FE4CB4B" w:rsidR="009A3A1C" w:rsidRPr="009A3A1C" w:rsidRDefault="009A3A1C" w:rsidP="003E2938">
      <w:pPr>
        <w:spacing w:after="360"/>
        <w:jc w:val="both"/>
        <w:rPr>
          <w:rFonts w:eastAsia="맑은 고딕" w:cs="Times New Roman"/>
          <w:lang w:eastAsia="ko-KR"/>
        </w:rPr>
      </w:pPr>
      <w:r w:rsidRPr="009A3A1C">
        <w:rPr>
          <w:rFonts w:eastAsia="맑은 고딕" w:cs="Times New Roman"/>
          <w:b/>
          <w:bCs/>
          <w:lang w:eastAsia="ko-KR"/>
        </w:rPr>
        <w:t xml:space="preserve">Supplementary Fig. </w:t>
      </w:r>
      <w:r w:rsidR="008D17A3">
        <w:rPr>
          <w:rFonts w:eastAsia="맑은 고딕" w:cs="Times New Roman" w:hint="eastAsia"/>
          <w:b/>
          <w:bCs/>
          <w:lang w:eastAsia="ko-KR"/>
        </w:rPr>
        <w:t>4</w:t>
      </w:r>
      <w:r w:rsidRPr="009A3A1C">
        <w:rPr>
          <w:rFonts w:eastAsia="맑은 고딕" w:cs="Times New Roman"/>
          <w:b/>
          <w:bCs/>
          <w:lang w:eastAsia="ko-KR"/>
        </w:rPr>
        <w:t>. Patient-level pseudobulk gene set enrichment analysis of ENG⁺ and ENG⁻ fibroblasts.</w:t>
      </w:r>
      <w:r w:rsidRPr="009A3A1C">
        <w:rPr>
          <w:rFonts w:eastAsia="맑은 고딕" w:cs="Times New Roman"/>
          <w:lang w:eastAsia="ko-KR"/>
        </w:rPr>
        <w:t xml:space="preserve"> </w:t>
      </w:r>
      <w:r w:rsidRPr="009A3A1C">
        <w:rPr>
          <w:rFonts w:eastAsia="맑은 고딕" w:cs="Times New Roman"/>
          <w:b/>
          <w:bCs/>
          <w:lang w:eastAsia="ko-KR"/>
        </w:rPr>
        <w:t>a,b,</w:t>
      </w:r>
      <w:r w:rsidRPr="009A3A1C">
        <w:rPr>
          <w:rFonts w:eastAsia="맑은 고딕" w:cs="Times New Roman"/>
          <w:lang w:eastAsia="ko-KR"/>
        </w:rPr>
        <w:t xml:space="preserve"> Hallmark gene set enrichment analysis showing pathways enriched in ENG⁺ compared with ENG⁻ fibroblasts from treatment-naïve </w:t>
      </w:r>
      <w:r w:rsidRPr="009A3A1C">
        <w:rPr>
          <w:rFonts w:eastAsia="맑은 고딕" w:cs="Times New Roman"/>
          <w:b/>
          <w:bCs/>
          <w:lang w:eastAsia="ko-KR"/>
        </w:rPr>
        <w:t>(a)</w:t>
      </w:r>
      <w:r w:rsidRPr="009A3A1C">
        <w:rPr>
          <w:rFonts w:eastAsia="맑은 고딕" w:cs="Times New Roman"/>
          <w:lang w:eastAsia="ko-KR"/>
        </w:rPr>
        <w:t xml:space="preserve"> and treated </w:t>
      </w:r>
      <w:r w:rsidRPr="009A3A1C">
        <w:rPr>
          <w:rFonts w:eastAsia="맑은 고딕" w:cs="Times New Roman"/>
          <w:b/>
          <w:bCs/>
          <w:lang w:eastAsia="ko-KR"/>
        </w:rPr>
        <w:t>(b)</w:t>
      </w:r>
      <w:r w:rsidRPr="009A3A1C">
        <w:rPr>
          <w:rFonts w:eastAsia="맑은 고딕" w:cs="Times New Roman"/>
          <w:lang w:eastAsia="ko-KR"/>
        </w:rPr>
        <w:t xml:space="preserve"> PDAC samples, using a patient-level pseudobulk approach. </w:t>
      </w:r>
      <w:r w:rsidRPr="009A3A1C">
        <w:rPr>
          <w:rFonts w:eastAsia="맑은 고딕" w:cs="Times New Roman"/>
          <w:b/>
          <w:bCs/>
          <w:lang w:eastAsia="ko-KR"/>
        </w:rPr>
        <w:t>c,</w:t>
      </w:r>
      <w:r w:rsidRPr="009A3A1C">
        <w:rPr>
          <w:rFonts w:eastAsia="맑은 고딕" w:cs="Times New Roman"/>
          <w:lang w:eastAsia="ko-KR"/>
        </w:rPr>
        <w:t xml:space="preserve"> GSEA showing enrichment of hallmark TGF-β signa</w:t>
      </w:r>
      <w:r w:rsidR="00A459B8">
        <w:rPr>
          <w:rFonts w:eastAsia="맑은 고딕" w:cs="Times New Roman" w:hint="eastAsia"/>
          <w:lang w:eastAsia="ko-KR"/>
        </w:rPr>
        <w:t>l</w:t>
      </w:r>
      <w:r w:rsidRPr="009A3A1C">
        <w:rPr>
          <w:rFonts w:eastAsia="맑은 고딕" w:cs="Times New Roman"/>
          <w:lang w:eastAsia="ko-KR"/>
        </w:rPr>
        <w:t>ling and of ECM assembly and positive regulation of ECM organization in ENG⁺ versus ENG⁻ fibroblasts across both cohorts. Normalized enrichment scores (NES) and false-discovery rates (FDR) are shown.</w:t>
      </w:r>
    </w:p>
    <w:p w14:paraId="3878F79A" w14:textId="77777777" w:rsidR="00515499" w:rsidRPr="00C02E77" w:rsidRDefault="00893D21" w:rsidP="00A22126">
      <w:pPr>
        <w:spacing w:after="120"/>
        <w:jc w:val="both"/>
        <w:rPr>
          <w:rFonts w:cs="Times New Roman"/>
        </w:rPr>
      </w:pPr>
      <w:r w:rsidRPr="00C02E77">
        <w:rPr>
          <w:rFonts w:cs="Times New Roman"/>
          <w:noProof/>
        </w:rPr>
        <w:lastRenderedPageBreak/>
        <w:drawing>
          <wp:inline distT="0" distB="0" distL="0" distR="0" wp14:anchorId="51F2868A" wp14:editId="60204E79">
            <wp:extent cx="5760720" cy="64839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tiff"/>
                    <pic:cNvPicPr/>
                  </pic:nvPicPr>
                  <pic:blipFill>
                    <a:blip r:embed="rId12"/>
                    <a:stretch>
                      <a:fillRect/>
                    </a:stretch>
                  </pic:blipFill>
                  <pic:spPr>
                    <a:xfrm>
                      <a:off x="0" y="0"/>
                      <a:ext cx="5760720" cy="6483945"/>
                    </a:xfrm>
                    <a:prstGeom prst="rect">
                      <a:avLst/>
                    </a:prstGeom>
                  </pic:spPr>
                </pic:pic>
              </a:graphicData>
            </a:graphic>
          </wp:inline>
        </w:drawing>
      </w:r>
    </w:p>
    <w:p w14:paraId="13BF8EA3" w14:textId="3C8D8B27" w:rsidR="00515499" w:rsidRPr="00C02E77" w:rsidRDefault="00893D21" w:rsidP="00A22126">
      <w:pPr>
        <w:spacing w:after="360"/>
        <w:jc w:val="both"/>
        <w:rPr>
          <w:rFonts w:cs="Times New Roman"/>
        </w:rPr>
      </w:pPr>
      <w:r w:rsidRPr="00C02E77">
        <w:rPr>
          <w:rFonts w:cs="Times New Roman"/>
          <w:b/>
        </w:rPr>
        <w:t xml:space="preserve">Supplementary Fig. </w:t>
      </w:r>
      <w:r w:rsidR="00DB39C4">
        <w:rPr>
          <w:rFonts w:eastAsia="맑은 고딕" w:cs="Times New Roman" w:hint="eastAsia"/>
          <w:b/>
          <w:lang w:eastAsia="ko-KR"/>
        </w:rPr>
        <w:t>5</w:t>
      </w:r>
      <w:r w:rsidRPr="00C02E77">
        <w:rPr>
          <w:rFonts w:cs="Times New Roman"/>
          <w:b/>
        </w:rPr>
        <w:t>. ELISA-based binding profiles of recombinant CD105-specific scFvs.</w:t>
      </w:r>
      <w:r w:rsidRPr="00C02E77">
        <w:rPr>
          <w:rFonts w:cs="Times New Roman"/>
        </w:rPr>
        <w:t xml:space="preserve"> ELISA binding curves of recombinant anti-CD105 scFvs against purified biotinylated CD105-His. The absorbance at 450 nm is shown across serial concentrations of biotinylated CD105-His for each CLEN candidate (</w:t>
      </w:r>
      <w:r w:rsidRPr="00C02E77">
        <w:rPr>
          <w:rFonts w:cs="Times New Roman"/>
          <w:i/>
        </w:rPr>
        <w:t>n</w:t>
      </w:r>
      <w:r w:rsidRPr="00C02E77">
        <w:rPr>
          <w:rFonts w:cs="Times New Roman"/>
        </w:rPr>
        <w:t xml:space="preserve"> = 3). Data are presented as mean ± s.d.</w:t>
      </w:r>
    </w:p>
    <w:p w14:paraId="36CFC5D4" w14:textId="77777777" w:rsidR="00515499" w:rsidRPr="00C02E77" w:rsidRDefault="00893D21" w:rsidP="00A22126">
      <w:pPr>
        <w:spacing w:after="120"/>
        <w:jc w:val="both"/>
        <w:rPr>
          <w:rFonts w:cs="Times New Roman"/>
        </w:rPr>
      </w:pPr>
      <w:r w:rsidRPr="00C02E77">
        <w:rPr>
          <w:rFonts w:cs="Times New Roman"/>
          <w:noProof/>
        </w:rPr>
        <w:lastRenderedPageBreak/>
        <w:drawing>
          <wp:inline distT="0" distB="0" distL="0" distR="0" wp14:anchorId="526F58D7" wp14:editId="1E358444">
            <wp:extent cx="5760191" cy="2133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tiff"/>
                    <pic:cNvPicPr/>
                  </pic:nvPicPr>
                  <pic:blipFill rotWithShape="1">
                    <a:blip r:embed="rId13"/>
                    <a:srcRect b="67091"/>
                    <a:stretch/>
                  </pic:blipFill>
                  <pic:spPr bwMode="auto">
                    <a:xfrm>
                      <a:off x="0" y="0"/>
                      <a:ext cx="5760720" cy="2133796"/>
                    </a:xfrm>
                    <a:prstGeom prst="rect">
                      <a:avLst/>
                    </a:prstGeom>
                    <a:ln>
                      <a:noFill/>
                    </a:ln>
                    <a:extLst>
                      <a:ext uri="{53640926-AAD7-44D8-BBD7-CCE9431645EC}">
                        <a14:shadowObscured xmlns:a14="http://schemas.microsoft.com/office/drawing/2010/main"/>
                      </a:ext>
                    </a:extLst>
                  </pic:spPr>
                </pic:pic>
              </a:graphicData>
            </a:graphic>
          </wp:inline>
        </w:drawing>
      </w:r>
    </w:p>
    <w:p w14:paraId="5BE51BD9" w14:textId="77BCE31E" w:rsidR="00515499" w:rsidRPr="00C02E77" w:rsidRDefault="00893D21" w:rsidP="00A22126">
      <w:pPr>
        <w:spacing w:after="360"/>
        <w:jc w:val="both"/>
        <w:rPr>
          <w:rFonts w:cs="Times New Roman"/>
        </w:rPr>
      </w:pPr>
      <w:r w:rsidRPr="00C02E77">
        <w:rPr>
          <w:rFonts w:cs="Times New Roman"/>
          <w:b/>
        </w:rPr>
        <w:t xml:space="preserve">Supplementary Fig. </w:t>
      </w:r>
      <w:r w:rsidR="00DB39C4">
        <w:rPr>
          <w:rFonts w:eastAsia="맑은 고딕" w:cs="Times New Roman" w:hint="eastAsia"/>
          <w:b/>
          <w:lang w:eastAsia="ko-KR"/>
        </w:rPr>
        <w:t>6</w:t>
      </w:r>
      <w:r w:rsidRPr="00C02E77">
        <w:rPr>
          <w:rFonts w:cs="Times New Roman"/>
          <w:b/>
        </w:rPr>
        <w:t>. Binding specificity of recombinant anti-CD105 scFvs to parental K562 cells.</w:t>
      </w:r>
      <w:r w:rsidRPr="00C02E77">
        <w:rPr>
          <w:rFonts w:cs="Times New Roman"/>
        </w:rPr>
        <w:t xml:space="preserve"> Flow cytometric analysis of recombinant anti-CD105 scFv binding to parental K562 cells lacking CD105 expression. Binding was measured as FITC mean fluorescence intensity (MFI) across serial concentrations of the indicated anti-CD105 scFvs (</w:t>
      </w:r>
      <w:r w:rsidRPr="00C02E77">
        <w:rPr>
          <w:rFonts w:cs="Times New Roman"/>
          <w:i/>
        </w:rPr>
        <w:t>n</w:t>
      </w:r>
      <w:r w:rsidRPr="00C02E77">
        <w:rPr>
          <w:rFonts w:cs="Times New Roman"/>
        </w:rPr>
        <w:t xml:space="preserve"> = 3). TRC105 and 9H10 were included as reference antibodies. Data are presented as mean ± s.d.</w:t>
      </w:r>
    </w:p>
    <w:p w14:paraId="7F6A38C2" w14:textId="77777777" w:rsidR="00515499" w:rsidRPr="00C02E77" w:rsidRDefault="00893D21" w:rsidP="00A22126">
      <w:pPr>
        <w:spacing w:after="120"/>
        <w:jc w:val="both"/>
        <w:rPr>
          <w:rFonts w:cs="Times New Roman"/>
        </w:rPr>
      </w:pPr>
      <w:r w:rsidRPr="00C02E77">
        <w:rPr>
          <w:rFonts w:cs="Times New Roman"/>
          <w:noProof/>
        </w:rPr>
        <w:drawing>
          <wp:inline distT="0" distB="0" distL="0" distR="0" wp14:anchorId="3FAE43C5" wp14:editId="11FF687E">
            <wp:extent cx="5760191" cy="2924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tiff"/>
                    <pic:cNvPicPr/>
                  </pic:nvPicPr>
                  <pic:blipFill rotWithShape="1">
                    <a:blip r:embed="rId14"/>
                    <a:srcRect b="54897"/>
                    <a:stretch/>
                  </pic:blipFill>
                  <pic:spPr bwMode="auto">
                    <a:xfrm>
                      <a:off x="0" y="0"/>
                      <a:ext cx="5760720" cy="2924443"/>
                    </a:xfrm>
                    <a:prstGeom prst="rect">
                      <a:avLst/>
                    </a:prstGeom>
                    <a:ln>
                      <a:noFill/>
                    </a:ln>
                    <a:extLst>
                      <a:ext uri="{53640926-AAD7-44D8-BBD7-CCE9431645EC}">
                        <a14:shadowObscured xmlns:a14="http://schemas.microsoft.com/office/drawing/2010/main"/>
                      </a:ext>
                    </a:extLst>
                  </pic:spPr>
                </pic:pic>
              </a:graphicData>
            </a:graphic>
          </wp:inline>
        </w:drawing>
      </w:r>
    </w:p>
    <w:p w14:paraId="29105E05" w14:textId="5DD1CDB1" w:rsidR="00515499" w:rsidRPr="00C02E77" w:rsidRDefault="00893D21" w:rsidP="00A22126">
      <w:pPr>
        <w:spacing w:after="360"/>
        <w:jc w:val="both"/>
        <w:rPr>
          <w:rFonts w:cs="Times New Roman"/>
        </w:rPr>
      </w:pPr>
      <w:r w:rsidRPr="00C02E77">
        <w:rPr>
          <w:rFonts w:cs="Times New Roman"/>
          <w:b/>
        </w:rPr>
        <w:t xml:space="preserve">Supplementary Fig. </w:t>
      </w:r>
      <w:r w:rsidR="00DB39C4">
        <w:rPr>
          <w:rFonts w:eastAsia="맑은 고딕" w:cs="Times New Roman" w:hint="eastAsia"/>
          <w:b/>
          <w:lang w:eastAsia="ko-KR"/>
        </w:rPr>
        <w:t>7</w:t>
      </w:r>
      <w:r w:rsidRPr="00C02E77">
        <w:rPr>
          <w:rFonts w:cs="Times New Roman"/>
          <w:b/>
        </w:rPr>
        <w:t>. Antibody-induced CD105 endocytosis profiles of selected CD105-specific binders.</w:t>
      </w:r>
      <w:r w:rsidRPr="00C02E77">
        <w:rPr>
          <w:rFonts w:cs="Times New Roman"/>
        </w:rPr>
        <w:t xml:space="preserve"> Time-course quantification of antibody-induced CD105 endocytosis in CD105⁺ K562 cells treated with the indicated CLEN antibodies or reference antibodies TRC105 and 9H10 (</w:t>
      </w:r>
      <w:r w:rsidRPr="00C02E77">
        <w:rPr>
          <w:rFonts w:cs="Times New Roman"/>
          <w:i/>
        </w:rPr>
        <w:t>n</w:t>
      </w:r>
      <w:r w:rsidRPr="00C02E77">
        <w:rPr>
          <w:rFonts w:cs="Times New Roman"/>
        </w:rPr>
        <w:t xml:space="preserve"> = 3). Data are presented as mean ± s.d.</w:t>
      </w:r>
    </w:p>
    <w:p w14:paraId="73F39CE3" w14:textId="77777777" w:rsidR="00515499" w:rsidRPr="00C02E77" w:rsidRDefault="00893D21" w:rsidP="00A22126">
      <w:pPr>
        <w:spacing w:after="120"/>
        <w:jc w:val="both"/>
        <w:rPr>
          <w:rFonts w:cs="Times New Roman"/>
        </w:rPr>
      </w:pPr>
      <w:r w:rsidRPr="00C02E77">
        <w:rPr>
          <w:rFonts w:cs="Times New Roman"/>
          <w:noProof/>
        </w:rPr>
        <w:lastRenderedPageBreak/>
        <w:drawing>
          <wp:inline distT="0" distB="0" distL="0" distR="0" wp14:anchorId="65AE3EEE" wp14:editId="68B11011">
            <wp:extent cx="5760720" cy="64839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pic:nvPicPr>
                  <pic:blipFill>
                    <a:blip r:embed="rId15"/>
                    <a:stretch>
                      <a:fillRect/>
                    </a:stretch>
                  </pic:blipFill>
                  <pic:spPr>
                    <a:xfrm>
                      <a:off x="0" y="0"/>
                      <a:ext cx="5760720" cy="6483945"/>
                    </a:xfrm>
                    <a:prstGeom prst="rect">
                      <a:avLst/>
                    </a:prstGeom>
                  </pic:spPr>
                </pic:pic>
              </a:graphicData>
            </a:graphic>
          </wp:inline>
        </w:drawing>
      </w:r>
    </w:p>
    <w:p w14:paraId="63D69DB5" w14:textId="05DBA190" w:rsidR="00515499" w:rsidRDefault="00893D21" w:rsidP="00A22126">
      <w:pPr>
        <w:spacing w:after="360"/>
        <w:jc w:val="both"/>
        <w:rPr>
          <w:rFonts w:cs="Times New Roman"/>
        </w:rPr>
      </w:pPr>
      <w:r w:rsidRPr="00C02E77">
        <w:rPr>
          <w:rFonts w:cs="Times New Roman"/>
          <w:b/>
        </w:rPr>
        <w:t xml:space="preserve">Supplementary Fig. </w:t>
      </w:r>
      <w:r w:rsidR="00DB39C4">
        <w:rPr>
          <w:rFonts w:eastAsia="맑은 고딕" w:cs="Times New Roman" w:hint="eastAsia"/>
          <w:b/>
          <w:lang w:eastAsia="ko-KR"/>
        </w:rPr>
        <w:t>8</w:t>
      </w:r>
      <w:r w:rsidRPr="00C02E77">
        <w:rPr>
          <w:rFonts w:cs="Times New Roman"/>
          <w:b/>
        </w:rPr>
        <w:t>. Flow cytometry gating strategy for post-engagement CAR-dynamic assays.</w:t>
      </w:r>
      <w:r w:rsidRPr="00C02E77">
        <w:rPr>
          <w:rFonts w:cs="Times New Roman"/>
        </w:rPr>
        <w:t xml:space="preserve"> </w:t>
      </w:r>
      <w:r w:rsidRPr="00C02E77">
        <w:rPr>
          <w:rFonts w:cs="Times New Roman"/>
          <w:b/>
        </w:rPr>
        <w:t>a,</w:t>
      </w:r>
      <w:r w:rsidRPr="00C02E77">
        <w:rPr>
          <w:rFonts w:cs="Times New Roman"/>
        </w:rPr>
        <w:t xml:space="preserve"> Schematic of the CFP-tagged CD105-targeted CAR construct and representative flow cytometry plots showing CAR expression in transduced pNK cells. Surface CAR expression was detected using anti-Myc staining, and transduced cells were identified by CFP expression. </w:t>
      </w:r>
      <w:r w:rsidRPr="00C02E77">
        <w:rPr>
          <w:rFonts w:cs="Times New Roman"/>
          <w:b/>
        </w:rPr>
        <w:t>b,</w:t>
      </w:r>
      <w:r w:rsidRPr="00C02E77">
        <w:rPr>
          <w:rFonts w:cs="Times New Roman"/>
        </w:rPr>
        <w:t xml:space="preserve"> Representative gating strategy used to quantify surface CAR expression, trogocytosis, and CAR degradation after co-culture with CD105⁺ CAFs. Live single NK cells were gated, followed by analysis of Myc⁺ surface CAR, CD105⁺ trogocytosis and CFP⁺ CAR degradation-associated signals. </w:t>
      </w:r>
      <w:r w:rsidRPr="00C02E77">
        <w:rPr>
          <w:rFonts w:cs="Times New Roman"/>
          <w:b/>
        </w:rPr>
        <w:t>c,</w:t>
      </w:r>
      <w:r w:rsidRPr="00C02E77">
        <w:rPr>
          <w:rFonts w:cs="Times New Roman"/>
        </w:rPr>
        <w:t xml:space="preserve"> Representative flow cytometry plots for CAR internalization, measured by the loss of surface Myc signal after co-culture with CAF cells. </w:t>
      </w:r>
      <w:r w:rsidRPr="00C02E77">
        <w:rPr>
          <w:rFonts w:cs="Times New Roman"/>
          <w:b/>
        </w:rPr>
        <w:t>d,</w:t>
      </w:r>
      <w:r w:rsidRPr="00C02E77">
        <w:rPr>
          <w:rFonts w:cs="Times New Roman"/>
        </w:rPr>
        <w:t xml:space="preserve"> Representative flow cytometry plots for trogocytosis, measured by the acquisition of </w:t>
      </w:r>
      <w:r w:rsidRPr="00C02E77">
        <w:rPr>
          <w:rFonts w:cs="Times New Roman"/>
        </w:rPr>
        <w:lastRenderedPageBreak/>
        <w:t xml:space="preserve">CD105 signals on CAR-pNK cells after co-culture with CAFs. </w:t>
      </w:r>
      <w:r w:rsidRPr="00C02E77">
        <w:rPr>
          <w:rFonts w:cs="Times New Roman"/>
          <w:b/>
        </w:rPr>
        <w:t>e,</w:t>
      </w:r>
      <w:r w:rsidRPr="00C02E77">
        <w:rPr>
          <w:rFonts w:cs="Times New Roman"/>
        </w:rPr>
        <w:t xml:space="preserve"> Representative flow cytometry plots for CAR degradation, assessed by measuring the CFP signal in transduced CAR-pNK cells after co-culture with CAFs.</w:t>
      </w:r>
    </w:p>
    <w:p w14:paraId="059D263F" w14:textId="77777777" w:rsidR="00F56EFF" w:rsidRPr="00C02E77" w:rsidRDefault="00F56EFF" w:rsidP="00A22126">
      <w:pPr>
        <w:spacing w:after="360"/>
        <w:jc w:val="both"/>
        <w:rPr>
          <w:rFonts w:cs="Times New Roman"/>
        </w:rPr>
      </w:pPr>
    </w:p>
    <w:p w14:paraId="3B6D22AA" w14:textId="77777777" w:rsidR="00515499" w:rsidRPr="00C02E77" w:rsidRDefault="00893D21" w:rsidP="00A22126">
      <w:pPr>
        <w:spacing w:after="120"/>
        <w:jc w:val="both"/>
        <w:rPr>
          <w:rFonts w:cs="Times New Roman"/>
        </w:rPr>
      </w:pPr>
      <w:r w:rsidRPr="00C02E77">
        <w:rPr>
          <w:rFonts w:cs="Times New Roman"/>
          <w:noProof/>
        </w:rPr>
        <w:drawing>
          <wp:inline distT="0" distB="0" distL="0" distR="0" wp14:anchorId="6BC253AF" wp14:editId="191155EA">
            <wp:extent cx="5760720" cy="64839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pic:nvPicPr>
                  <pic:blipFill>
                    <a:blip r:embed="rId16"/>
                    <a:stretch>
                      <a:fillRect/>
                    </a:stretch>
                  </pic:blipFill>
                  <pic:spPr>
                    <a:xfrm>
                      <a:off x="0" y="0"/>
                      <a:ext cx="5760720" cy="6483945"/>
                    </a:xfrm>
                    <a:prstGeom prst="rect">
                      <a:avLst/>
                    </a:prstGeom>
                  </pic:spPr>
                </pic:pic>
              </a:graphicData>
            </a:graphic>
          </wp:inline>
        </w:drawing>
      </w:r>
    </w:p>
    <w:p w14:paraId="64D79B8A" w14:textId="78D0FF06" w:rsidR="00515499" w:rsidRDefault="00893D21" w:rsidP="00A22126">
      <w:pPr>
        <w:spacing w:after="360"/>
        <w:jc w:val="both"/>
        <w:rPr>
          <w:rFonts w:cs="Times New Roman"/>
        </w:rPr>
      </w:pPr>
      <w:r w:rsidRPr="00C02E77">
        <w:rPr>
          <w:rFonts w:cs="Times New Roman"/>
          <w:b/>
        </w:rPr>
        <w:t xml:space="preserve">Supplementary Fig. </w:t>
      </w:r>
      <w:r w:rsidR="00DB39C4">
        <w:rPr>
          <w:rFonts w:eastAsia="맑은 고딕" w:cs="Times New Roman" w:hint="eastAsia"/>
          <w:b/>
          <w:lang w:eastAsia="ko-KR"/>
        </w:rPr>
        <w:t>9</w:t>
      </w:r>
      <w:r w:rsidRPr="00C02E77">
        <w:rPr>
          <w:rFonts w:cs="Times New Roman"/>
          <w:b/>
        </w:rPr>
        <w:t>. Regression analysis of CAR-dynamic parameters associated with CD105-CAR-NK cytotoxicity.</w:t>
      </w:r>
      <w:r w:rsidRPr="00C02E77">
        <w:rPr>
          <w:rFonts w:cs="Times New Roman"/>
        </w:rPr>
        <w:t xml:space="preserve"> </w:t>
      </w:r>
      <w:r w:rsidRPr="00C02E77">
        <w:rPr>
          <w:rFonts w:cs="Times New Roman"/>
          <w:b/>
        </w:rPr>
        <w:t>a,</w:t>
      </w:r>
      <w:r w:rsidRPr="00C02E77">
        <w:rPr>
          <w:rFonts w:cs="Times New Roman"/>
        </w:rPr>
        <w:t xml:space="preserve"> Single-parameter ordinary least-squares regression models comparing predicted and experimentally observed cytotoxicity using CD105 endocytosis, trogocytosis, CAR degradation or internalization as individual </w:t>
      </w:r>
      <w:r w:rsidRPr="00C02E77">
        <w:rPr>
          <w:rFonts w:cs="Times New Roman"/>
        </w:rPr>
        <w:lastRenderedPageBreak/>
        <w:t xml:space="preserve">predictors. </w:t>
      </w:r>
      <w:r w:rsidRPr="00C02E77">
        <w:rPr>
          <w:rFonts w:cs="Times New Roman"/>
          <w:b/>
        </w:rPr>
        <w:t>b,</w:t>
      </w:r>
      <w:r w:rsidRPr="00C02E77">
        <w:rPr>
          <w:rFonts w:cs="Times New Roman"/>
        </w:rPr>
        <w:t xml:space="preserve"> Two-parameter regression models evaluating combinations of CAR-dynamic features, including trogocytosis, CAR degradation, CAR internalization, CD105 endocytosis and apparent binding potency. For each model, the relative predicted cytotoxicity is plotted against relative experimental cytotoxicity. Dashed lines indicate linear regression fits. R² and </w:t>
      </w:r>
      <w:r w:rsidRPr="00C02E77">
        <w:rPr>
          <w:rFonts w:cs="Times New Roman"/>
          <w:i/>
        </w:rPr>
        <w:t>p</w:t>
      </w:r>
      <w:r w:rsidRPr="00C02E77">
        <w:rPr>
          <w:rFonts w:cs="Times New Roman"/>
        </w:rPr>
        <w:t xml:space="preserve">-values are shown in each plot. </w:t>
      </w:r>
      <w:r w:rsidRPr="00C02E77">
        <w:rPr>
          <w:rFonts w:cs="Times New Roman"/>
          <w:b/>
        </w:rPr>
        <w:t>c,</w:t>
      </w:r>
      <w:r w:rsidRPr="00C02E77">
        <w:rPr>
          <w:rFonts w:cs="Times New Roman"/>
        </w:rPr>
        <w:t xml:space="preserve"> Three-parameter regression models evaluating whether multi-feature combinations improve the prediction of CD105-CAR-NK cytotoxicity. The relative predicted cytotoxicity is plotted against relative experimental cytotoxicity for each model. Dashed lines indicate linear regression fits, and R² and </w:t>
      </w:r>
      <w:r w:rsidRPr="00C02E77">
        <w:rPr>
          <w:rFonts w:cs="Times New Roman"/>
          <w:i/>
        </w:rPr>
        <w:t>p</w:t>
      </w:r>
      <w:r w:rsidRPr="00C02E77">
        <w:rPr>
          <w:rFonts w:cs="Times New Roman"/>
        </w:rPr>
        <w:t>-values are shown within each plot.</w:t>
      </w:r>
    </w:p>
    <w:p w14:paraId="04D4759B" w14:textId="65B0687D" w:rsidR="00F56EFF" w:rsidRDefault="00F56EFF" w:rsidP="00A22126">
      <w:pPr>
        <w:spacing w:after="360"/>
        <w:jc w:val="both"/>
        <w:rPr>
          <w:rFonts w:cs="Times New Roman"/>
        </w:rPr>
      </w:pPr>
    </w:p>
    <w:p w14:paraId="3BA5718E" w14:textId="77777777" w:rsidR="00F56EFF" w:rsidRPr="00C02E77" w:rsidRDefault="00F56EFF" w:rsidP="00A22126">
      <w:pPr>
        <w:spacing w:after="360"/>
        <w:jc w:val="both"/>
        <w:rPr>
          <w:rFonts w:cs="Times New Roman"/>
        </w:rPr>
      </w:pPr>
    </w:p>
    <w:p w14:paraId="3E76D76C" w14:textId="77777777" w:rsidR="00515499" w:rsidRPr="00C02E77" w:rsidRDefault="00893D21" w:rsidP="00A22126">
      <w:pPr>
        <w:spacing w:after="120"/>
        <w:jc w:val="both"/>
        <w:rPr>
          <w:rFonts w:cs="Times New Roman"/>
        </w:rPr>
      </w:pPr>
      <w:r w:rsidRPr="00C02E77">
        <w:rPr>
          <w:rFonts w:cs="Times New Roman"/>
          <w:noProof/>
        </w:rPr>
        <w:drawing>
          <wp:inline distT="0" distB="0" distL="0" distR="0" wp14:anchorId="4919B6DE" wp14:editId="66B5CE5F">
            <wp:extent cx="5760720" cy="30632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TIF"/>
                    <pic:cNvPicPr/>
                  </pic:nvPicPr>
                  <pic:blipFill rotWithShape="1">
                    <a:blip r:embed="rId17"/>
                    <a:srcRect t="1999" b="50735"/>
                    <a:stretch>
                      <a:fillRect/>
                    </a:stretch>
                  </pic:blipFill>
                  <pic:spPr bwMode="auto">
                    <a:xfrm>
                      <a:off x="0" y="0"/>
                      <a:ext cx="5760720" cy="3063240"/>
                    </a:xfrm>
                    <a:prstGeom prst="rect">
                      <a:avLst/>
                    </a:prstGeom>
                    <a:ln>
                      <a:noFill/>
                    </a:ln>
                    <a:extLst>
                      <a:ext uri="{53640926-AAD7-44D8-BBD7-CCE9431645EC}">
                        <a14:shadowObscured xmlns:a14="http://schemas.microsoft.com/office/drawing/2010/main"/>
                      </a:ext>
                    </a:extLst>
                  </pic:spPr>
                </pic:pic>
              </a:graphicData>
            </a:graphic>
          </wp:inline>
        </w:drawing>
      </w:r>
    </w:p>
    <w:p w14:paraId="70331F5A" w14:textId="7FE4B044" w:rsidR="00515499" w:rsidRPr="00C02E77" w:rsidRDefault="00893D21" w:rsidP="00A22126">
      <w:pPr>
        <w:spacing w:after="360"/>
        <w:jc w:val="both"/>
        <w:rPr>
          <w:rFonts w:cs="Times New Roman"/>
        </w:rPr>
      </w:pPr>
      <w:r w:rsidRPr="00C02E77">
        <w:rPr>
          <w:rFonts w:cs="Times New Roman"/>
          <w:b/>
        </w:rPr>
        <w:t xml:space="preserve">Supplementary Fig. </w:t>
      </w:r>
      <w:r w:rsidR="00DB39C4">
        <w:rPr>
          <w:rFonts w:eastAsia="맑은 고딕" w:cs="Times New Roman" w:hint="eastAsia"/>
          <w:b/>
          <w:lang w:eastAsia="ko-KR"/>
        </w:rPr>
        <w:t>10</w:t>
      </w:r>
      <w:r w:rsidRPr="00C02E77">
        <w:rPr>
          <w:rFonts w:cs="Times New Roman"/>
          <w:b/>
        </w:rPr>
        <w:t>. Surface plasmon resonance (SPR)-based determination of the binding kinetics for CLEN24 and 9H10.</w:t>
      </w:r>
      <w:r w:rsidRPr="00C02E77">
        <w:rPr>
          <w:rFonts w:cs="Times New Roman"/>
        </w:rPr>
        <w:t xml:space="preserve"> Representative SPR sensorgrams showing the concentration-dependent binding of CLEN24 (</w:t>
      </w:r>
      <w:r w:rsidRPr="00C02E77">
        <w:rPr>
          <w:rFonts w:cs="Times New Roman"/>
          <w:b/>
        </w:rPr>
        <w:t>a</w:t>
      </w:r>
      <w:r w:rsidRPr="00C02E77">
        <w:rPr>
          <w:rFonts w:cs="Times New Roman"/>
        </w:rPr>
        <w:t>) and 9H10 (</w:t>
      </w:r>
      <w:r w:rsidRPr="00C02E77">
        <w:rPr>
          <w:rFonts w:cs="Times New Roman"/>
          <w:b/>
        </w:rPr>
        <w:t>b</w:t>
      </w:r>
      <w:r w:rsidRPr="00C02E77">
        <w:rPr>
          <w:rFonts w:cs="Times New Roman"/>
        </w:rPr>
        <w:t>) to recombinant CD105 (</w:t>
      </w:r>
      <w:r w:rsidRPr="00C02E77">
        <w:rPr>
          <w:rFonts w:cs="Times New Roman"/>
          <w:i/>
        </w:rPr>
        <w:t>n</w:t>
      </w:r>
      <w:r w:rsidRPr="00C02E77">
        <w:rPr>
          <w:rFonts w:cs="Times New Roman"/>
        </w:rPr>
        <w:t xml:space="preserve"> = 3). </w:t>
      </w:r>
      <w:r w:rsidRPr="00C02E77">
        <w:rPr>
          <w:rFonts w:cs="Times New Roman"/>
          <w:b/>
        </w:rPr>
        <w:t>c,</w:t>
      </w:r>
      <w:r w:rsidRPr="00C02E77">
        <w:rPr>
          <w:rFonts w:cs="Times New Roman"/>
        </w:rPr>
        <w:t xml:space="preserve"> Summary of the kinetic parameters, including the </w:t>
      </w:r>
      <w:r w:rsidRPr="00C02E77">
        <w:rPr>
          <w:rFonts w:cs="Times New Roman"/>
          <w:i/>
        </w:rPr>
        <w:t>k</w:t>
      </w:r>
      <w:r w:rsidRPr="00C02E77">
        <w:rPr>
          <w:rFonts w:cs="Times New Roman"/>
          <w:vertAlign w:val="subscript"/>
        </w:rPr>
        <w:t>on</w:t>
      </w:r>
      <w:r w:rsidRPr="00C02E77">
        <w:rPr>
          <w:rFonts w:cs="Times New Roman"/>
        </w:rPr>
        <w:t xml:space="preserve">, </w:t>
      </w:r>
      <w:r w:rsidRPr="00C02E77">
        <w:rPr>
          <w:rFonts w:cs="Times New Roman"/>
          <w:i/>
        </w:rPr>
        <w:t>k</w:t>
      </w:r>
      <w:r w:rsidRPr="00C02E77">
        <w:rPr>
          <w:rFonts w:cs="Times New Roman"/>
          <w:vertAlign w:val="subscript"/>
        </w:rPr>
        <w:t>off</w:t>
      </w:r>
      <w:r w:rsidRPr="00C02E77">
        <w:rPr>
          <w:rFonts w:cs="Times New Roman"/>
        </w:rPr>
        <w:t xml:space="preserve">, and </w:t>
      </w:r>
      <w:r w:rsidRPr="00C02E77">
        <w:rPr>
          <w:rFonts w:cs="Times New Roman"/>
          <w:i/>
        </w:rPr>
        <w:t>K</w:t>
      </w:r>
      <w:r w:rsidRPr="00C02E77">
        <w:rPr>
          <w:rFonts w:cs="Times New Roman"/>
          <w:vertAlign w:val="subscript"/>
        </w:rPr>
        <w:t>D</w:t>
      </w:r>
      <w:r w:rsidRPr="00C02E77">
        <w:rPr>
          <w:rFonts w:cs="Times New Roman"/>
        </w:rPr>
        <w:t>. Data are presented as mean ± s.d.</w:t>
      </w:r>
    </w:p>
    <w:p w14:paraId="7446A6B8" w14:textId="77777777" w:rsidR="00515499" w:rsidRPr="00C02E77" w:rsidRDefault="00893D21" w:rsidP="00A22126">
      <w:pPr>
        <w:spacing w:after="120"/>
        <w:jc w:val="both"/>
        <w:rPr>
          <w:rFonts w:cs="Times New Roman"/>
        </w:rPr>
      </w:pPr>
      <w:r w:rsidRPr="00C02E77">
        <w:rPr>
          <w:rFonts w:cs="Times New Roman"/>
          <w:noProof/>
        </w:rPr>
        <w:lastRenderedPageBreak/>
        <w:drawing>
          <wp:inline distT="0" distB="0" distL="0" distR="0" wp14:anchorId="7D77FDDD" wp14:editId="6A698094">
            <wp:extent cx="5856790" cy="21031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pic:nvPicPr>
                  <pic:blipFill rotWithShape="1">
                    <a:blip r:embed="rId18"/>
                    <a:srcRect r="12688" b="72144"/>
                    <a:stretch>
                      <a:fillRect/>
                    </a:stretch>
                  </pic:blipFill>
                  <pic:spPr bwMode="auto">
                    <a:xfrm>
                      <a:off x="0" y="0"/>
                      <a:ext cx="5859947" cy="2104254"/>
                    </a:xfrm>
                    <a:prstGeom prst="rect">
                      <a:avLst/>
                    </a:prstGeom>
                    <a:ln>
                      <a:noFill/>
                    </a:ln>
                    <a:extLst>
                      <a:ext uri="{53640926-AAD7-44D8-BBD7-CCE9431645EC}">
                        <a14:shadowObscured xmlns:a14="http://schemas.microsoft.com/office/drawing/2010/main"/>
                      </a:ext>
                    </a:extLst>
                  </pic:spPr>
                </pic:pic>
              </a:graphicData>
            </a:graphic>
          </wp:inline>
        </w:drawing>
      </w:r>
    </w:p>
    <w:p w14:paraId="5576D7C1" w14:textId="6881626B" w:rsidR="00515499" w:rsidRDefault="00893D21" w:rsidP="00A22126">
      <w:pPr>
        <w:spacing w:after="360"/>
        <w:jc w:val="both"/>
        <w:rPr>
          <w:rFonts w:cs="Times New Roman"/>
        </w:rPr>
      </w:pPr>
      <w:r w:rsidRPr="00C02E77">
        <w:rPr>
          <w:rFonts w:cs="Times New Roman"/>
          <w:b/>
        </w:rPr>
        <w:t>Supplementary Fig. 1</w:t>
      </w:r>
      <w:r w:rsidR="00DB39C4">
        <w:rPr>
          <w:rFonts w:eastAsia="맑은 고딕" w:cs="Times New Roman" w:hint="eastAsia"/>
          <w:b/>
          <w:lang w:eastAsia="ko-KR"/>
        </w:rPr>
        <w:t>1</w:t>
      </w:r>
      <w:r w:rsidRPr="00C02E77">
        <w:rPr>
          <w:rFonts w:cs="Times New Roman"/>
          <w:b/>
        </w:rPr>
        <w:t xml:space="preserve">. Validation </w:t>
      </w:r>
      <w:r w:rsidR="008363C9">
        <w:rPr>
          <w:rFonts w:cs="Times New Roman"/>
          <w:b/>
        </w:rPr>
        <w:t xml:space="preserve">of </w:t>
      </w:r>
      <w:r w:rsidR="008363C9">
        <w:rPr>
          <w:rFonts w:eastAsia="맑은 고딕" w:cs="Times New Roman" w:hint="eastAsia"/>
          <w:b/>
          <w:lang w:eastAsia="ko-KR"/>
        </w:rPr>
        <w:t xml:space="preserve">CD105-dependent killing activity </w:t>
      </w:r>
      <w:r w:rsidRPr="00C02E77">
        <w:rPr>
          <w:rFonts w:cs="Times New Roman"/>
          <w:b/>
        </w:rPr>
        <w:t>of EN24-based CD105-CAR-pNK.</w:t>
      </w:r>
      <w:r w:rsidRPr="00C02E77">
        <w:rPr>
          <w:rFonts w:cs="Times New Roman"/>
        </w:rPr>
        <w:t xml:space="preserve"> </w:t>
      </w:r>
      <w:r w:rsidRPr="00C02E77">
        <w:rPr>
          <w:rFonts w:cs="Times New Roman"/>
          <w:b/>
        </w:rPr>
        <w:t>a,</w:t>
      </w:r>
      <w:r w:rsidRPr="00C02E77">
        <w:rPr>
          <w:rFonts w:cs="Times New Roman"/>
        </w:rPr>
        <w:t xml:space="preserve"> Flow cytometric analysis of CAR expression in mock-pNK, 9H10-CAR-pNK and EN24-CAR-pNK cells. CAR expression was detected </w:t>
      </w:r>
      <w:r w:rsidR="003418DB">
        <w:t>using biotinylated recombinant human CD105 protein followed by streptavidin–APC</w:t>
      </w:r>
      <w:r w:rsidRPr="00C02E77">
        <w:rPr>
          <w:rFonts w:cs="Times New Roman"/>
        </w:rPr>
        <w:t xml:space="preserve">. </w:t>
      </w:r>
      <w:r w:rsidRPr="00C02E77">
        <w:rPr>
          <w:rFonts w:cs="Times New Roman"/>
          <w:b/>
        </w:rPr>
        <w:t>b,</w:t>
      </w:r>
      <w:r w:rsidRPr="00C02E77">
        <w:rPr>
          <w:rFonts w:cs="Times New Roman"/>
        </w:rPr>
        <w:t xml:space="preserve"> Cytotoxicity of mock-pNK, 9H10-CAR-pNK, and EN24-CAR-pNK cells against CD105-negative AsPC-1-Luc and CD105-positive AsPC-1-CD105-Luc target cells.</w:t>
      </w:r>
    </w:p>
    <w:p w14:paraId="4FCD1C7E" w14:textId="0ACAF4CE" w:rsidR="00F56EFF" w:rsidRDefault="00F56EFF" w:rsidP="00A22126">
      <w:pPr>
        <w:spacing w:after="360"/>
        <w:jc w:val="both"/>
        <w:rPr>
          <w:rFonts w:cs="Times New Roman"/>
        </w:rPr>
      </w:pPr>
    </w:p>
    <w:p w14:paraId="271E2CF3" w14:textId="77777777" w:rsidR="00F56EFF" w:rsidRPr="00C02E77" w:rsidRDefault="00F56EFF" w:rsidP="00A22126">
      <w:pPr>
        <w:spacing w:after="360"/>
        <w:jc w:val="both"/>
        <w:rPr>
          <w:rFonts w:cs="Times New Roman"/>
        </w:rPr>
      </w:pPr>
    </w:p>
    <w:p w14:paraId="4B3FEB24" w14:textId="77777777" w:rsidR="00515499" w:rsidRPr="00C02E77" w:rsidRDefault="00893D21" w:rsidP="00A22126">
      <w:pPr>
        <w:spacing w:after="120"/>
        <w:jc w:val="both"/>
        <w:rPr>
          <w:rFonts w:cs="Times New Roman"/>
        </w:rPr>
      </w:pPr>
      <w:r w:rsidRPr="00C02E77">
        <w:rPr>
          <w:rFonts w:cs="Times New Roman"/>
          <w:noProof/>
        </w:rPr>
        <w:drawing>
          <wp:inline distT="0" distB="0" distL="0" distR="0" wp14:anchorId="2F1F5A7C" wp14:editId="54B8406F">
            <wp:extent cx="6027748" cy="2247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tiff"/>
                    <pic:cNvPicPr/>
                  </pic:nvPicPr>
                  <pic:blipFill rotWithShape="1">
                    <a:blip r:embed="rId19"/>
                    <a:srcRect r="12028" b="70852"/>
                    <a:stretch>
                      <a:fillRect/>
                    </a:stretch>
                  </pic:blipFill>
                  <pic:spPr bwMode="auto">
                    <a:xfrm>
                      <a:off x="0" y="0"/>
                      <a:ext cx="6033078" cy="2249888"/>
                    </a:xfrm>
                    <a:prstGeom prst="rect">
                      <a:avLst/>
                    </a:prstGeom>
                    <a:ln>
                      <a:noFill/>
                    </a:ln>
                    <a:extLst>
                      <a:ext uri="{53640926-AAD7-44D8-BBD7-CCE9431645EC}">
                        <a14:shadowObscured xmlns:a14="http://schemas.microsoft.com/office/drawing/2010/main"/>
                      </a:ext>
                    </a:extLst>
                  </pic:spPr>
                </pic:pic>
              </a:graphicData>
            </a:graphic>
          </wp:inline>
        </w:drawing>
      </w:r>
    </w:p>
    <w:p w14:paraId="4057BF90" w14:textId="26444D51" w:rsidR="00DC3017" w:rsidRPr="00C02E77" w:rsidRDefault="00893D21" w:rsidP="00A22126">
      <w:pPr>
        <w:spacing w:after="360"/>
        <w:jc w:val="both"/>
        <w:rPr>
          <w:rFonts w:eastAsia="맑은 고딕" w:cs="Times New Roman"/>
          <w:lang w:eastAsia="ko-KR"/>
        </w:rPr>
      </w:pPr>
      <w:r w:rsidRPr="00C02E77">
        <w:rPr>
          <w:rFonts w:cs="Times New Roman"/>
          <w:b/>
        </w:rPr>
        <w:t>Supplementary Fig. 1</w:t>
      </w:r>
      <w:r w:rsidR="00DB39C4">
        <w:rPr>
          <w:rFonts w:eastAsia="맑은 고딕" w:cs="Times New Roman" w:hint="eastAsia"/>
          <w:b/>
          <w:lang w:eastAsia="ko-KR"/>
        </w:rPr>
        <w:t>2</w:t>
      </w:r>
      <w:r w:rsidRPr="00C02E77">
        <w:rPr>
          <w:rFonts w:cs="Times New Roman"/>
          <w:b/>
        </w:rPr>
        <w:t>. Time-lapse imaging analysis of MTOC polarization dynamics during CD105-CAR-pNK-mediated target cell killing.</w:t>
      </w:r>
      <w:r w:rsidRPr="00C02E77">
        <w:rPr>
          <w:rFonts w:cs="Times New Roman"/>
        </w:rPr>
        <w:t xml:space="preserve"> Representative time-lapse confocal microscopy images showing microtubule-organizing centre (MTOC) dynamics during CD105-CAR-pNK cell-mediated target-cell killing. Images were acquired at 6-min intervals. Tubulin Tracker Deep Red-labelled MTOC</w:t>
      </w:r>
      <w:r w:rsidR="007A6A6A">
        <w:rPr>
          <w:rFonts w:cs="Times New Roman"/>
        </w:rPr>
        <w:t>s</w:t>
      </w:r>
      <w:r w:rsidRPr="00C02E77">
        <w:rPr>
          <w:rFonts w:cs="Times New Roman"/>
        </w:rPr>
        <w:t xml:space="preserve"> are shown in red, Pt.5-GFP target cells in green and CTV-labelled CAR-pNK cells in cyan. Dashed boxes indicate enlarged views of the immune synapse. Compared with 9H10-CD105-CAR-pNK cells, EN24-CD105-CAR-pNK cells exhibited more rapid MTOC depolarization following target-cell killing, consistent with efficient immune-synapse disengagement and accelerated CAR-off kinetics. Scale bars, 5 μm.</w:t>
      </w:r>
    </w:p>
    <w:p w14:paraId="18E7EF2F" w14:textId="7C90A30D" w:rsidR="00DC3017" w:rsidRPr="00C02E77" w:rsidRDefault="00DC3017" w:rsidP="00A22126">
      <w:pPr>
        <w:spacing w:after="360"/>
        <w:jc w:val="both"/>
        <w:rPr>
          <w:rFonts w:eastAsia="맑은 고딕" w:cs="Times New Roman"/>
          <w:lang w:eastAsia="ko-KR"/>
        </w:rPr>
      </w:pPr>
      <w:r w:rsidRPr="00C02E77">
        <w:rPr>
          <w:rFonts w:eastAsia="맑은 고딕" w:cs="Times New Roman"/>
          <w:noProof/>
          <w:lang w:eastAsia="ko-KR"/>
        </w:rPr>
        <w:lastRenderedPageBreak/>
        <w:drawing>
          <wp:inline distT="0" distB="0" distL="0" distR="0" wp14:anchorId="53CC2B33" wp14:editId="79372D6E">
            <wp:extent cx="6027165" cy="1874520"/>
            <wp:effectExtent l="0" t="0" r="0" b="0"/>
            <wp:docPr id="132197376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973767" name="그림 1321973767"/>
                    <pic:cNvPicPr/>
                  </pic:nvPicPr>
                  <pic:blipFill rotWithShape="1">
                    <a:blip r:embed="rId20"/>
                    <a:srcRect t="2211" r="16418" b="74685"/>
                    <a:stretch>
                      <a:fillRect/>
                    </a:stretch>
                  </pic:blipFill>
                  <pic:spPr bwMode="auto">
                    <a:xfrm>
                      <a:off x="0" y="0"/>
                      <a:ext cx="6033786" cy="1876579"/>
                    </a:xfrm>
                    <a:prstGeom prst="rect">
                      <a:avLst/>
                    </a:prstGeom>
                    <a:ln>
                      <a:noFill/>
                    </a:ln>
                    <a:extLst>
                      <a:ext uri="{53640926-AAD7-44D8-BBD7-CCE9431645EC}">
                        <a14:shadowObscured xmlns:a14="http://schemas.microsoft.com/office/drawing/2010/main"/>
                      </a:ext>
                    </a:extLst>
                  </pic:spPr>
                </pic:pic>
              </a:graphicData>
            </a:graphic>
          </wp:inline>
        </w:drawing>
      </w:r>
    </w:p>
    <w:p w14:paraId="74421489" w14:textId="274017C7" w:rsidR="00DC3017" w:rsidRPr="00C02E77" w:rsidRDefault="00C66724" w:rsidP="00DC3017">
      <w:pPr>
        <w:spacing w:after="360"/>
        <w:jc w:val="both"/>
        <w:rPr>
          <w:rFonts w:eastAsia="맑은 고딕" w:cs="Times New Roman"/>
          <w:lang w:eastAsia="ko-KR"/>
        </w:rPr>
      </w:pPr>
      <w:r w:rsidRPr="00C02E77">
        <w:rPr>
          <w:rFonts w:cs="Times New Roman"/>
          <w:b/>
          <w:bCs/>
        </w:rPr>
        <w:t>Supplementary Fig. 1</w:t>
      </w:r>
      <w:r w:rsidR="00DB39C4">
        <w:rPr>
          <w:rFonts w:eastAsia="맑은 고딕" w:cs="Times New Roman" w:hint="eastAsia"/>
          <w:b/>
          <w:bCs/>
          <w:lang w:eastAsia="ko-KR"/>
        </w:rPr>
        <w:t>3</w:t>
      </w:r>
      <w:r w:rsidRPr="00C02E77">
        <w:rPr>
          <w:rFonts w:cs="Times New Roman"/>
          <w:b/>
          <w:bCs/>
        </w:rPr>
        <w:t>. Validation of MSLN</w:t>
      </w:r>
      <w:r w:rsidRPr="00C02E77">
        <w:rPr>
          <w:rFonts w:eastAsia="맑은 고딕" w:cs="Times New Roman"/>
          <w:b/>
          <w:bCs/>
          <w:lang w:eastAsia="ko-KR"/>
        </w:rPr>
        <w:t>/mCherry</w:t>
      </w:r>
      <w:r w:rsidRPr="00C02E77">
        <w:rPr>
          <w:rFonts w:cs="Times New Roman"/>
          <w:b/>
          <w:bCs/>
        </w:rPr>
        <w:t>-expressing PANC-1 cells and MSLN-CAR-pNK cells.</w:t>
      </w:r>
      <w:r w:rsidRPr="00C02E77">
        <w:rPr>
          <w:rFonts w:cs="Times New Roman"/>
          <w:b/>
        </w:rPr>
        <w:t xml:space="preserve"> </w:t>
      </w:r>
      <w:r w:rsidRPr="00C02E77">
        <w:rPr>
          <w:rFonts w:cs="Times New Roman"/>
          <w:b/>
          <w:bCs/>
        </w:rPr>
        <w:t>a,</w:t>
      </w:r>
      <w:r w:rsidRPr="00C02E77">
        <w:rPr>
          <w:rFonts w:cs="Times New Roman"/>
          <w:b/>
        </w:rPr>
        <w:t xml:space="preserve"> </w:t>
      </w:r>
      <w:r w:rsidRPr="00C02E77">
        <w:rPr>
          <w:rFonts w:cs="Times New Roman"/>
          <w:bCs/>
        </w:rPr>
        <w:t xml:space="preserve">Flow cytometric validation of MSLN and mCherry expression in parental and MSLN/mCherry-expressing PANC-1 cells. </w:t>
      </w:r>
      <w:r w:rsidRPr="00C02E77">
        <w:rPr>
          <w:rFonts w:cs="Times New Roman"/>
          <w:b/>
        </w:rPr>
        <w:t>b</w:t>
      </w:r>
      <w:r w:rsidRPr="00C02E77">
        <w:rPr>
          <w:rFonts w:cs="Times New Roman"/>
          <w:bCs/>
        </w:rPr>
        <w:t>, Flow cytometric validation of MSLN-CAR expression in pNK cells transduced with the SS1-based MSLN-CAR.</w:t>
      </w:r>
    </w:p>
    <w:p w14:paraId="5F694701" w14:textId="77777777" w:rsidR="00DC3017" w:rsidRPr="00C02E77" w:rsidRDefault="00DC3017" w:rsidP="00A22126">
      <w:pPr>
        <w:spacing w:after="360"/>
        <w:jc w:val="both"/>
        <w:rPr>
          <w:rFonts w:eastAsia="맑은 고딕" w:cs="Times New Roman"/>
          <w:lang w:eastAsia="ko-KR"/>
        </w:rPr>
      </w:pPr>
    </w:p>
    <w:p w14:paraId="43849195" w14:textId="2E5B3025" w:rsidR="00515499" w:rsidRPr="00C02E77" w:rsidRDefault="00CA2042" w:rsidP="00CA2042">
      <w:pPr>
        <w:spacing w:after="120"/>
        <w:jc w:val="center"/>
        <w:rPr>
          <w:rFonts w:cs="Times New Roman"/>
        </w:rPr>
      </w:pPr>
      <w:r>
        <w:rPr>
          <w:rFonts w:cs="Times New Roman"/>
          <w:noProof/>
        </w:rPr>
        <w:lastRenderedPageBreak/>
        <w:drawing>
          <wp:inline distT="0" distB="0" distL="0" distR="0" wp14:anchorId="7B52C4B8" wp14:editId="65A7C559">
            <wp:extent cx="4410075" cy="5572125"/>
            <wp:effectExtent l="0" t="0" r="9525" b="9525"/>
            <wp:docPr id="41753156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31561" name="그림 417531561"/>
                    <pic:cNvPicPr/>
                  </pic:nvPicPr>
                  <pic:blipFill rotWithShape="1">
                    <a:blip r:embed="rId21"/>
                    <a:srcRect l="2799" t="3731" r="25218" b="15430"/>
                    <a:stretch>
                      <a:fillRect/>
                    </a:stretch>
                  </pic:blipFill>
                  <pic:spPr bwMode="auto">
                    <a:xfrm>
                      <a:off x="0" y="0"/>
                      <a:ext cx="4410075" cy="5572125"/>
                    </a:xfrm>
                    <a:prstGeom prst="rect">
                      <a:avLst/>
                    </a:prstGeom>
                    <a:ln>
                      <a:noFill/>
                    </a:ln>
                    <a:extLst>
                      <a:ext uri="{53640926-AAD7-44D8-BBD7-CCE9431645EC}">
                        <a14:shadowObscured xmlns:a14="http://schemas.microsoft.com/office/drawing/2010/main"/>
                      </a:ext>
                    </a:extLst>
                  </pic:spPr>
                </pic:pic>
              </a:graphicData>
            </a:graphic>
          </wp:inline>
        </w:drawing>
      </w:r>
    </w:p>
    <w:p w14:paraId="4FD1DC04" w14:textId="1A4216B5" w:rsidR="00515499" w:rsidRPr="00C02E77" w:rsidRDefault="00893D21" w:rsidP="00A22126">
      <w:pPr>
        <w:spacing w:after="360"/>
        <w:jc w:val="both"/>
        <w:rPr>
          <w:rFonts w:cs="Times New Roman"/>
        </w:rPr>
      </w:pPr>
      <w:r w:rsidRPr="00C02E77">
        <w:rPr>
          <w:rFonts w:cs="Times New Roman"/>
          <w:b/>
        </w:rPr>
        <w:t>Supplementary Fig. 1</w:t>
      </w:r>
      <w:r w:rsidR="00DB39C4">
        <w:rPr>
          <w:rFonts w:eastAsia="맑은 고딕" w:cs="Times New Roman" w:hint="eastAsia"/>
          <w:b/>
          <w:lang w:eastAsia="ko-KR"/>
        </w:rPr>
        <w:t>4</w:t>
      </w:r>
      <w:r w:rsidRPr="00C02E77">
        <w:rPr>
          <w:rFonts w:cs="Times New Roman"/>
          <w:b/>
        </w:rPr>
        <w:t>. Gating strategy and individual flow cytometry plots for intratumoural human NK-cell accumulation in CAF-rich xenografts.</w:t>
      </w:r>
      <w:r w:rsidRPr="00C02E77">
        <w:rPr>
          <w:rFonts w:cs="Times New Roman"/>
        </w:rPr>
        <w:t xml:space="preserve"> </w:t>
      </w:r>
      <w:r w:rsidRPr="00C02E77">
        <w:rPr>
          <w:rFonts w:cs="Times New Roman"/>
          <w:b/>
        </w:rPr>
        <w:t>a,</w:t>
      </w:r>
      <w:r w:rsidRPr="00C02E77">
        <w:rPr>
          <w:rFonts w:cs="Times New Roman"/>
        </w:rPr>
        <w:t xml:space="preserve"> Flow cytometry gating strategy used to identify transferred human NK cells in dissociated tumour tissues. Live single cells were gated, followed by human CD45⁺ cells. </w:t>
      </w:r>
      <w:r w:rsidRPr="00C02E77">
        <w:rPr>
          <w:rFonts w:cs="Times New Roman"/>
          <w:b/>
        </w:rPr>
        <w:t>b,</w:t>
      </w:r>
      <w:r w:rsidRPr="00C02E77">
        <w:rPr>
          <w:rFonts w:cs="Times New Roman"/>
        </w:rPr>
        <w:t xml:space="preserve"> Representative flow cytometry plots from individual mice in the tumour-only, mock-pNK, 9H10-CAR-pNK, and hEN24-CAR-pNK treatment groups. Intratumoural transferred NK cells were identified as human CD45⁺ events.</w:t>
      </w:r>
    </w:p>
    <w:p w14:paraId="40F26BF5" w14:textId="7C346AF3" w:rsidR="00515499" w:rsidRPr="00C02E77" w:rsidRDefault="00DC3017" w:rsidP="00A22126">
      <w:pPr>
        <w:spacing w:after="120"/>
        <w:jc w:val="both"/>
        <w:rPr>
          <w:rFonts w:cs="Times New Roman"/>
        </w:rPr>
      </w:pPr>
      <w:r w:rsidRPr="00C02E77">
        <w:rPr>
          <w:rFonts w:cs="Times New Roman"/>
          <w:noProof/>
        </w:rPr>
        <w:lastRenderedPageBreak/>
        <w:drawing>
          <wp:inline distT="0" distB="0" distL="0" distR="0" wp14:anchorId="01F7E97D" wp14:editId="590636EF">
            <wp:extent cx="6126480" cy="3931920"/>
            <wp:effectExtent l="0" t="0" r="7620" b="0"/>
            <wp:docPr id="161420844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08447" name="그림 1614208447"/>
                    <pic:cNvPicPr/>
                  </pic:nvPicPr>
                  <pic:blipFill rotWithShape="1">
                    <a:blip r:embed="rId22"/>
                    <a:srcRect t="3980" b="38978"/>
                    <a:stretch>
                      <a:fillRect/>
                    </a:stretch>
                  </pic:blipFill>
                  <pic:spPr bwMode="auto">
                    <a:xfrm>
                      <a:off x="0" y="0"/>
                      <a:ext cx="6126480" cy="3931920"/>
                    </a:xfrm>
                    <a:prstGeom prst="rect">
                      <a:avLst/>
                    </a:prstGeom>
                    <a:ln>
                      <a:noFill/>
                    </a:ln>
                    <a:extLst>
                      <a:ext uri="{53640926-AAD7-44D8-BBD7-CCE9431645EC}">
                        <a14:shadowObscured xmlns:a14="http://schemas.microsoft.com/office/drawing/2010/main"/>
                      </a:ext>
                    </a:extLst>
                  </pic:spPr>
                </pic:pic>
              </a:graphicData>
            </a:graphic>
          </wp:inline>
        </w:drawing>
      </w:r>
    </w:p>
    <w:p w14:paraId="55647458" w14:textId="5244B574" w:rsidR="001C13E3" w:rsidRPr="00C02E77" w:rsidRDefault="001C13E3" w:rsidP="00A22126">
      <w:pPr>
        <w:spacing w:after="120"/>
        <w:jc w:val="both"/>
        <w:rPr>
          <w:rFonts w:eastAsia="맑은 고딕" w:cs="Times New Roman"/>
          <w:b/>
          <w:lang w:eastAsia="ko-KR"/>
        </w:rPr>
      </w:pPr>
      <w:r w:rsidRPr="00C02E77">
        <w:rPr>
          <w:rFonts w:cs="Times New Roman"/>
          <w:b/>
          <w:bCs/>
        </w:rPr>
        <w:t>Supplementary Fig. 1</w:t>
      </w:r>
      <w:r w:rsidR="00DB39C4">
        <w:rPr>
          <w:rFonts w:eastAsia="맑은 고딕" w:cs="Times New Roman" w:hint="eastAsia"/>
          <w:b/>
          <w:bCs/>
          <w:lang w:eastAsia="ko-KR"/>
        </w:rPr>
        <w:t>5</w:t>
      </w:r>
      <w:r w:rsidRPr="00C02E77">
        <w:rPr>
          <w:rFonts w:cs="Times New Roman"/>
          <w:b/>
          <w:bCs/>
        </w:rPr>
        <w:t xml:space="preserve">. Validation of MSLN-CAR-T cells and longitudinal bioluminescence imaging of orthotopic PDAC </w:t>
      </w:r>
      <w:r w:rsidR="002F1822" w:rsidRPr="002F1822">
        <w:rPr>
          <w:rFonts w:cs="Times New Roman"/>
          <w:b/>
          <w:bCs/>
        </w:rPr>
        <w:t>tumours</w:t>
      </w:r>
      <w:r w:rsidRPr="00C02E77">
        <w:rPr>
          <w:rFonts w:cs="Times New Roman"/>
          <w:b/>
          <w:bCs/>
        </w:rPr>
        <w:t xml:space="preserve"> following sequential CD105-CAR-NK and MSLN-CAR-T-cell therapy.</w:t>
      </w:r>
      <w:r w:rsidRPr="00C02E77">
        <w:rPr>
          <w:rFonts w:cs="Times New Roman"/>
          <w:b/>
        </w:rPr>
        <w:t xml:space="preserve"> </w:t>
      </w:r>
      <w:r w:rsidRPr="00C02E77">
        <w:rPr>
          <w:rFonts w:cs="Times New Roman"/>
          <w:b/>
          <w:bCs/>
        </w:rPr>
        <w:t>a,</w:t>
      </w:r>
      <w:r w:rsidRPr="00C02E77">
        <w:rPr>
          <w:rFonts w:cs="Times New Roman"/>
          <w:b/>
        </w:rPr>
        <w:t xml:space="preserve"> </w:t>
      </w:r>
      <w:r w:rsidRPr="00C02E77">
        <w:rPr>
          <w:rFonts w:cs="Times New Roman"/>
          <w:bCs/>
        </w:rPr>
        <w:t>Flow cytometric validation of MSLN-CAR expression in T cells transduced with the Clone10 MSLN-CAR.</w:t>
      </w:r>
      <w:r w:rsidRPr="00C02E77">
        <w:rPr>
          <w:rFonts w:eastAsia="맑은 고딕" w:cs="Times New Roman"/>
          <w:bCs/>
          <w:lang w:eastAsia="ko-KR"/>
        </w:rPr>
        <w:t xml:space="preserve"> </w:t>
      </w:r>
      <w:r w:rsidRPr="00C02E77">
        <w:rPr>
          <w:rFonts w:cs="Times New Roman"/>
          <w:b/>
        </w:rPr>
        <w:t>b</w:t>
      </w:r>
      <w:r w:rsidRPr="00C02E77">
        <w:rPr>
          <w:rFonts w:cs="Times New Roman"/>
          <w:bCs/>
        </w:rPr>
        <w:t xml:space="preserve">, Longitudinal IVIS imaging of orthotopic PDAC </w:t>
      </w:r>
      <w:r w:rsidR="002F1822" w:rsidRPr="002F1822">
        <w:rPr>
          <w:rFonts w:cs="Times New Roman"/>
          <w:bCs/>
        </w:rPr>
        <w:t>tumours</w:t>
      </w:r>
      <w:r w:rsidRPr="00C02E77">
        <w:rPr>
          <w:rFonts w:cs="Times New Roman"/>
          <w:bCs/>
        </w:rPr>
        <w:t xml:space="preserve"> in mice receiving the indicated treatments. AsPC-1-MSLN-Luc cells were co-implanted with patient-derived Pt.5 CAFs into the pancreas, followed by sequential administration of CD105-CAR-NK cells and MSLN-CAR-T cells. Bioluminescence images were acquired on days 7, 11, 15 and 18 after cancer/CAF implantation. Treatment groups included AsPC-1-only, AsPC-1 + Pt.5 CAFs (non-treated), CD105-CAR-NK followed by mock T cells, </w:t>
      </w:r>
      <w:r w:rsidR="007A6A6A">
        <w:t>mock-pNK followed by MSLN-CAR-T cells</w:t>
      </w:r>
      <w:r w:rsidRPr="00C02E77">
        <w:rPr>
          <w:rFonts w:cs="Times New Roman"/>
          <w:bCs/>
        </w:rPr>
        <w:t>, and CD105-CAR-NK followed by MSLN-CAR-T cells.</w:t>
      </w:r>
    </w:p>
    <w:p w14:paraId="6E536CE0" w14:textId="77777777" w:rsidR="001C13E3" w:rsidRPr="00C02E77" w:rsidRDefault="001C13E3" w:rsidP="00A22126">
      <w:pPr>
        <w:spacing w:after="120"/>
        <w:jc w:val="both"/>
        <w:rPr>
          <w:rFonts w:eastAsia="맑은 고딕" w:cs="Times New Roman"/>
          <w:b/>
          <w:lang w:eastAsia="ko-KR"/>
        </w:rPr>
      </w:pPr>
    </w:p>
    <w:p w14:paraId="20ECA549" w14:textId="46F2383E" w:rsidR="00515499" w:rsidRPr="00C02E77" w:rsidRDefault="00893D21" w:rsidP="00A22126">
      <w:pPr>
        <w:spacing w:after="120"/>
        <w:jc w:val="both"/>
        <w:rPr>
          <w:rFonts w:eastAsia="맑은 고딕" w:cs="Times New Roman"/>
          <w:lang w:eastAsia="ko-KR"/>
        </w:rPr>
      </w:pPr>
      <w:r w:rsidRPr="00C02E77">
        <w:rPr>
          <w:rFonts w:cs="Times New Roman"/>
          <w:noProof/>
        </w:rPr>
        <w:lastRenderedPageBreak/>
        <w:drawing>
          <wp:inline distT="0" distB="0" distL="0" distR="0" wp14:anchorId="1936A226" wp14:editId="66037B7D">
            <wp:extent cx="5780163" cy="55860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eg"/>
                    <pic:cNvPicPr/>
                  </pic:nvPicPr>
                  <pic:blipFill rotWithShape="1">
                    <a:blip r:embed="rId23"/>
                    <a:srcRect r="1444" b="15377"/>
                    <a:stretch>
                      <a:fillRect/>
                    </a:stretch>
                  </pic:blipFill>
                  <pic:spPr bwMode="auto">
                    <a:xfrm>
                      <a:off x="0" y="0"/>
                      <a:ext cx="5786937" cy="5592642"/>
                    </a:xfrm>
                    <a:prstGeom prst="rect">
                      <a:avLst/>
                    </a:prstGeom>
                    <a:ln>
                      <a:noFill/>
                    </a:ln>
                    <a:extLst>
                      <a:ext uri="{53640926-AAD7-44D8-BBD7-CCE9431645EC}">
                        <a14:shadowObscured xmlns:a14="http://schemas.microsoft.com/office/drawing/2010/main"/>
                      </a:ext>
                    </a:extLst>
                  </pic:spPr>
                </pic:pic>
              </a:graphicData>
            </a:graphic>
          </wp:inline>
        </w:drawing>
      </w:r>
    </w:p>
    <w:p w14:paraId="1AEC5B3A" w14:textId="77777777" w:rsidR="00691BB3" w:rsidRPr="00C02E77" w:rsidRDefault="00691BB3" w:rsidP="00A22126">
      <w:pPr>
        <w:spacing w:after="120"/>
        <w:jc w:val="both"/>
        <w:rPr>
          <w:rFonts w:eastAsia="맑은 고딕" w:cs="Times New Roman"/>
          <w:lang w:eastAsia="ko-KR"/>
        </w:rPr>
      </w:pPr>
    </w:p>
    <w:p w14:paraId="318DA255" w14:textId="29260192" w:rsidR="00515499" w:rsidRPr="00C02E77" w:rsidRDefault="00893D21" w:rsidP="00A22126">
      <w:pPr>
        <w:spacing w:after="360"/>
        <w:jc w:val="both"/>
        <w:rPr>
          <w:rFonts w:cs="Times New Roman"/>
        </w:rPr>
      </w:pPr>
      <w:r w:rsidRPr="00C02E77">
        <w:rPr>
          <w:rFonts w:cs="Times New Roman"/>
          <w:b/>
        </w:rPr>
        <w:t>Supplementary Fig. 1</w:t>
      </w:r>
      <w:r w:rsidR="00DB39C4">
        <w:rPr>
          <w:rFonts w:eastAsia="맑은 고딕" w:cs="Times New Roman" w:hint="eastAsia"/>
          <w:b/>
          <w:lang w:eastAsia="ko-KR"/>
        </w:rPr>
        <w:t>6</w:t>
      </w:r>
      <w:r w:rsidRPr="00C02E77">
        <w:rPr>
          <w:rFonts w:cs="Times New Roman"/>
          <w:b/>
        </w:rPr>
        <w:t>. Gating strategy and individual flow cytometry plots for intratumoural human immune cells in the orthotopic PDAC model. a</w:t>
      </w:r>
      <w:r w:rsidRPr="00C02E77">
        <w:rPr>
          <w:rFonts w:cs="Times New Roman"/>
        </w:rPr>
        <w:t xml:space="preserve">, Flow-cytometric gating strategy for identification and characterization of tumour-infiltrating human immune cells. </w:t>
      </w:r>
      <w:r w:rsidRPr="00C02E77">
        <w:rPr>
          <w:rFonts w:cs="Times New Roman"/>
          <w:b/>
        </w:rPr>
        <w:t>b</w:t>
      </w:r>
      <w:r w:rsidRPr="00C02E77">
        <w:rPr>
          <w:rFonts w:cs="Times New Roman"/>
        </w:rPr>
        <w:t xml:space="preserve">, Representative flow-cytometry plots showing human CD45⁺ cells in individual mice from the indicated treatment groups. </w:t>
      </w:r>
      <w:r w:rsidRPr="00C02E77">
        <w:rPr>
          <w:rFonts w:cs="Times New Roman"/>
          <w:b/>
        </w:rPr>
        <w:t>c</w:t>
      </w:r>
      <w:r w:rsidRPr="00C02E77">
        <w:rPr>
          <w:rFonts w:cs="Times New Roman"/>
        </w:rPr>
        <w:t xml:space="preserve">, Representative flow cytometry plots showing hCD3 and hCD56 expression among tumour-infiltrating human CD45⁺ cells from individual mice in the indicated treatment groups. </w:t>
      </w:r>
      <w:r w:rsidRPr="00C02E77">
        <w:rPr>
          <w:rFonts w:cs="Times New Roman"/>
          <w:b/>
        </w:rPr>
        <w:t>d</w:t>
      </w:r>
      <w:r w:rsidRPr="00C02E77">
        <w:rPr>
          <w:rFonts w:cs="Times New Roman"/>
        </w:rPr>
        <w:t xml:space="preserve">, Representative flow cytometry plots showing MSLN-CAR expression in tumour-infiltrating T cells (hCD3⁺hCD56⁻) from individual mice in the indicated treatment groups. </w:t>
      </w:r>
      <w:r w:rsidRPr="00C02E77">
        <w:rPr>
          <w:rFonts w:cs="Times New Roman"/>
          <w:b/>
        </w:rPr>
        <w:t>e</w:t>
      </w:r>
      <w:r w:rsidRPr="00C02E77">
        <w:rPr>
          <w:rFonts w:cs="Times New Roman"/>
        </w:rPr>
        <w:t>, Representative flow cytometry plots showing CD105-CAR expression in tumour-infiltrating NK cells (hCD3⁻hCD56⁺) from individual mice in the indicated treatment groups.</w:t>
      </w:r>
    </w:p>
    <w:p w14:paraId="2199754A" w14:textId="4C01FA60" w:rsidR="00515499" w:rsidRPr="00C02E77" w:rsidRDefault="00515499" w:rsidP="00A22126">
      <w:pPr>
        <w:spacing w:after="120"/>
        <w:jc w:val="both"/>
        <w:rPr>
          <w:rFonts w:eastAsia="맑은 고딕" w:cs="Times New Roman"/>
          <w:lang w:eastAsia="ko-KR"/>
        </w:rPr>
      </w:pPr>
    </w:p>
    <w:p w14:paraId="2A2051B4" w14:textId="77777777" w:rsidR="00F3183D" w:rsidRPr="00C02E77" w:rsidRDefault="00F3183D" w:rsidP="00A22126">
      <w:pPr>
        <w:spacing w:after="360"/>
        <w:jc w:val="both"/>
        <w:rPr>
          <w:rFonts w:eastAsia="맑은 고딕" w:cs="Times New Roman"/>
          <w:b/>
          <w:lang w:eastAsia="ko-KR"/>
        </w:rPr>
      </w:pPr>
    </w:p>
    <w:p w14:paraId="3CD8ADF7" w14:textId="709F23E1" w:rsidR="00F3183D" w:rsidRPr="00C02E77" w:rsidRDefault="00DD366B" w:rsidP="00A22126">
      <w:pPr>
        <w:spacing w:after="360"/>
        <w:jc w:val="both"/>
        <w:rPr>
          <w:rFonts w:eastAsia="맑은 고딕" w:cs="Times New Roman"/>
          <w:b/>
          <w:lang w:eastAsia="ko-KR"/>
        </w:rPr>
      </w:pPr>
      <w:r>
        <w:rPr>
          <w:rFonts w:eastAsia="맑은 고딕" w:cs="Times New Roman"/>
          <w:b/>
          <w:noProof/>
          <w:lang w:eastAsia="ko-KR"/>
        </w:rPr>
        <w:lastRenderedPageBreak/>
        <w:drawing>
          <wp:inline distT="0" distB="0" distL="0" distR="0" wp14:anchorId="24305697" wp14:editId="26FDA7A9">
            <wp:extent cx="6126480" cy="5661660"/>
            <wp:effectExtent l="0" t="0" r="7620" b="0"/>
            <wp:docPr id="190674551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45519" name="그림 1906745519"/>
                    <pic:cNvPicPr/>
                  </pic:nvPicPr>
                  <pic:blipFill rotWithShape="1">
                    <a:blip r:embed="rId24"/>
                    <a:srcRect t="2653" b="15209"/>
                    <a:stretch>
                      <a:fillRect/>
                    </a:stretch>
                  </pic:blipFill>
                  <pic:spPr bwMode="auto">
                    <a:xfrm>
                      <a:off x="0" y="0"/>
                      <a:ext cx="6126480" cy="5661660"/>
                    </a:xfrm>
                    <a:prstGeom prst="rect">
                      <a:avLst/>
                    </a:prstGeom>
                    <a:ln>
                      <a:noFill/>
                    </a:ln>
                    <a:extLst>
                      <a:ext uri="{53640926-AAD7-44D8-BBD7-CCE9431645EC}">
                        <a14:shadowObscured xmlns:a14="http://schemas.microsoft.com/office/drawing/2010/main"/>
                      </a:ext>
                    </a:extLst>
                  </pic:spPr>
                </pic:pic>
              </a:graphicData>
            </a:graphic>
          </wp:inline>
        </w:drawing>
      </w:r>
    </w:p>
    <w:p w14:paraId="17356CA1" w14:textId="0701B96C" w:rsidR="00515499" w:rsidRPr="00C02E77" w:rsidRDefault="00893D21" w:rsidP="00A22126">
      <w:pPr>
        <w:spacing w:after="360"/>
        <w:jc w:val="both"/>
        <w:rPr>
          <w:rFonts w:cs="Times New Roman"/>
        </w:rPr>
      </w:pPr>
      <w:r w:rsidRPr="00F56EFF">
        <w:rPr>
          <w:rFonts w:cs="Times New Roman"/>
          <w:b/>
          <w:color w:val="000000" w:themeColor="text1"/>
        </w:rPr>
        <w:t>Supplementary Fig. 1</w:t>
      </w:r>
      <w:r w:rsidR="00DB39C4" w:rsidRPr="00F56EFF">
        <w:rPr>
          <w:rFonts w:eastAsia="맑은 고딕" w:cs="Times New Roman" w:hint="eastAsia"/>
          <w:b/>
          <w:color w:val="000000" w:themeColor="text1"/>
          <w:lang w:eastAsia="ko-KR"/>
        </w:rPr>
        <w:t>7</w:t>
      </w:r>
      <w:r w:rsidRPr="00F56EFF">
        <w:rPr>
          <w:rFonts w:cs="Times New Roman"/>
          <w:b/>
          <w:color w:val="000000" w:themeColor="text1"/>
        </w:rPr>
        <w:t xml:space="preserve">. Systemic tolerability of hEN24-CD105-CAR-NK cells in </w:t>
      </w:r>
      <w:r w:rsidRPr="00F56EFF">
        <w:rPr>
          <w:rFonts w:cs="Times New Roman"/>
          <w:b/>
          <w:i/>
          <w:iCs/>
          <w:color w:val="000000" w:themeColor="text1"/>
        </w:rPr>
        <w:t>hENG</w:t>
      </w:r>
      <w:r w:rsidRPr="00F56EFF">
        <w:rPr>
          <w:rFonts w:cs="Times New Roman"/>
          <w:b/>
          <w:color w:val="000000" w:themeColor="text1"/>
        </w:rPr>
        <w:t xml:space="preserve"> knock-in (KI) mice</w:t>
      </w:r>
      <w:r w:rsidR="00FC3B6E" w:rsidRPr="00F56EFF">
        <w:rPr>
          <w:rFonts w:cs="Times New Roman"/>
          <w:b/>
          <w:bCs/>
          <w:color w:val="000000" w:themeColor="text1"/>
        </w:rPr>
        <w:t>.</w:t>
      </w:r>
      <w:r w:rsidR="009D09A4">
        <w:rPr>
          <w:rFonts w:eastAsia="맑은 고딕" w:cs="Times New Roman" w:hint="eastAsia"/>
          <w:color w:val="000000" w:themeColor="text1"/>
          <w:lang w:eastAsia="ko-KR"/>
        </w:rPr>
        <w:t xml:space="preserve"> </w:t>
      </w:r>
      <w:r w:rsidR="00FC3B6E" w:rsidRPr="00F56EFF">
        <w:rPr>
          <w:rFonts w:cs="Times New Roman"/>
          <w:b/>
          <w:bCs/>
          <w:color w:val="000000" w:themeColor="text1"/>
        </w:rPr>
        <w:t>a</w:t>
      </w:r>
      <w:r w:rsidR="00FC3B6E" w:rsidRPr="00F56EFF">
        <w:rPr>
          <w:rFonts w:cs="Times New Roman"/>
          <w:color w:val="000000" w:themeColor="text1"/>
        </w:rPr>
        <w:t xml:space="preserve">, Flow-cytometric validation of human CD105 expression in lung endothelial cells of </w:t>
      </w:r>
      <w:r w:rsidR="00FC3B6E" w:rsidRPr="00F56EFF">
        <w:rPr>
          <w:rFonts w:cs="Times New Roman"/>
          <w:i/>
          <w:iCs/>
          <w:color w:val="000000" w:themeColor="text1"/>
        </w:rPr>
        <w:t>hENG</w:t>
      </w:r>
      <w:r w:rsidR="00FC3B6E" w:rsidRPr="00F56EFF">
        <w:rPr>
          <w:rFonts w:cs="Times New Roman"/>
          <w:color w:val="000000" w:themeColor="text1"/>
        </w:rPr>
        <w:t xml:space="preserve"> KI mice. Lung single-cell suspensions from wild-type (WT) and </w:t>
      </w:r>
      <w:r w:rsidR="00FC3B6E" w:rsidRPr="00F56EFF">
        <w:rPr>
          <w:rFonts w:cs="Times New Roman"/>
          <w:i/>
          <w:iCs/>
          <w:color w:val="000000" w:themeColor="text1"/>
        </w:rPr>
        <w:t>hENG</w:t>
      </w:r>
      <w:r w:rsidR="00FC3B6E" w:rsidRPr="00F56EFF">
        <w:rPr>
          <w:rFonts w:cs="Times New Roman"/>
          <w:color w:val="000000" w:themeColor="text1"/>
        </w:rPr>
        <w:t xml:space="preserve"> KI mice were stained with anti-CD45, anti-CD31 and the human CD105-specific antibody 9H10, which was detected with a PE-conjugated anti-human IgG Fc secondary antibody. Left, representative histograms of human CD105 (hCD105) staining gated on CD45</w:t>
      </w:r>
      <w:r w:rsidR="00FC3B6E" w:rsidRPr="00F56EFF">
        <w:rPr>
          <w:rFonts w:cs="Times New Roman"/>
          <w:color w:val="000000" w:themeColor="text1"/>
          <w:vertAlign w:val="superscript"/>
        </w:rPr>
        <w:t>−</w:t>
      </w:r>
      <w:r w:rsidR="00FC3B6E" w:rsidRPr="00F56EFF">
        <w:rPr>
          <w:rFonts w:cs="Times New Roman"/>
          <w:color w:val="000000" w:themeColor="text1"/>
        </w:rPr>
        <w:t>CD31</w:t>
      </w:r>
      <w:r w:rsidR="00FC3B6E" w:rsidRPr="00F56EFF">
        <w:rPr>
          <w:rFonts w:cs="Times New Roman"/>
          <w:color w:val="000000" w:themeColor="text1"/>
          <w:vertAlign w:val="superscript"/>
        </w:rPr>
        <w:t>+</w:t>
      </w:r>
      <w:r w:rsidR="00FC3B6E" w:rsidRPr="00F56EFF">
        <w:rPr>
          <w:rFonts w:cs="Times New Roman"/>
          <w:color w:val="000000" w:themeColor="text1"/>
        </w:rPr>
        <w:t xml:space="preserve"> lung endothelial cells. Right, quantification of the PE median fluorescence intensity (MFI) within the same gate (n = 2 mice per genotype). </w:t>
      </w:r>
      <w:r w:rsidR="00FC3B6E" w:rsidRPr="00F56EFF">
        <w:rPr>
          <w:rFonts w:eastAsia="맑은 고딕" w:cs="Times New Roman"/>
          <w:b/>
          <w:color w:val="000000" w:themeColor="text1"/>
          <w:lang w:eastAsia="ko-KR"/>
        </w:rPr>
        <w:t>b</w:t>
      </w:r>
      <w:r w:rsidRPr="00F56EFF">
        <w:rPr>
          <w:rFonts w:cs="Times New Roman"/>
          <w:b/>
          <w:color w:val="000000" w:themeColor="text1"/>
        </w:rPr>
        <w:t>,</w:t>
      </w:r>
      <w:r w:rsidRPr="00F56EFF">
        <w:rPr>
          <w:rFonts w:cs="Times New Roman"/>
          <w:color w:val="000000" w:themeColor="text1"/>
        </w:rPr>
        <w:t xml:space="preserve"> Schematic of hENG KI mice used for systemic tolerability assessment following CD105-CAR-NK administration. </w:t>
      </w:r>
      <w:r w:rsidR="00FC3B6E" w:rsidRPr="00F56EFF">
        <w:rPr>
          <w:rFonts w:eastAsia="맑은 고딕" w:cs="Times New Roman"/>
          <w:b/>
          <w:color w:val="000000" w:themeColor="text1"/>
          <w:lang w:eastAsia="ko-KR"/>
        </w:rPr>
        <w:t>c</w:t>
      </w:r>
      <w:r w:rsidRPr="00F56EFF">
        <w:rPr>
          <w:rFonts w:cs="Times New Roman"/>
          <w:b/>
          <w:color w:val="000000" w:themeColor="text1"/>
        </w:rPr>
        <w:t>,</w:t>
      </w:r>
      <w:r w:rsidRPr="00F56EFF">
        <w:rPr>
          <w:rFonts w:cs="Times New Roman"/>
          <w:color w:val="000000" w:themeColor="text1"/>
        </w:rPr>
        <w:t xml:space="preserve"> Longitudinal changes in body weight following intravenous administration of vehicle, mock-pNK cells or hEN24-CD105-CAR-pNK cells at the indicated doses (5 × 10⁶ or 1 × 10⁷ cells; </w:t>
      </w:r>
      <w:r w:rsidRPr="00F56EFF">
        <w:rPr>
          <w:rFonts w:cs="Times New Roman"/>
          <w:i/>
          <w:color w:val="000000" w:themeColor="text1"/>
        </w:rPr>
        <w:t>n</w:t>
      </w:r>
      <w:r w:rsidRPr="00F56EFF">
        <w:rPr>
          <w:rFonts w:cs="Times New Roman"/>
          <w:color w:val="000000" w:themeColor="text1"/>
        </w:rPr>
        <w:t xml:space="preserve"> = 4 mice per group, two males and two females). Body weight was normalized to the value measured before NK-cell administration and is shown </w:t>
      </w:r>
      <w:r w:rsidRPr="00C02E77">
        <w:rPr>
          <w:rFonts w:cs="Times New Roman"/>
        </w:rPr>
        <w:t xml:space="preserve">as fold change (F.C.). </w:t>
      </w:r>
      <w:r w:rsidR="00FC3B6E" w:rsidRPr="00C02E77">
        <w:rPr>
          <w:rFonts w:eastAsia="맑은 고딕" w:cs="Times New Roman"/>
          <w:b/>
          <w:lang w:eastAsia="ko-KR"/>
        </w:rPr>
        <w:t>d</w:t>
      </w:r>
      <w:r w:rsidRPr="00C02E77">
        <w:rPr>
          <w:rFonts w:cs="Times New Roman"/>
          <w:b/>
        </w:rPr>
        <w:t>,</w:t>
      </w:r>
      <w:r w:rsidRPr="00C02E77">
        <w:rPr>
          <w:rFonts w:cs="Times New Roman"/>
        </w:rPr>
        <w:t xml:space="preserve"> Serum biochemical parameters measured at the experimental endpoint, including aspartate aminotransferase (AST), alanine aminotransferase (ALT), blood urea nitrogen (BUN) and creatinine, for vehicle, mock-pNK and both hEN24-CD105-CAR-pNK dose groups (</w:t>
      </w:r>
      <w:r w:rsidRPr="00C02E77">
        <w:rPr>
          <w:rFonts w:cs="Times New Roman"/>
          <w:i/>
        </w:rPr>
        <w:t>n</w:t>
      </w:r>
      <w:r w:rsidRPr="00C02E77">
        <w:rPr>
          <w:rFonts w:cs="Times New Roman"/>
        </w:rPr>
        <w:t xml:space="preserve"> = 4 mice per group). No significant differences were </w:t>
      </w:r>
      <w:r w:rsidRPr="00C02E77">
        <w:rPr>
          <w:rFonts w:cs="Times New Roman"/>
        </w:rPr>
        <w:lastRenderedPageBreak/>
        <w:t>observed among the indicated groups;</w:t>
      </w:r>
      <w:r w:rsidR="000D2ED9" w:rsidRPr="00C02E77">
        <w:rPr>
          <w:rFonts w:cs="Times New Roman"/>
        </w:rPr>
        <w:t xml:space="preserve"> </w:t>
      </w:r>
      <w:r w:rsidR="00C02E77" w:rsidRPr="00C02E77">
        <w:rPr>
          <w:rFonts w:eastAsia="맑은 고딕" w:cs="Times New Roman"/>
          <w:lang w:eastAsia="ko-KR"/>
        </w:rPr>
        <w:t>s</w:t>
      </w:r>
      <w:r w:rsidR="000D2ED9" w:rsidRPr="00C02E77">
        <w:rPr>
          <w:rFonts w:cs="Times New Roman"/>
        </w:rPr>
        <w:t>tatistical significance was determined using two-way ANOVA with Tukey’s multiple comparisons test for panel c and one-way ANOVA with Tukey’s multiple comparisons test for panel d. Data are presented as the mean ± s.d. ns, not significant.</w:t>
      </w:r>
      <w:r w:rsidRPr="00C02E77">
        <w:rPr>
          <w:rFonts w:cs="Times New Roman"/>
          <w:b/>
        </w:rPr>
        <w:t xml:space="preserve"> </w:t>
      </w:r>
    </w:p>
    <w:p w14:paraId="779520AC" w14:textId="77777777" w:rsidR="00515499" w:rsidRPr="00C02E77" w:rsidRDefault="00893D21" w:rsidP="00A22126">
      <w:pPr>
        <w:jc w:val="both"/>
        <w:rPr>
          <w:rFonts w:cs="Times New Roman"/>
        </w:rPr>
      </w:pPr>
      <w:r w:rsidRPr="00C02E77">
        <w:rPr>
          <w:rFonts w:cs="Times New Roman"/>
        </w:rPr>
        <w:br w:type="page"/>
      </w:r>
    </w:p>
    <w:p w14:paraId="2F134B90" w14:textId="77777777" w:rsidR="00515499" w:rsidRPr="00C02E77" w:rsidRDefault="00893D21" w:rsidP="00A22126">
      <w:pPr>
        <w:spacing w:after="240"/>
        <w:jc w:val="both"/>
        <w:rPr>
          <w:rFonts w:cs="Times New Roman"/>
        </w:rPr>
      </w:pPr>
      <w:r w:rsidRPr="00C02E77">
        <w:rPr>
          <w:rFonts w:cs="Times New Roman"/>
          <w:b/>
        </w:rPr>
        <w:lastRenderedPageBreak/>
        <w:t>Supplementary Tables</w:t>
      </w:r>
    </w:p>
    <w:p w14:paraId="1246AE81" w14:textId="77777777" w:rsidR="00515499" w:rsidRPr="00C02E77" w:rsidRDefault="00893D21" w:rsidP="00A22126">
      <w:pPr>
        <w:spacing w:after="80"/>
        <w:jc w:val="both"/>
        <w:rPr>
          <w:rFonts w:cs="Times New Roman"/>
        </w:rPr>
      </w:pPr>
      <w:r w:rsidRPr="00C02E77">
        <w:rPr>
          <w:rFonts w:cs="Times New Roman"/>
          <w:b/>
        </w:rPr>
        <w:t>Supplementary Table 1. EC</w:t>
      </w:r>
      <w:r w:rsidRPr="00C02E77">
        <w:rPr>
          <w:rFonts w:cs="Times New Roman"/>
          <w:b/>
          <w:vertAlign w:val="subscript"/>
        </w:rPr>
        <w:t>50</w:t>
      </w:r>
      <w:r w:rsidRPr="00C02E77">
        <w:rPr>
          <w:rFonts w:cs="Times New Roman"/>
          <w:b/>
        </w:rPr>
        <w:t xml:space="preserve"> values of anti-CD105 scFvs determined by ELISA against biotinylated CD105-His.</w:t>
      </w:r>
    </w:p>
    <w:tbl>
      <w:tblPr>
        <w:tblStyle w:val="af9"/>
        <w:tblW w:w="0" w:type="auto"/>
        <w:tblLook w:val="04A0" w:firstRow="1" w:lastRow="0" w:firstColumn="1" w:lastColumn="0" w:noHBand="0" w:noVBand="1"/>
      </w:tblPr>
      <w:tblGrid>
        <w:gridCol w:w="3168"/>
        <w:gridCol w:w="3168"/>
      </w:tblGrid>
      <w:tr w:rsidR="00515499" w:rsidRPr="00C02E77" w14:paraId="2F57B903" w14:textId="77777777">
        <w:trPr>
          <w:tblHeader/>
        </w:trPr>
        <w:tc>
          <w:tcPr>
            <w:tcW w:w="3168" w:type="dxa"/>
            <w:shd w:val="clear" w:color="auto" w:fill="EFEFEF"/>
          </w:tcPr>
          <w:p w14:paraId="3CA14083" w14:textId="77777777" w:rsidR="00515499" w:rsidRPr="00C02E77" w:rsidRDefault="00893D21" w:rsidP="00A22126">
            <w:pPr>
              <w:jc w:val="both"/>
              <w:rPr>
                <w:rFonts w:cs="Times New Roman"/>
              </w:rPr>
            </w:pPr>
            <w:r w:rsidRPr="00C02E77">
              <w:rPr>
                <w:rFonts w:cs="Times New Roman"/>
                <w:b/>
              </w:rPr>
              <w:t>Clone ID</w:t>
            </w:r>
          </w:p>
        </w:tc>
        <w:tc>
          <w:tcPr>
            <w:tcW w:w="3168" w:type="dxa"/>
            <w:shd w:val="clear" w:color="auto" w:fill="EFEFEF"/>
          </w:tcPr>
          <w:p w14:paraId="1134BD88" w14:textId="77777777" w:rsidR="00515499" w:rsidRPr="00C02E77" w:rsidRDefault="00893D21" w:rsidP="00A22126">
            <w:pPr>
              <w:jc w:val="both"/>
              <w:rPr>
                <w:rFonts w:cs="Times New Roman"/>
              </w:rPr>
            </w:pPr>
            <w:r w:rsidRPr="00C02E77">
              <w:rPr>
                <w:rFonts w:cs="Times New Roman"/>
                <w:b/>
              </w:rPr>
              <w:t>EC</w:t>
            </w:r>
            <w:r w:rsidRPr="00C02E77">
              <w:rPr>
                <w:rFonts w:cs="Times New Roman"/>
                <w:b/>
                <w:vertAlign w:val="subscript"/>
              </w:rPr>
              <w:t>50</w:t>
            </w:r>
            <w:r w:rsidRPr="00C02E77">
              <w:rPr>
                <w:rFonts w:cs="Times New Roman"/>
                <w:b/>
              </w:rPr>
              <w:t xml:space="preserve"> (nM)</w:t>
            </w:r>
          </w:p>
        </w:tc>
      </w:tr>
      <w:tr w:rsidR="00515499" w:rsidRPr="00C02E77" w14:paraId="122223D6" w14:textId="77777777">
        <w:tc>
          <w:tcPr>
            <w:tcW w:w="3168" w:type="dxa"/>
          </w:tcPr>
          <w:p w14:paraId="5361812E" w14:textId="77777777" w:rsidR="00515499" w:rsidRPr="00C02E77" w:rsidRDefault="00893D21" w:rsidP="00A22126">
            <w:pPr>
              <w:jc w:val="both"/>
              <w:rPr>
                <w:rFonts w:cs="Times New Roman"/>
              </w:rPr>
            </w:pPr>
            <w:r w:rsidRPr="00C02E77">
              <w:rPr>
                <w:rFonts w:cs="Times New Roman"/>
              </w:rPr>
              <w:t>CLEN01</w:t>
            </w:r>
          </w:p>
        </w:tc>
        <w:tc>
          <w:tcPr>
            <w:tcW w:w="3168" w:type="dxa"/>
          </w:tcPr>
          <w:p w14:paraId="5EA59A6D" w14:textId="77777777" w:rsidR="00515499" w:rsidRPr="00C02E77" w:rsidRDefault="00893D21" w:rsidP="00A22126">
            <w:pPr>
              <w:jc w:val="both"/>
              <w:rPr>
                <w:rFonts w:cs="Times New Roman"/>
              </w:rPr>
            </w:pPr>
            <w:r w:rsidRPr="00C02E77">
              <w:rPr>
                <w:rFonts w:cs="Times New Roman"/>
              </w:rPr>
              <w:t>n.d.</w:t>
            </w:r>
          </w:p>
        </w:tc>
      </w:tr>
      <w:tr w:rsidR="00515499" w:rsidRPr="00C02E77" w14:paraId="13D16947" w14:textId="77777777">
        <w:tc>
          <w:tcPr>
            <w:tcW w:w="3168" w:type="dxa"/>
          </w:tcPr>
          <w:p w14:paraId="42C59339" w14:textId="77777777" w:rsidR="00515499" w:rsidRPr="00C02E77" w:rsidRDefault="00893D21" w:rsidP="00A22126">
            <w:pPr>
              <w:jc w:val="both"/>
              <w:rPr>
                <w:rFonts w:cs="Times New Roman"/>
              </w:rPr>
            </w:pPr>
            <w:r w:rsidRPr="00C02E77">
              <w:rPr>
                <w:rFonts w:cs="Times New Roman"/>
              </w:rPr>
              <w:t>CLEN02</w:t>
            </w:r>
          </w:p>
        </w:tc>
        <w:tc>
          <w:tcPr>
            <w:tcW w:w="3168" w:type="dxa"/>
          </w:tcPr>
          <w:p w14:paraId="30ADBA50" w14:textId="77777777" w:rsidR="00515499" w:rsidRPr="00C02E77" w:rsidRDefault="00893D21" w:rsidP="00A22126">
            <w:pPr>
              <w:jc w:val="both"/>
              <w:rPr>
                <w:rFonts w:cs="Times New Roman"/>
              </w:rPr>
            </w:pPr>
            <w:r w:rsidRPr="00C02E77">
              <w:rPr>
                <w:rFonts w:cs="Times New Roman"/>
              </w:rPr>
              <w:t>&gt;1000</w:t>
            </w:r>
          </w:p>
        </w:tc>
      </w:tr>
      <w:tr w:rsidR="00515499" w:rsidRPr="00C02E77" w14:paraId="2E1B5121" w14:textId="77777777">
        <w:tc>
          <w:tcPr>
            <w:tcW w:w="3168" w:type="dxa"/>
          </w:tcPr>
          <w:p w14:paraId="63C096F1" w14:textId="77777777" w:rsidR="00515499" w:rsidRPr="00C02E77" w:rsidRDefault="00893D21" w:rsidP="00A22126">
            <w:pPr>
              <w:jc w:val="both"/>
              <w:rPr>
                <w:rFonts w:cs="Times New Roman"/>
              </w:rPr>
            </w:pPr>
            <w:r w:rsidRPr="00C02E77">
              <w:rPr>
                <w:rFonts w:cs="Times New Roman"/>
              </w:rPr>
              <w:t>CLEN03</w:t>
            </w:r>
          </w:p>
        </w:tc>
        <w:tc>
          <w:tcPr>
            <w:tcW w:w="3168" w:type="dxa"/>
          </w:tcPr>
          <w:p w14:paraId="6E6B86B2" w14:textId="77777777" w:rsidR="00515499" w:rsidRPr="00C02E77" w:rsidRDefault="00893D21" w:rsidP="00A22126">
            <w:pPr>
              <w:jc w:val="both"/>
              <w:rPr>
                <w:rFonts w:cs="Times New Roman"/>
              </w:rPr>
            </w:pPr>
            <w:r w:rsidRPr="00C02E77">
              <w:rPr>
                <w:rFonts w:cs="Times New Roman"/>
              </w:rPr>
              <w:t>30.1 ± 9.6</w:t>
            </w:r>
          </w:p>
        </w:tc>
      </w:tr>
      <w:tr w:rsidR="00515499" w:rsidRPr="00C02E77" w14:paraId="2A332178" w14:textId="77777777">
        <w:tc>
          <w:tcPr>
            <w:tcW w:w="3168" w:type="dxa"/>
          </w:tcPr>
          <w:p w14:paraId="69041935" w14:textId="77777777" w:rsidR="00515499" w:rsidRPr="00C02E77" w:rsidRDefault="00893D21" w:rsidP="00A22126">
            <w:pPr>
              <w:jc w:val="both"/>
              <w:rPr>
                <w:rFonts w:cs="Times New Roman"/>
              </w:rPr>
            </w:pPr>
            <w:r w:rsidRPr="00C02E77">
              <w:rPr>
                <w:rFonts w:cs="Times New Roman"/>
              </w:rPr>
              <w:t>CLEN04</w:t>
            </w:r>
          </w:p>
        </w:tc>
        <w:tc>
          <w:tcPr>
            <w:tcW w:w="3168" w:type="dxa"/>
          </w:tcPr>
          <w:p w14:paraId="5D47E543" w14:textId="77777777" w:rsidR="00515499" w:rsidRPr="00C02E77" w:rsidRDefault="00893D21" w:rsidP="00A22126">
            <w:pPr>
              <w:jc w:val="both"/>
              <w:rPr>
                <w:rFonts w:cs="Times New Roman"/>
              </w:rPr>
            </w:pPr>
            <w:r w:rsidRPr="00C02E77">
              <w:rPr>
                <w:rFonts w:cs="Times New Roman"/>
              </w:rPr>
              <w:t>n.d.</w:t>
            </w:r>
          </w:p>
        </w:tc>
      </w:tr>
      <w:tr w:rsidR="00515499" w:rsidRPr="00C02E77" w14:paraId="4B85F6C0" w14:textId="77777777">
        <w:tc>
          <w:tcPr>
            <w:tcW w:w="3168" w:type="dxa"/>
          </w:tcPr>
          <w:p w14:paraId="0697C22D" w14:textId="77777777" w:rsidR="00515499" w:rsidRPr="00C02E77" w:rsidRDefault="00893D21" w:rsidP="00A22126">
            <w:pPr>
              <w:jc w:val="both"/>
              <w:rPr>
                <w:rFonts w:cs="Times New Roman"/>
              </w:rPr>
            </w:pPr>
            <w:r w:rsidRPr="00C02E77">
              <w:rPr>
                <w:rFonts w:cs="Times New Roman"/>
              </w:rPr>
              <w:t>CLEN05</w:t>
            </w:r>
          </w:p>
        </w:tc>
        <w:tc>
          <w:tcPr>
            <w:tcW w:w="3168" w:type="dxa"/>
          </w:tcPr>
          <w:p w14:paraId="0700FA10" w14:textId="77777777" w:rsidR="00515499" w:rsidRPr="00C02E77" w:rsidRDefault="00893D21" w:rsidP="00A22126">
            <w:pPr>
              <w:jc w:val="both"/>
              <w:rPr>
                <w:rFonts w:cs="Times New Roman"/>
              </w:rPr>
            </w:pPr>
            <w:r w:rsidRPr="00C02E77">
              <w:rPr>
                <w:rFonts w:cs="Times New Roman"/>
              </w:rPr>
              <w:t>405.6 ± 51.9</w:t>
            </w:r>
          </w:p>
        </w:tc>
      </w:tr>
      <w:tr w:rsidR="00515499" w:rsidRPr="00C02E77" w14:paraId="4E369338" w14:textId="77777777">
        <w:tc>
          <w:tcPr>
            <w:tcW w:w="3168" w:type="dxa"/>
          </w:tcPr>
          <w:p w14:paraId="6D5813C4" w14:textId="77777777" w:rsidR="00515499" w:rsidRPr="00C02E77" w:rsidRDefault="00893D21" w:rsidP="00A22126">
            <w:pPr>
              <w:jc w:val="both"/>
              <w:rPr>
                <w:rFonts w:cs="Times New Roman"/>
              </w:rPr>
            </w:pPr>
            <w:r w:rsidRPr="00C02E77">
              <w:rPr>
                <w:rFonts w:cs="Times New Roman"/>
              </w:rPr>
              <w:t>CLEN06</w:t>
            </w:r>
          </w:p>
        </w:tc>
        <w:tc>
          <w:tcPr>
            <w:tcW w:w="3168" w:type="dxa"/>
          </w:tcPr>
          <w:p w14:paraId="66FB353F" w14:textId="77777777" w:rsidR="00515499" w:rsidRPr="00C02E77" w:rsidRDefault="00893D21" w:rsidP="00A22126">
            <w:pPr>
              <w:jc w:val="both"/>
              <w:rPr>
                <w:rFonts w:cs="Times New Roman"/>
              </w:rPr>
            </w:pPr>
            <w:r w:rsidRPr="00C02E77">
              <w:rPr>
                <w:rFonts w:cs="Times New Roman"/>
              </w:rPr>
              <w:t>28.9 ± 6.0</w:t>
            </w:r>
          </w:p>
        </w:tc>
      </w:tr>
      <w:tr w:rsidR="00515499" w:rsidRPr="00C02E77" w14:paraId="26849A83" w14:textId="77777777">
        <w:tc>
          <w:tcPr>
            <w:tcW w:w="3168" w:type="dxa"/>
          </w:tcPr>
          <w:p w14:paraId="1EBAA350" w14:textId="77777777" w:rsidR="00515499" w:rsidRPr="00C02E77" w:rsidRDefault="00893D21" w:rsidP="00A22126">
            <w:pPr>
              <w:jc w:val="both"/>
              <w:rPr>
                <w:rFonts w:cs="Times New Roman"/>
              </w:rPr>
            </w:pPr>
            <w:r w:rsidRPr="00C02E77">
              <w:rPr>
                <w:rFonts w:cs="Times New Roman"/>
              </w:rPr>
              <w:t>CLEN07</w:t>
            </w:r>
          </w:p>
        </w:tc>
        <w:tc>
          <w:tcPr>
            <w:tcW w:w="3168" w:type="dxa"/>
          </w:tcPr>
          <w:p w14:paraId="7917F0FA" w14:textId="77777777" w:rsidR="00515499" w:rsidRPr="00C02E77" w:rsidRDefault="00893D21" w:rsidP="00A22126">
            <w:pPr>
              <w:jc w:val="both"/>
              <w:rPr>
                <w:rFonts w:cs="Times New Roman"/>
              </w:rPr>
            </w:pPr>
            <w:r w:rsidRPr="00C02E77">
              <w:rPr>
                <w:rFonts w:cs="Times New Roman"/>
              </w:rPr>
              <w:t>2.9 ± 0.2</w:t>
            </w:r>
          </w:p>
        </w:tc>
      </w:tr>
      <w:tr w:rsidR="00515499" w:rsidRPr="00C02E77" w14:paraId="046ADCDC" w14:textId="77777777">
        <w:tc>
          <w:tcPr>
            <w:tcW w:w="3168" w:type="dxa"/>
          </w:tcPr>
          <w:p w14:paraId="48285873" w14:textId="77777777" w:rsidR="00515499" w:rsidRPr="00C02E77" w:rsidRDefault="00893D21" w:rsidP="00A22126">
            <w:pPr>
              <w:jc w:val="both"/>
              <w:rPr>
                <w:rFonts w:cs="Times New Roman"/>
              </w:rPr>
            </w:pPr>
            <w:r w:rsidRPr="00C02E77">
              <w:rPr>
                <w:rFonts w:cs="Times New Roman"/>
              </w:rPr>
              <w:t>CLEN08</w:t>
            </w:r>
          </w:p>
        </w:tc>
        <w:tc>
          <w:tcPr>
            <w:tcW w:w="3168" w:type="dxa"/>
          </w:tcPr>
          <w:p w14:paraId="4ED60AD8" w14:textId="77777777" w:rsidR="00515499" w:rsidRPr="00C02E77" w:rsidRDefault="00893D21" w:rsidP="00A22126">
            <w:pPr>
              <w:jc w:val="both"/>
              <w:rPr>
                <w:rFonts w:cs="Times New Roman"/>
              </w:rPr>
            </w:pPr>
            <w:r w:rsidRPr="00C02E77">
              <w:rPr>
                <w:rFonts w:cs="Times New Roman"/>
              </w:rPr>
              <w:t>–</w:t>
            </w:r>
          </w:p>
        </w:tc>
      </w:tr>
      <w:tr w:rsidR="00515499" w:rsidRPr="00C02E77" w14:paraId="7A10DE09" w14:textId="77777777">
        <w:tc>
          <w:tcPr>
            <w:tcW w:w="3168" w:type="dxa"/>
          </w:tcPr>
          <w:p w14:paraId="12A795FA" w14:textId="77777777" w:rsidR="00515499" w:rsidRPr="00C02E77" w:rsidRDefault="00893D21" w:rsidP="00A22126">
            <w:pPr>
              <w:jc w:val="both"/>
              <w:rPr>
                <w:rFonts w:cs="Times New Roman"/>
              </w:rPr>
            </w:pPr>
            <w:r w:rsidRPr="00C02E77">
              <w:rPr>
                <w:rFonts w:cs="Times New Roman"/>
              </w:rPr>
              <w:t>CLEN09</w:t>
            </w:r>
          </w:p>
        </w:tc>
        <w:tc>
          <w:tcPr>
            <w:tcW w:w="3168" w:type="dxa"/>
          </w:tcPr>
          <w:p w14:paraId="4231582F" w14:textId="77777777" w:rsidR="00515499" w:rsidRPr="00C02E77" w:rsidRDefault="00893D21" w:rsidP="00A22126">
            <w:pPr>
              <w:jc w:val="both"/>
              <w:rPr>
                <w:rFonts w:cs="Times New Roman"/>
              </w:rPr>
            </w:pPr>
            <w:r w:rsidRPr="00C02E77">
              <w:rPr>
                <w:rFonts w:cs="Times New Roman"/>
              </w:rPr>
              <w:t>422.7 ± 240.9</w:t>
            </w:r>
          </w:p>
        </w:tc>
      </w:tr>
      <w:tr w:rsidR="00515499" w:rsidRPr="00C02E77" w14:paraId="2371EF29" w14:textId="77777777">
        <w:tc>
          <w:tcPr>
            <w:tcW w:w="3168" w:type="dxa"/>
          </w:tcPr>
          <w:p w14:paraId="7422ECBD" w14:textId="77777777" w:rsidR="00515499" w:rsidRPr="00C02E77" w:rsidRDefault="00893D21" w:rsidP="00A22126">
            <w:pPr>
              <w:jc w:val="both"/>
              <w:rPr>
                <w:rFonts w:cs="Times New Roman"/>
              </w:rPr>
            </w:pPr>
            <w:r w:rsidRPr="00C02E77">
              <w:rPr>
                <w:rFonts w:cs="Times New Roman"/>
              </w:rPr>
              <w:t>CLEN10</w:t>
            </w:r>
          </w:p>
        </w:tc>
        <w:tc>
          <w:tcPr>
            <w:tcW w:w="3168" w:type="dxa"/>
          </w:tcPr>
          <w:p w14:paraId="7AE0F708" w14:textId="77777777" w:rsidR="00515499" w:rsidRPr="00C02E77" w:rsidRDefault="00893D21" w:rsidP="00A22126">
            <w:pPr>
              <w:jc w:val="both"/>
              <w:rPr>
                <w:rFonts w:cs="Times New Roman"/>
              </w:rPr>
            </w:pPr>
            <w:r w:rsidRPr="00C02E77">
              <w:rPr>
                <w:rFonts w:cs="Times New Roman"/>
              </w:rPr>
              <w:t>n.d.</w:t>
            </w:r>
          </w:p>
        </w:tc>
      </w:tr>
      <w:tr w:rsidR="00515499" w:rsidRPr="00C02E77" w14:paraId="36F38EE1" w14:textId="77777777">
        <w:tc>
          <w:tcPr>
            <w:tcW w:w="3168" w:type="dxa"/>
          </w:tcPr>
          <w:p w14:paraId="64F0B81B" w14:textId="77777777" w:rsidR="00515499" w:rsidRPr="00C02E77" w:rsidRDefault="00893D21" w:rsidP="00A22126">
            <w:pPr>
              <w:jc w:val="both"/>
              <w:rPr>
                <w:rFonts w:cs="Times New Roman"/>
              </w:rPr>
            </w:pPr>
            <w:r w:rsidRPr="00C02E77">
              <w:rPr>
                <w:rFonts w:cs="Times New Roman"/>
              </w:rPr>
              <w:t>CLEN11</w:t>
            </w:r>
          </w:p>
        </w:tc>
        <w:tc>
          <w:tcPr>
            <w:tcW w:w="3168" w:type="dxa"/>
          </w:tcPr>
          <w:p w14:paraId="01D3D734" w14:textId="77777777" w:rsidR="00515499" w:rsidRPr="00C02E77" w:rsidRDefault="00893D21" w:rsidP="00A22126">
            <w:pPr>
              <w:jc w:val="both"/>
              <w:rPr>
                <w:rFonts w:cs="Times New Roman"/>
              </w:rPr>
            </w:pPr>
            <w:r w:rsidRPr="00C02E77">
              <w:rPr>
                <w:rFonts w:cs="Times New Roman"/>
              </w:rPr>
              <w:t>8.4 ± 0.9</w:t>
            </w:r>
          </w:p>
        </w:tc>
      </w:tr>
      <w:tr w:rsidR="00515499" w:rsidRPr="00C02E77" w14:paraId="3EF14659" w14:textId="77777777">
        <w:tc>
          <w:tcPr>
            <w:tcW w:w="3168" w:type="dxa"/>
          </w:tcPr>
          <w:p w14:paraId="38BD0EEE" w14:textId="77777777" w:rsidR="00515499" w:rsidRPr="00C02E77" w:rsidRDefault="00893D21" w:rsidP="00A22126">
            <w:pPr>
              <w:jc w:val="both"/>
              <w:rPr>
                <w:rFonts w:cs="Times New Roman"/>
              </w:rPr>
            </w:pPr>
            <w:r w:rsidRPr="00C02E77">
              <w:rPr>
                <w:rFonts w:cs="Times New Roman"/>
              </w:rPr>
              <w:t>CLEN12</w:t>
            </w:r>
          </w:p>
        </w:tc>
        <w:tc>
          <w:tcPr>
            <w:tcW w:w="3168" w:type="dxa"/>
          </w:tcPr>
          <w:p w14:paraId="47F28BFD" w14:textId="77777777" w:rsidR="00515499" w:rsidRPr="00C02E77" w:rsidRDefault="00893D21" w:rsidP="00A22126">
            <w:pPr>
              <w:jc w:val="both"/>
              <w:rPr>
                <w:rFonts w:cs="Times New Roman"/>
              </w:rPr>
            </w:pPr>
            <w:r w:rsidRPr="00C02E77">
              <w:rPr>
                <w:rFonts w:cs="Times New Roman"/>
              </w:rPr>
              <w:t>6.7 ± 1.2</w:t>
            </w:r>
          </w:p>
        </w:tc>
      </w:tr>
      <w:tr w:rsidR="00515499" w:rsidRPr="00C02E77" w14:paraId="2F989316" w14:textId="77777777">
        <w:tc>
          <w:tcPr>
            <w:tcW w:w="3168" w:type="dxa"/>
          </w:tcPr>
          <w:p w14:paraId="49248B37" w14:textId="77777777" w:rsidR="00515499" w:rsidRPr="00C02E77" w:rsidRDefault="00893D21" w:rsidP="00A22126">
            <w:pPr>
              <w:jc w:val="both"/>
              <w:rPr>
                <w:rFonts w:cs="Times New Roman"/>
              </w:rPr>
            </w:pPr>
            <w:r w:rsidRPr="00C02E77">
              <w:rPr>
                <w:rFonts w:cs="Times New Roman"/>
              </w:rPr>
              <w:t>CLEN13</w:t>
            </w:r>
          </w:p>
        </w:tc>
        <w:tc>
          <w:tcPr>
            <w:tcW w:w="3168" w:type="dxa"/>
          </w:tcPr>
          <w:p w14:paraId="19FD9061" w14:textId="77777777" w:rsidR="00515499" w:rsidRPr="00C02E77" w:rsidRDefault="00893D21" w:rsidP="00A22126">
            <w:pPr>
              <w:jc w:val="both"/>
              <w:rPr>
                <w:rFonts w:cs="Times New Roman"/>
              </w:rPr>
            </w:pPr>
            <w:r w:rsidRPr="00C02E77">
              <w:rPr>
                <w:rFonts w:cs="Times New Roman"/>
              </w:rPr>
              <w:t>514.4 ± 60.9</w:t>
            </w:r>
          </w:p>
        </w:tc>
      </w:tr>
      <w:tr w:rsidR="00515499" w:rsidRPr="00C02E77" w14:paraId="1942946A" w14:textId="77777777">
        <w:tc>
          <w:tcPr>
            <w:tcW w:w="3168" w:type="dxa"/>
          </w:tcPr>
          <w:p w14:paraId="0B4F6F2A" w14:textId="77777777" w:rsidR="00515499" w:rsidRPr="00C02E77" w:rsidRDefault="00893D21" w:rsidP="00A22126">
            <w:pPr>
              <w:jc w:val="both"/>
              <w:rPr>
                <w:rFonts w:cs="Times New Roman"/>
              </w:rPr>
            </w:pPr>
            <w:r w:rsidRPr="00C02E77">
              <w:rPr>
                <w:rFonts w:cs="Times New Roman"/>
              </w:rPr>
              <w:t>CLEN14</w:t>
            </w:r>
          </w:p>
        </w:tc>
        <w:tc>
          <w:tcPr>
            <w:tcW w:w="3168" w:type="dxa"/>
          </w:tcPr>
          <w:p w14:paraId="01684C45" w14:textId="77777777" w:rsidR="00515499" w:rsidRPr="00C02E77" w:rsidRDefault="00893D21" w:rsidP="00A22126">
            <w:pPr>
              <w:jc w:val="both"/>
              <w:rPr>
                <w:rFonts w:cs="Times New Roman"/>
              </w:rPr>
            </w:pPr>
            <w:r w:rsidRPr="00C02E77">
              <w:rPr>
                <w:rFonts w:cs="Times New Roman"/>
              </w:rPr>
              <w:t>&gt;1000</w:t>
            </w:r>
          </w:p>
        </w:tc>
      </w:tr>
      <w:tr w:rsidR="00515499" w:rsidRPr="00C02E77" w14:paraId="12BD7F66" w14:textId="77777777">
        <w:tc>
          <w:tcPr>
            <w:tcW w:w="3168" w:type="dxa"/>
          </w:tcPr>
          <w:p w14:paraId="2A445378" w14:textId="77777777" w:rsidR="00515499" w:rsidRPr="00C02E77" w:rsidRDefault="00893D21" w:rsidP="00A22126">
            <w:pPr>
              <w:jc w:val="both"/>
              <w:rPr>
                <w:rFonts w:cs="Times New Roman"/>
              </w:rPr>
            </w:pPr>
            <w:r w:rsidRPr="00C02E77">
              <w:rPr>
                <w:rFonts w:cs="Times New Roman"/>
              </w:rPr>
              <w:t>CLEN15</w:t>
            </w:r>
          </w:p>
        </w:tc>
        <w:tc>
          <w:tcPr>
            <w:tcW w:w="3168" w:type="dxa"/>
          </w:tcPr>
          <w:p w14:paraId="1A42E0F9" w14:textId="77777777" w:rsidR="00515499" w:rsidRPr="00C02E77" w:rsidRDefault="00893D21" w:rsidP="00A22126">
            <w:pPr>
              <w:jc w:val="both"/>
              <w:rPr>
                <w:rFonts w:cs="Times New Roman"/>
              </w:rPr>
            </w:pPr>
            <w:r w:rsidRPr="00C02E77">
              <w:rPr>
                <w:rFonts w:cs="Times New Roman"/>
              </w:rPr>
              <w:t>644.6 ± 217.0</w:t>
            </w:r>
          </w:p>
        </w:tc>
      </w:tr>
      <w:tr w:rsidR="00515499" w:rsidRPr="00C02E77" w14:paraId="34B0B995" w14:textId="77777777">
        <w:tc>
          <w:tcPr>
            <w:tcW w:w="3168" w:type="dxa"/>
          </w:tcPr>
          <w:p w14:paraId="0ACD1A1A" w14:textId="77777777" w:rsidR="00515499" w:rsidRPr="00C02E77" w:rsidRDefault="00893D21" w:rsidP="00A22126">
            <w:pPr>
              <w:jc w:val="both"/>
              <w:rPr>
                <w:rFonts w:cs="Times New Roman"/>
              </w:rPr>
            </w:pPr>
            <w:r w:rsidRPr="00C02E77">
              <w:rPr>
                <w:rFonts w:cs="Times New Roman"/>
              </w:rPr>
              <w:t>CLEN16</w:t>
            </w:r>
          </w:p>
        </w:tc>
        <w:tc>
          <w:tcPr>
            <w:tcW w:w="3168" w:type="dxa"/>
          </w:tcPr>
          <w:p w14:paraId="796F0F73" w14:textId="77777777" w:rsidR="00515499" w:rsidRPr="00C02E77" w:rsidRDefault="00893D21" w:rsidP="00A22126">
            <w:pPr>
              <w:jc w:val="both"/>
              <w:rPr>
                <w:rFonts w:cs="Times New Roman"/>
              </w:rPr>
            </w:pPr>
            <w:r w:rsidRPr="00C02E77">
              <w:rPr>
                <w:rFonts w:cs="Times New Roman"/>
              </w:rPr>
              <w:t>572.7 ± 105.1</w:t>
            </w:r>
          </w:p>
        </w:tc>
      </w:tr>
      <w:tr w:rsidR="00515499" w:rsidRPr="00C02E77" w14:paraId="1B4DB22F" w14:textId="77777777">
        <w:tc>
          <w:tcPr>
            <w:tcW w:w="3168" w:type="dxa"/>
          </w:tcPr>
          <w:p w14:paraId="7ACC62AA" w14:textId="77777777" w:rsidR="00515499" w:rsidRPr="00C02E77" w:rsidRDefault="00893D21" w:rsidP="00A22126">
            <w:pPr>
              <w:jc w:val="both"/>
              <w:rPr>
                <w:rFonts w:cs="Times New Roman"/>
              </w:rPr>
            </w:pPr>
            <w:r w:rsidRPr="00C02E77">
              <w:rPr>
                <w:rFonts w:cs="Times New Roman"/>
              </w:rPr>
              <w:t>CLEN17</w:t>
            </w:r>
          </w:p>
        </w:tc>
        <w:tc>
          <w:tcPr>
            <w:tcW w:w="3168" w:type="dxa"/>
          </w:tcPr>
          <w:p w14:paraId="0DF21649" w14:textId="77777777" w:rsidR="00515499" w:rsidRPr="00C02E77" w:rsidRDefault="00893D21" w:rsidP="00A22126">
            <w:pPr>
              <w:jc w:val="both"/>
              <w:rPr>
                <w:rFonts w:cs="Times New Roman"/>
              </w:rPr>
            </w:pPr>
            <w:r w:rsidRPr="00C02E77">
              <w:rPr>
                <w:rFonts w:cs="Times New Roman"/>
              </w:rPr>
              <w:t>n.d.</w:t>
            </w:r>
          </w:p>
        </w:tc>
      </w:tr>
      <w:tr w:rsidR="00515499" w:rsidRPr="00C02E77" w14:paraId="46D14961" w14:textId="77777777">
        <w:tc>
          <w:tcPr>
            <w:tcW w:w="3168" w:type="dxa"/>
          </w:tcPr>
          <w:p w14:paraId="0EB96961" w14:textId="77777777" w:rsidR="00515499" w:rsidRPr="00C02E77" w:rsidRDefault="00893D21" w:rsidP="00A22126">
            <w:pPr>
              <w:jc w:val="both"/>
              <w:rPr>
                <w:rFonts w:cs="Times New Roman"/>
              </w:rPr>
            </w:pPr>
            <w:r w:rsidRPr="00C02E77">
              <w:rPr>
                <w:rFonts w:cs="Times New Roman"/>
              </w:rPr>
              <w:t>CLEN18</w:t>
            </w:r>
          </w:p>
        </w:tc>
        <w:tc>
          <w:tcPr>
            <w:tcW w:w="3168" w:type="dxa"/>
          </w:tcPr>
          <w:p w14:paraId="7A0C5978" w14:textId="77777777" w:rsidR="00515499" w:rsidRPr="00C02E77" w:rsidRDefault="00893D21" w:rsidP="00A22126">
            <w:pPr>
              <w:jc w:val="both"/>
              <w:rPr>
                <w:rFonts w:cs="Times New Roman"/>
              </w:rPr>
            </w:pPr>
            <w:r w:rsidRPr="00C02E77">
              <w:rPr>
                <w:rFonts w:cs="Times New Roman"/>
              </w:rPr>
              <w:t>&gt;1000</w:t>
            </w:r>
          </w:p>
        </w:tc>
      </w:tr>
      <w:tr w:rsidR="00515499" w:rsidRPr="00C02E77" w14:paraId="21042B83" w14:textId="77777777">
        <w:tc>
          <w:tcPr>
            <w:tcW w:w="3168" w:type="dxa"/>
          </w:tcPr>
          <w:p w14:paraId="65F8E095" w14:textId="77777777" w:rsidR="00515499" w:rsidRPr="00C02E77" w:rsidRDefault="00893D21" w:rsidP="00A22126">
            <w:pPr>
              <w:jc w:val="both"/>
              <w:rPr>
                <w:rFonts w:cs="Times New Roman"/>
              </w:rPr>
            </w:pPr>
            <w:r w:rsidRPr="00C02E77">
              <w:rPr>
                <w:rFonts w:cs="Times New Roman"/>
              </w:rPr>
              <w:t>CLEN19</w:t>
            </w:r>
          </w:p>
        </w:tc>
        <w:tc>
          <w:tcPr>
            <w:tcW w:w="3168" w:type="dxa"/>
          </w:tcPr>
          <w:p w14:paraId="17CCA5DF" w14:textId="77777777" w:rsidR="00515499" w:rsidRPr="00C02E77" w:rsidRDefault="00893D21" w:rsidP="00A22126">
            <w:pPr>
              <w:jc w:val="both"/>
              <w:rPr>
                <w:rFonts w:cs="Times New Roman"/>
              </w:rPr>
            </w:pPr>
            <w:r w:rsidRPr="00C02E77">
              <w:rPr>
                <w:rFonts w:cs="Times New Roman"/>
              </w:rPr>
              <w:t>&gt;1000</w:t>
            </w:r>
          </w:p>
        </w:tc>
      </w:tr>
      <w:tr w:rsidR="00515499" w:rsidRPr="00C02E77" w14:paraId="18DF5CE1" w14:textId="77777777">
        <w:tc>
          <w:tcPr>
            <w:tcW w:w="3168" w:type="dxa"/>
          </w:tcPr>
          <w:p w14:paraId="38060FB7" w14:textId="77777777" w:rsidR="00515499" w:rsidRPr="00C02E77" w:rsidRDefault="00893D21" w:rsidP="00A22126">
            <w:pPr>
              <w:jc w:val="both"/>
              <w:rPr>
                <w:rFonts w:cs="Times New Roman"/>
              </w:rPr>
            </w:pPr>
            <w:r w:rsidRPr="00C02E77">
              <w:rPr>
                <w:rFonts w:cs="Times New Roman"/>
              </w:rPr>
              <w:t>CLEN20</w:t>
            </w:r>
          </w:p>
        </w:tc>
        <w:tc>
          <w:tcPr>
            <w:tcW w:w="3168" w:type="dxa"/>
          </w:tcPr>
          <w:p w14:paraId="5B95B220" w14:textId="77777777" w:rsidR="00515499" w:rsidRPr="00C02E77" w:rsidRDefault="00893D21" w:rsidP="00A22126">
            <w:pPr>
              <w:jc w:val="both"/>
              <w:rPr>
                <w:rFonts w:cs="Times New Roman"/>
              </w:rPr>
            </w:pPr>
            <w:r w:rsidRPr="00C02E77">
              <w:rPr>
                <w:rFonts w:cs="Times New Roman"/>
              </w:rPr>
              <w:t>n.d.</w:t>
            </w:r>
          </w:p>
        </w:tc>
      </w:tr>
      <w:tr w:rsidR="00515499" w:rsidRPr="00C02E77" w14:paraId="2A0FD539" w14:textId="77777777">
        <w:tc>
          <w:tcPr>
            <w:tcW w:w="3168" w:type="dxa"/>
          </w:tcPr>
          <w:p w14:paraId="4BFAE2C1" w14:textId="77777777" w:rsidR="00515499" w:rsidRPr="00C02E77" w:rsidRDefault="00893D21" w:rsidP="00A22126">
            <w:pPr>
              <w:jc w:val="both"/>
              <w:rPr>
                <w:rFonts w:cs="Times New Roman"/>
              </w:rPr>
            </w:pPr>
            <w:r w:rsidRPr="00C02E77">
              <w:rPr>
                <w:rFonts w:cs="Times New Roman"/>
              </w:rPr>
              <w:t>CLEN21</w:t>
            </w:r>
          </w:p>
        </w:tc>
        <w:tc>
          <w:tcPr>
            <w:tcW w:w="3168" w:type="dxa"/>
          </w:tcPr>
          <w:p w14:paraId="72D9D6BC" w14:textId="77777777" w:rsidR="00515499" w:rsidRPr="00C02E77" w:rsidRDefault="00893D21" w:rsidP="00A22126">
            <w:pPr>
              <w:jc w:val="both"/>
              <w:rPr>
                <w:rFonts w:cs="Times New Roman"/>
              </w:rPr>
            </w:pPr>
            <w:r w:rsidRPr="00C02E77">
              <w:rPr>
                <w:rFonts w:cs="Times New Roman"/>
              </w:rPr>
              <w:t>56.6 ± 11.7</w:t>
            </w:r>
          </w:p>
        </w:tc>
      </w:tr>
      <w:tr w:rsidR="00515499" w:rsidRPr="00C02E77" w14:paraId="24CE4068" w14:textId="77777777">
        <w:tc>
          <w:tcPr>
            <w:tcW w:w="3168" w:type="dxa"/>
          </w:tcPr>
          <w:p w14:paraId="3C73A6FA" w14:textId="77777777" w:rsidR="00515499" w:rsidRPr="00C02E77" w:rsidRDefault="00893D21" w:rsidP="00A22126">
            <w:pPr>
              <w:jc w:val="both"/>
              <w:rPr>
                <w:rFonts w:cs="Times New Roman"/>
              </w:rPr>
            </w:pPr>
            <w:r w:rsidRPr="00C02E77">
              <w:rPr>
                <w:rFonts w:cs="Times New Roman"/>
              </w:rPr>
              <w:t>CLEN22</w:t>
            </w:r>
          </w:p>
        </w:tc>
        <w:tc>
          <w:tcPr>
            <w:tcW w:w="3168" w:type="dxa"/>
          </w:tcPr>
          <w:p w14:paraId="3BD9924C" w14:textId="77777777" w:rsidR="00515499" w:rsidRPr="00C02E77" w:rsidRDefault="00893D21" w:rsidP="00A22126">
            <w:pPr>
              <w:jc w:val="both"/>
              <w:rPr>
                <w:rFonts w:cs="Times New Roman"/>
              </w:rPr>
            </w:pPr>
            <w:r w:rsidRPr="00C02E77">
              <w:rPr>
                <w:rFonts w:cs="Times New Roman"/>
              </w:rPr>
              <w:t>n.d.</w:t>
            </w:r>
          </w:p>
        </w:tc>
      </w:tr>
      <w:tr w:rsidR="00515499" w:rsidRPr="00C02E77" w14:paraId="47CA05C9" w14:textId="77777777">
        <w:tc>
          <w:tcPr>
            <w:tcW w:w="3168" w:type="dxa"/>
          </w:tcPr>
          <w:p w14:paraId="1789A49C" w14:textId="77777777" w:rsidR="00515499" w:rsidRPr="00C02E77" w:rsidRDefault="00893D21" w:rsidP="00A22126">
            <w:pPr>
              <w:jc w:val="both"/>
              <w:rPr>
                <w:rFonts w:cs="Times New Roman"/>
              </w:rPr>
            </w:pPr>
            <w:r w:rsidRPr="00C02E77">
              <w:rPr>
                <w:rFonts w:cs="Times New Roman"/>
              </w:rPr>
              <w:t>CLEN23</w:t>
            </w:r>
          </w:p>
        </w:tc>
        <w:tc>
          <w:tcPr>
            <w:tcW w:w="3168" w:type="dxa"/>
          </w:tcPr>
          <w:p w14:paraId="167CAB73" w14:textId="77777777" w:rsidR="00515499" w:rsidRPr="00C02E77" w:rsidRDefault="00893D21" w:rsidP="00A22126">
            <w:pPr>
              <w:jc w:val="both"/>
              <w:rPr>
                <w:rFonts w:cs="Times New Roman"/>
              </w:rPr>
            </w:pPr>
            <w:r w:rsidRPr="00C02E77">
              <w:rPr>
                <w:rFonts w:cs="Times New Roman"/>
              </w:rPr>
              <w:t>6.5 ± 0.6</w:t>
            </w:r>
          </w:p>
        </w:tc>
      </w:tr>
      <w:tr w:rsidR="00515499" w:rsidRPr="00C02E77" w14:paraId="6F25E3F4" w14:textId="77777777">
        <w:tc>
          <w:tcPr>
            <w:tcW w:w="3168" w:type="dxa"/>
          </w:tcPr>
          <w:p w14:paraId="2C4CD3E7" w14:textId="77777777" w:rsidR="00515499" w:rsidRPr="00C02E77" w:rsidRDefault="00893D21" w:rsidP="00A22126">
            <w:pPr>
              <w:jc w:val="both"/>
              <w:rPr>
                <w:rFonts w:cs="Times New Roman"/>
              </w:rPr>
            </w:pPr>
            <w:r w:rsidRPr="00C02E77">
              <w:rPr>
                <w:rFonts w:cs="Times New Roman"/>
              </w:rPr>
              <w:t>CLEN24</w:t>
            </w:r>
          </w:p>
        </w:tc>
        <w:tc>
          <w:tcPr>
            <w:tcW w:w="3168" w:type="dxa"/>
          </w:tcPr>
          <w:p w14:paraId="1A69FD44" w14:textId="77777777" w:rsidR="00515499" w:rsidRPr="00C02E77" w:rsidRDefault="00893D21" w:rsidP="00A22126">
            <w:pPr>
              <w:jc w:val="both"/>
              <w:rPr>
                <w:rFonts w:cs="Times New Roman"/>
              </w:rPr>
            </w:pPr>
            <w:r w:rsidRPr="00C02E77">
              <w:rPr>
                <w:rFonts w:cs="Times New Roman"/>
              </w:rPr>
              <w:t>24.2 ± 3.9</w:t>
            </w:r>
          </w:p>
        </w:tc>
      </w:tr>
      <w:tr w:rsidR="00515499" w:rsidRPr="00C02E77" w14:paraId="39C52AE2" w14:textId="77777777">
        <w:tc>
          <w:tcPr>
            <w:tcW w:w="3168" w:type="dxa"/>
          </w:tcPr>
          <w:p w14:paraId="1BA70812" w14:textId="77777777" w:rsidR="00515499" w:rsidRPr="00C02E77" w:rsidRDefault="00893D21" w:rsidP="00A22126">
            <w:pPr>
              <w:jc w:val="both"/>
              <w:rPr>
                <w:rFonts w:cs="Times New Roman"/>
              </w:rPr>
            </w:pPr>
            <w:r w:rsidRPr="00C02E77">
              <w:rPr>
                <w:rFonts w:cs="Times New Roman"/>
              </w:rPr>
              <w:t>CLEN25</w:t>
            </w:r>
          </w:p>
        </w:tc>
        <w:tc>
          <w:tcPr>
            <w:tcW w:w="3168" w:type="dxa"/>
          </w:tcPr>
          <w:p w14:paraId="71ED5AE6" w14:textId="77777777" w:rsidR="00515499" w:rsidRPr="00C02E77" w:rsidRDefault="00893D21" w:rsidP="00A22126">
            <w:pPr>
              <w:jc w:val="both"/>
              <w:rPr>
                <w:rFonts w:cs="Times New Roman"/>
              </w:rPr>
            </w:pPr>
            <w:r w:rsidRPr="00C02E77">
              <w:rPr>
                <w:rFonts w:cs="Times New Roman"/>
              </w:rPr>
              <w:t>n.d.</w:t>
            </w:r>
          </w:p>
        </w:tc>
      </w:tr>
      <w:tr w:rsidR="00515499" w:rsidRPr="00C02E77" w14:paraId="10922337" w14:textId="77777777">
        <w:tc>
          <w:tcPr>
            <w:tcW w:w="3168" w:type="dxa"/>
          </w:tcPr>
          <w:p w14:paraId="5C0AE75B" w14:textId="77777777" w:rsidR="00515499" w:rsidRPr="00C02E77" w:rsidRDefault="00893D21" w:rsidP="00A22126">
            <w:pPr>
              <w:jc w:val="both"/>
              <w:rPr>
                <w:rFonts w:cs="Times New Roman"/>
              </w:rPr>
            </w:pPr>
            <w:r w:rsidRPr="00C02E77">
              <w:rPr>
                <w:rFonts w:cs="Times New Roman"/>
              </w:rPr>
              <w:t>TRC105</w:t>
            </w:r>
          </w:p>
        </w:tc>
        <w:tc>
          <w:tcPr>
            <w:tcW w:w="3168" w:type="dxa"/>
          </w:tcPr>
          <w:p w14:paraId="295A844C" w14:textId="77777777" w:rsidR="00515499" w:rsidRPr="00C02E77" w:rsidRDefault="00893D21" w:rsidP="00A22126">
            <w:pPr>
              <w:jc w:val="both"/>
              <w:rPr>
                <w:rFonts w:cs="Times New Roman"/>
              </w:rPr>
            </w:pPr>
            <w:r w:rsidRPr="00C02E77">
              <w:rPr>
                <w:rFonts w:cs="Times New Roman"/>
              </w:rPr>
              <w:t>22.9 ± 1.8</w:t>
            </w:r>
          </w:p>
        </w:tc>
      </w:tr>
      <w:tr w:rsidR="00515499" w:rsidRPr="00C02E77" w14:paraId="12CF8453" w14:textId="77777777">
        <w:tc>
          <w:tcPr>
            <w:tcW w:w="3168" w:type="dxa"/>
          </w:tcPr>
          <w:p w14:paraId="515DB305" w14:textId="77777777" w:rsidR="00515499" w:rsidRPr="00C02E77" w:rsidRDefault="00893D21" w:rsidP="00A22126">
            <w:pPr>
              <w:jc w:val="both"/>
              <w:rPr>
                <w:rFonts w:cs="Times New Roman"/>
              </w:rPr>
            </w:pPr>
            <w:r w:rsidRPr="00C02E77">
              <w:rPr>
                <w:rFonts w:cs="Times New Roman"/>
              </w:rPr>
              <w:t>9H10</w:t>
            </w:r>
          </w:p>
        </w:tc>
        <w:tc>
          <w:tcPr>
            <w:tcW w:w="3168" w:type="dxa"/>
          </w:tcPr>
          <w:p w14:paraId="12A9AFF2" w14:textId="77777777" w:rsidR="00515499" w:rsidRPr="00C02E77" w:rsidRDefault="00893D21" w:rsidP="00A22126">
            <w:pPr>
              <w:jc w:val="both"/>
              <w:rPr>
                <w:rFonts w:cs="Times New Roman"/>
              </w:rPr>
            </w:pPr>
            <w:r w:rsidRPr="00C02E77">
              <w:rPr>
                <w:rFonts w:cs="Times New Roman"/>
              </w:rPr>
              <w:t>2.0 ± 0.2</w:t>
            </w:r>
          </w:p>
        </w:tc>
      </w:tr>
    </w:tbl>
    <w:p w14:paraId="3E141A7A" w14:textId="77777777" w:rsidR="00515499" w:rsidRPr="00C02E77" w:rsidRDefault="00893D21" w:rsidP="00A22126">
      <w:pPr>
        <w:spacing w:before="80" w:after="360"/>
        <w:jc w:val="both"/>
        <w:rPr>
          <w:rFonts w:cs="Times New Roman"/>
        </w:rPr>
      </w:pPr>
      <w:r w:rsidRPr="00C02E77">
        <w:rPr>
          <w:rFonts w:cs="Times New Roman"/>
          <w:sz w:val="19"/>
        </w:rPr>
        <w:t>Values are mean ± s.d. of three independent experiments. Antibody clones are designated CLENnn and their CAR counterparts ENnn throughout. Tables 1 and 3 report independent experiments performed with different antigens (CD105-His here; CD105-wtFc in Table 3) and are therefore not directly comparable. n.d., not detectable; –, no expression.</w:t>
      </w:r>
    </w:p>
    <w:p w14:paraId="2448883F" w14:textId="77777777" w:rsidR="00515499" w:rsidRPr="00C02E77" w:rsidRDefault="00893D21" w:rsidP="00A22126">
      <w:pPr>
        <w:spacing w:after="80"/>
        <w:jc w:val="both"/>
        <w:rPr>
          <w:rFonts w:cs="Times New Roman"/>
        </w:rPr>
      </w:pPr>
      <w:r w:rsidRPr="00C02E77">
        <w:rPr>
          <w:rFonts w:cs="Times New Roman"/>
          <w:b/>
        </w:rPr>
        <w:t>Supplementary Table 2. EC</w:t>
      </w:r>
      <w:r w:rsidRPr="00C02E77">
        <w:rPr>
          <w:rFonts w:cs="Times New Roman"/>
          <w:b/>
          <w:vertAlign w:val="subscript"/>
        </w:rPr>
        <w:t>50</w:t>
      </w:r>
      <w:r w:rsidRPr="00C02E77">
        <w:rPr>
          <w:rFonts w:cs="Times New Roman"/>
          <w:b/>
        </w:rPr>
        <w:t xml:space="preserve"> values of anti-CD105 scFvs determined by a cell-binding assay on CD105⁺ K562 cells.</w:t>
      </w:r>
    </w:p>
    <w:tbl>
      <w:tblPr>
        <w:tblStyle w:val="af9"/>
        <w:tblW w:w="0" w:type="auto"/>
        <w:tblLook w:val="04A0" w:firstRow="1" w:lastRow="0" w:firstColumn="1" w:lastColumn="0" w:noHBand="0" w:noVBand="1"/>
      </w:tblPr>
      <w:tblGrid>
        <w:gridCol w:w="3168"/>
        <w:gridCol w:w="3168"/>
      </w:tblGrid>
      <w:tr w:rsidR="00515499" w:rsidRPr="00C02E77" w14:paraId="3CBD5829" w14:textId="77777777">
        <w:trPr>
          <w:tblHeader/>
        </w:trPr>
        <w:tc>
          <w:tcPr>
            <w:tcW w:w="3168" w:type="dxa"/>
            <w:shd w:val="clear" w:color="auto" w:fill="EFEFEF"/>
          </w:tcPr>
          <w:p w14:paraId="0D9FAF22" w14:textId="77777777" w:rsidR="00515499" w:rsidRPr="00C02E77" w:rsidRDefault="00893D21" w:rsidP="00A22126">
            <w:pPr>
              <w:jc w:val="both"/>
              <w:rPr>
                <w:rFonts w:cs="Times New Roman"/>
              </w:rPr>
            </w:pPr>
            <w:r w:rsidRPr="00C02E77">
              <w:rPr>
                <w:rFonts w:cs="Times New Roman"/>
                <w:b/>
              </w:rPr>
              <w:t>Clone ID</w:t>
            </w:r>
          </w:p>
        </w:tc>
        <w:tc>
          <w:tcPr>
            <w:tcW w:w="3168" w:type="dxa"/>
            <w:shd w:val="clear" w:color="auto" w:fill="EFEFEF"/>
          </w:tcPr>
          <w:p w14:paraId="420E6173" w14:textId="77777777" w:rsidR="00515499" w:rsidRPr="00C02E77" w:rsidRDefault="00893D21" w:rsidP="00A22126">
            <w:pPr>
              <w:jc w:val="both"/>
              <w:rPr>
                <w:rFonts w:cs="Times New Roman"/>
              </w:rPr>
            </w:pPr>
            <w:r w:rsidRPr="00C02E77">
              <w:rPr>
                <w:rFonts w:cs="Times New Roman"/>
                <w:b/>
              </w:rPr>
              <w:t>EC</w:t>
            </w:r>
            <w:r w:rsidRPr="00C02E77">
              <w:rPr>
                <w:rFonts w:cs="Times New Roman"/>
                <w:b/>
                <w:vertAlign w:val="subscript"/>
              </w:rPr>
              <w:t>50</w:t>
            </w:r>
            <w:r w:rsidRPr="00C02E77">
              <w:rPr>
                <w:rFonts w:cs="Times New Roman"/>
                <w:b/>
              </w:rPr>
              <w:t xml:space="preserve"> (nM)</w:t>
            </w:r>
          </w:p>
        </w:tc>
      </w:tr>
      <w:tr w:rsidR="00515499" w:rsidRPr="00C02E77" w14:paraId="62B477B0" w14:textId="77777777">
        <w:tc>
          <w:tcPr>
            <w:tcW w:w="3168" w:type="dxa"/>
          </w:tcPr>
          <w:p w14:paraId="46EBFF80" w14:textId="77777777" w:rsidR="00515499" w:rsidRPr="00C02E77" w:rsidRDefault="00893D21" w:rsidP="00A22126">
            <w:pPr>
              <w:jc w:val="both"/>
              <w:rPr>
                <w:rFonts w:cs="Times New Roman"/>
              </w:rPr>
            </w:pPr>
            <w:r w:rsidRPr="00C02E77">
              <w:rPr>
                <w:rFonts w:cs="Times New Roman"/>
              </w:rPr>
              <w:t>CLEN06</w:t>
            </w:r>
          </w:p>
        </w:tc>
        <w:tc>
          <w:tcPr>
            <w:tcW w:w="3168" w:type="dxa"/>
          </w:tcPr>
          <w:p w14:paraId="66B5ACD6" w14:textId="77777777" w:rsidR="00515499" w:rsidRPr="00C02E77" w:rsidRDefault="00893D21" w:rsidP="00A22126">
            <w:pPr>
              <w:jc w:val="both"/>
              <w:rPr>
                <w:rFonts w:cs="Times New Roman"/>
              </w:rPr>
            </w:pPr>
            <w:r w:rsidRPr="00C02E77">
              <w:rPr>
                <w:rFonts w:cs="Times New Roman"/>
              </w:rPr>
              <w:t>4.6 ± 0.7</w:t>
            </w:r>
          </w:p>
        </w:tc>
      </w:tr>
      <w:tr w:rsidR="00515499" w:rsidRPr="00C02E77" w14:paraId="5586051B" w14:textId="77777777">
        <w:tc>
          <w:tcPr>
            <w:tcW w:w="3168" w:type="dxa"/>
          </w:tcPr>
          <w:p w14:paraId="406094FF" w14:textId="77777777" w:rsidR="00515499" w:rsidRPr="00C02E77" w:rsidRDefault="00893D21" w:rsidP="00A22126">
            <w:pPr>
              <w:jc w:val="both"/>
              <w:rPr>
                <w:rFonts w:cs="Times New Roman"/>
              </w:rPr>
            </w:pPr>
            <w:r w:rsidRPr="00C02E77">
              <w:rPr>
                <w:rFonts w:cs="Times New Roman"/>
              </w:rPr>
              <w:t>CLEN07</w:t>
            </w:r>
          </w:p>
        </w:tc>
        <w:tc>
          <w:tcPr>
            <w:tcW w:w="3168" w:type="dxa"/>
          </w:tcPr>
          <w:p w14:paraId="5440D05B" w14:textId="77777777" w:rsidR="00515499" w:rsidRPr="00C02E77" w:rsidRDefault="00893D21" w:rsidP="00A22126">
            <w:pPr>
              <w:jc w:val="both"/>
              <w:rPr>
                <w:rFonts w:cs="Times New Roman"/>
              </w:rPr>
            </w:pPr>
            <w:r w:rsidRPr="00C02E77">
              <w:rPr>
                <w:rFonts w:cs="Times New Roman"/>
              </w:rPr>
              <w:t>19.7 ± 1.5</w:t>
            </w:r>
          </w:p>
        </w:tc>
      </w:tr>
      <w:tr w:rsidR="00515499" w:rsidRPr="00C02E77" w14:paraId="4E709701" w14:textId="77777777">
        <w:tc>
          <w:tcPr>
            <w:tcW w:w="3168" w:type="dxa"/>
          </w:tcPr>
          <w:p w14:paraId="117EB2AE" w14:textId="77777777" w:rsidR="00515499" w:rsidRPr="00C02E77" w:rsidRDefault="00893D21" w:rsidP="00A22126">
            <w:pPr>
              <w:jc w:val="both"/>
              <w:rPr>
                <w:rFonts w:cs="Times New Roman"/>
              </w:rPr>
            </w:pPr>
            <w:r w:rsidRPr="00C02E77">
              <w:rPr>
                <w:rFonts w:cs="Times New Roman"/>
              </w:rPr>
              <w:t>CLEN11</w:t>
            </w:r>
          </w:p>
        </w:tc>
        <w:tc>
          <w:tcPr>
            <w:tcW w:w="3168" w:type="dxa"/>
          </w:tcPr>
          <w:p w14:paraId="449976D5" w14:textId="77777777" w:rsidR="00515499" w:rsidRPr="00C02E77" w:rsidRDefault="00893D21" w:rsidP="00A22126">
            <w:pPr>
              <w:jc w:val="both"/>
              <w:rPr>
                <w:rFonts w:cs="Times New Roman"/>
              </w:rPr>
            </w:pPr>
            <w:r w:rsidRPr="00C02E77">
              <w:rPr>
                <w:rFonts w:cs="Times New Roman"/>
              </w:rPr>
              <w:t>6.0 ± 1.4</w:t>
            </w:r>
          </w:p>
        </w:tc>
      </w:tr>
      <w:tr w:rsidR="00515499" w:rsidRPr="00C02E77" w14:paraId="6B751AA4" w14:textId="77777777">
        <w:tc>
          <w:tcPr>
            <w:tcW w:w="3168" w:type="dxa"/>
          </w:tcPr>
          <w:p w14:paraId="505DE218" w14:textId="77777777" w:rsidR="00515499" w:rsidRPr="00C02E77" w:rsidRDefault="00893D21" w:rsidP="00A22126">
            <w:pPr>
              <w:jc w:val="both"/>
              <w:rPr>
                <w:rFonts w:cs="Times New Roman"/>
              </w:rPr>
            </w:pPr>
            <w:r w:rsidRPr="00C02E77">
              <w:rPr>
                <w:rFonts w:cs="Times New Roman"/>
              </w:rPr>
              <w:t>CLEN12</w:t>
            </w:r>
          </w:p>
        </w:tc>
        <w:tc>
          <w:tcPr>
            <w:tcW w:w="3168" w:type="dxa"/>
          </w:tcPr>
          <w:p w14:paraId="3CB79FAA" w14:textId="77777777" w:rsidR="00515499" w:rsidRPr="00C02E77" w:rsidRDefault="00893D21" w:rsidP="00A22126">
            <w:pPr>
              <w:jc w:val="both"/>
              <w:rPr>
                <w:rFonts w:cs="Times New Roman"/>
              </w:rPr>
            </w:pPr>
            <w:r w:rsidRPr="00C02E77">
              <w:rPr>
                <w:rFonts w:cs="Times New Roman"/>
              </w:rPr>
              <w:t>2.0 ± 0.5</w:t>
            </w:r>
          </w:p>
        </w:tc>
      </w:tr>
      <w:tr w:rsidR="00515499" w:rsidRPr="00C02E77" w14:paraId="67521F89" w14:textId="77777777">
        <w:tc>
          <w:tcPr>
            <w:tcW w:w="3168" w:type="dxa"/>
          </w:tcPr>
          <w:p w14:paraId="068BF646" w14:textId="77777777" w:rsidR="00515499" w:rsidRPr="00C02E77" w:rsidRDefault="00893D21" w:rsidP="00A22126">
            <w:pPr>
              <w:jc w:val="both"/>
              <w:rPr>
                <w:rFonts w:cs="Times New Roman"/>
              </w:rPr>
            </w:pPr>
            <w:r w:rsidRPr="00C02E77">
              <w:rPr>
                <w:rFonts w:cs="Times New Roman"/>
              </w:rPr>
              <w:t>CLEN21</w:t>
            </w:r>
          </w:p>
        </w:tc>
        <w:tc>
          <w:tcPr>
            <w:tcW w:w="3168" w:type="dxa"/>
          </w:tcPr>
          <w:p w14:paraId="42739619" w14:textId="77777777" w:rsidR="00515499" w:rsidRPr="00C02E77" w:rsidRDefault="00893D21" w:rsidP="00A22126">
            <w:pPr>
              <w:jc w:val="both"/>
              <w:rPr>
                <w:rFonts w:cs="Times New Roman"/>
              </w:rPr>
            </w:pPr>
            <w:r w:rsidRPr="00C02E77">
              <w:rPr>
                <w:rFonts w:cs="Times New Roman"/>
              </w:rPr>
              <w:t>24.9 ± 0.6</w:t>
            </w:r>
          </w:p>
        </w:tc>
      </w:tr>
      <w:tr w:rsidR="00515499" w:rsidRPr="00C02E77" w14:paraId="6C7C1586" w14:textId="77777777">
        <w:tc>
          <w:tcPr>
            <w:tcW w:w="3168" w:type="dxa"/>
          </w:tcPr>
          <w:p w14:paraId="5490BE88" w14:textId="77777777" w:rsidR="00515499" w:rsidRPr="00C02E77" w:rsidRDefault="00893D21" w:rsidP="00A22126">
            <w:pPr>
              <w:jc w:val="both"/>
              <w:rPr>
                <w:rFonts w:cs="Times New Roman"/>
              </w:rPr>
            </w:pPr>
            <w:r w:rsidRPr="00C02E77">
              <w:rPr>
                <w:rFonts w:cs="Times New Roman"/>
              </w:rPr>
              <w:t>CLEN24</w:t>
            </w:r>
          </w:p>
        </w:tc>
        <w:tc>
          <w:tcPr>
            <w:tcW w:w="3168" w:type="dxa"/>
          </w:tcPr>
          <w:p w14:paraId="4FEA5999" w14:textId="77777777" w:rsidR="00515499" w:rsidRPr="00C02E77" w:rsidRDefault="00893D21" w:rsidP="00A22126">
            <w:pPr>
              <w:jc w:val="both"/>
              <w:rPr>
                <w:rFonts w:cs="Times New Roman"/>
              </w:rPr>
            </w:pPr>
            <w:r w:rsidRPr="00C02E77">
              <w:rPr>
                <w:rFonts w:cs="Times New Roman"/>
              </w:rPr>
              <w:t>10.4 ± 1.5</w:t>
            </w:r>
          </w:p>
        </w:tc>
      </w:tr>
      <w:tr w:rsidR="00515499" w:rsidRPr="00C02E77" w14:paraId="386B16DF" w14:textId="77777777">
        <w:tc>
          <w:tcPr>
            <w:tcW w:w="3168" w:type="dxa"/>
          </w:tcPr>
          <w:p w14:paraId="6F52B8CD" w14:textId="77777777" w:rsidR="00515499" w:rsidRPr="00C02E77" w:rsidRDefault="00893D21" w:rsidP="00A22126">
            <w:pPr>
              <w:jc w:val="both"/>
              <w:rPr>
                <w:rFonts w:cs="Times New Roman"/>
              </w:rPr>
            </w:pPr>
            <w:r w:rsidRPr="00C02E77">
              <w:rPr>
                <w:rFonts w:cs="Times New Roman"/>
              </w:rPr>
              <w:t>TRC105</w:t>
            </w:r>
          </w:p>
        </w:tc>
        <w:tc>
          <w:tcPr>
            <w:tcW w:w="3168" w:type="dxa"/>
          </w:tcPr>
          <w:p w14:paraId="53888BE1" w14:textId="77777777" w:rsidR="00515499" w:rsidRPr="00C02E77" w:rsidRDefault="00893D21" w:rsidP="00A22126">
            <w:pPr>
              <w:jc w:val="both"/>
              <w:rPr>
                <w:rFonts w:cs="Times New Roman"/>
              </w:rPr>
            </w:pPr>
            <w:r w:rsidRPr="00C02E77">
              <w:rPr>
                <w:rFonts w:cs="Times New Roman"/>
              </w:rPr>
              <w:t>22.4 ± 4.2</w:t>
            </w:r>
          </w:p>
        </w:tc>
      </w:tr>
      <w:tr w:rsidR="00515499" w:rsidRPr="00C02E77" w14:paraId="443E7F99" w14:textId="77777777">
        <w:tc>
          <w:tcPr>
            <w:tcW w:w="3168" w:type="dxa"/>
          </w:tcPr>
          <w:p w14:paraId="7F594492" w14:textId="77777777" w:rsidR="00515499" w:rsidRPr="00C02E77" w:rsidRDefault="00893D21" w:rsidP="00A22126">
            <w:pPr>
              <w:jc w:val="both"/>
              <w:rPr>
                <w:rFonts w:cs="Times New Roman"/>
              </w:rPr>
            </w:pPr>
            <w:r w:rsidRPr="00C02E77">
              <w:rPr>
                <w:rFonts w:cs="Times New Roman"/>
              </w:rPr>
              <w:t>9H10</w:t>
            </w:r>
          </w:p>
        </w:tc>
        <w:tc>
          <w:tcPr>
            <w:tcW w:w="3168" w:type="dxa"/>
          </w:tcPr>
          <w:p w14:paraId="1EA893E5" w14:textId="77777777" w:rsidR="00515499" w:rsidRPr="00C02E77" w:rsidRDefault="00893D21" w:rsidP="00A22126">
            <w:pPr>
              <w:jc w:val="both"/>
              <w:rPr>
                <w:rFonts w:cs="Times New Roman"/>
              </w:rPr>
            </w:pPr>
            <w:r w:rsidRPr="00C02E77">
              <w:rPr>
                <w:rFonts w:cs="Times New Roman"/>
              </w:rPr>
              <w:t>7.0 ± 0.4</w:t>
            </w:r>
          </w:p>
        </w:tc>
      </w:tr>
    </w:tbl>
    <w:p w14:paraId="2CB1EE65" w14:textId="77777777" w:rsidR="00515499" w:rsidRPr="00C02E77" w:rsidRDefault="00893D21" w:rsidP="00A22126">
      <w:pPr>
        <w:spacing w:before="80" w:after="360"/>
        <w:jc w:val="both"/>
        <w:rPr>
          <w:rFonts w:cs="Times New Roman"/>
        </w:rPr>
      </w:pPr>
      <w:r w:rsidRPr="00C02E77">
        <w:rPr>
          <w:rFonts w:cs="Times New Roman"/>
          <w:sz w:val="19"/>
        </w:rPr>
        <w:t xml:space="preserve">Values are mean ± s.d. of three independent experiments. Tables 2 and 4 report independent cell-binding experiments performed on separate occasions; the differences between them (CLEN24, 10.4 versus 6.0 nM; TRC105, 22.4 versus 7.4 nM) reflect </w:t>
      </w:r>
      <w:r w:rsidRPr="00C02E77">
        <w:rPr>
          <w:rFonts w:cs="Times New Roman"/>
          <w:sz w:val="19"/>
        </w:rPr>
        <w:lastRenderedPageBreak/>
        <w:t>independent assay batches, including a change in TRC105 antibody lot. 9H10 was included as a reference antibody only in Table 2, because its maximal binding signal was substantially higher than that of the CLEN clones and compressed the dynamic range of the curve fits; TRC105 alone was therefore used as the reference antibody in the humanized-variant experiments (Tables 3 and 4).</w:t>
      </w:r>
    </w:p>
    <w:p w14:paraId="41135C0D" w14:textId="77777777" w:rsidR="00515499" w:rsidRPr="00C02E77" w:rsidRDefault="00893D21" w:rsidP="00A22126">
      <w:pPr>
        <w:spacing w:after="80"/>
        <w:jc w:val="both"/>
        <w:rPr>
          <w:rFonts w:cs="Times New Roman"/>
        </w:rPr>
      </w:pPr>
      <w:r w:rsidRPr="00C02E77">
        <w:rPr>
          <w:rFonts w:cs="Times New Roman"/>
          <w:b/>
        </w:rPr>
        <w:t>Supplementary Table 3. EC</w:t>
      </w:r>
      <w:r w:rsidRPr="00C02E77">
        <w:rPr>
          <w:rFonts w:cs="Times New Roman"/>
          <w:b/>
          <w:vertAlign w:val="subscript"/>
        </w:rPr>
        <w:t>50</w:t>
      </w:r>
      <w:r w:rsidRPr="00C02E77">
        <w:rPr>
          <w:rFonts w:cs="Times New Roman"/>
          <w:b/>
        </w:rPr>
        <w:t xml:space="preserve"> values of humanized CLEN24 clones determined by ELISA against recombinant CD105-wtFc.</w:t>
      </w:r>
    </w:p>
    <w:tbl>
      <w:tblPr>
        <w:tblStyle w:val="af9"/>
        <w:tblW w:w="0" w:type="auto"/>
        <w:tblLook w:val="04A0" w:firstRow="1" w:lastRow="0" w:firstColumn="1" w:lastColumn="0" w:noHBand="0" w:noVBand="1"/>
      </w:tblPr>
      <w:tblGrid>
        <w:gridCol w:w="3168"/>
        <w:gridCol w:w="3168"/>
      </w:tblGrid>
      <w:tr w:rsidR="00515499" w:rsidRPr="00C02E77" w14:paraId="35B2BB6D" w14:textId="77777777">
        <w:trPr>
          <w:tblHeader/>
        </w:trPr>
        <w:tc>
          <w:tcPr>
            <w:tcW w:w="3168" w:type="dxa"/>
            <w:shd w:val="clear" w:color="auto" w:fill="EFEFEF"/>
          </w:tcPr>
          <w:p w14:paraId="1EBF43E1" w14:textId="77777777" w:rsidR="00515499" w:rsidRPr="00C02E77" w:rsidRDefault="00893D21" w:rsidP="00A22126">
            <w:pPr>
              <w:jc w:val="both"/>
              <w:rPr>
                <w:rFonts w:cs="Times New Roman"/>
              </w:rPr>
            </w:pPr>
            <w:r w:rsidRPr="00C02E77">
              <w:rPr>
                <w:rFonts w:cs="Times New Roman"/>
                <w:b/>
              </w:rPr>
              <w:t>Clone ID</w:t>
            </w:r>
          </w:p>
        </w:tc>
        <w:tc>
          <w:tcPr>
            <w:tcW w:w="3168" w:type="dxa"/>
            <w:shd w:val="clear" w:color="auto" w:fill="EFEFEF"/>
          </w:tcPr>
          <w:p w14:paraId="2A9BCA75" w14:textId="77777777" w:rsidR="00515499" w:rsidRPr="00C02E77" w:rsidRDefault="00893D21" w:rsidP="00A22126">
            <w:pPr>
              <w:jc w:val="both"/>
              <w:rPr>
                <w:rFonts w:cs="Times New Roman"/>
              </w:rPr>
            </w:pPr>
            <w:r w:rsidRPr="00C02E77">
              <w:rPr>
                <w:rFonts w:cs="Times New Roman"/>
                <w:b/>
              </w:rPr>
              <w:t>EC</w:t>
            </w:r>
            <w:r w:rsidRPr="00C02E77">
              <w:rPr>
                <w:rFonts w:cs="Times New Roman"/>
                <w:b/>
                <w:vertAlign w:val="subscript"/>
              </w:rPr>
              <w:t>50</w:t>
            </w:r>
            <w:r w:rsidRPr="00C02E77">
              <w:rPr>
                <w:rFonts w:cs="Times New Roman"/>
                <w:b/>
              </w:rPr>
              <w:t xml:space="preserve"> (nM)</w:t>
            </w:r>
          </w:p>
        </w:tc>
      </w:tr>
      <w:tr w:rsidR="00515499" w:rsidRPr="00C02E77" w14:paraId="781E8930" w14:textId="77777777">
        <w:tc>
          <w:tcPr>
            <w:tcW w:w="3168" w:type="dxa"/>
          </w:tcPr>
          <w:p w14:paraId="24CD2508" w14:textId="77777777" w:rsidR="00515499" w:rsidRPr="00C02E77" w:rsidRDefault="00893D21" w:rsidP="00A22126">
            <w:pPr>
              <w:jc w:val="both"/>
              <w:rPr>
                <w:rFonts w:cs="Times New Roman"/>
              </w:rPr>
            </w:pPr>
            <w:r w:rsidRPr="00C02E77">
              <w:rPr>
                <w:rFonts w:cs="Times New Roman"/>
              </w:rPr>
              <w:t>CLEN24</w:t>
            </w:r>
          </w:p>
        </w:tc>
        <w:tc>
          <w:tcPr>
            <w:tcW w:w="3168" w:type="dxa"/>
          </w:tcPr>
          <w:p w14:paraId="6D1274FA" w14:textId="77777777" w:rsidR="00515499" w:rsidRPr="00C02E77" w:rsidRDefault="00893D21" w:rsidP="00A22126">
            <w:pPr>
              <w:jc w:val="both"/>
              <w:rPr>
                <w:rFonts w:cs="Times New Roman"/>
              </w:rPr>
            </w:pPr>
            <w:r w:rsidRPr="00C02E77">
              <w:rPr>
                <w:rFonts w:cs="Times New Roman"/>
              </w:rPr>
              <w:t>29.0 ± 6.3</w:t>
            </w:r>
          </w:p>
        </w:tc>
      </w:tr>
      <w:tr w:rsidR="00515499" w:rsidRPr="00C02E77" w14:paraId="032BAC39" w14:textId="77777777">
        <w:tc>
          <w:tcPr>
            <w:tcW w:w="3168" w:type="dxa"/>
          </w:tcPr>
          <w:p w14:paraId="4681E5B5" w14:textId="77777777" w:rsidR="00515499" w:rsidRPr="00C02E77" w:rsidRDefault="00893D21" w:rsidP="00A22126">
            <w:pPr>
              <w:jc w:val="both"/>
              <w:rPr>
                <w:rFonts w:cs="Times New Roman"/>
              </w:rPr>
            </w:pPr>
            <w:r w:rsidRPr="00C02E77">
              <w:rPr>
                <w:rFonts w:cs="Times New Roman"/>
              </w:rPr>
              <w:t>CLhEN24</w:t>
            </w:r>
          </w:p>
        </w:tc>
        <w:tc>
          <w:tcPr>
            <w:tcW w:w="3168" w:type="dxa"/>
          </w:tcPr>
          <w:p w14:paraId="0056208F" w14:textId="77777777" w:rsidR="00515499" w:rsidRPr="00C02E77" w:rsidRDefault="00893D21" w:rsidP="00A22126">
            <w:pPr>
              <w:jc w:val="both"/>
              <w:rPr>
                <w:rFonts w:cs="Times New Roman"/>
              </w:rPr>
            </w:pPr>
            <w:r w:rsidRPr="00C02E77">
              <w:rPr>
                <w:rFonts w:cs="Times New Roman"/>
              </w:rPr>
              <w:t>28.4 ± 5.0</w:t>
            </w:r>
          </w:p>
        </w:tc>
      </w:tr>
      <w:tr w:rsidR="00515499" w:rsidRPr="00C02E77" w14:paraId="7AC6F57F" w14:textId="77777777">
        <w:tc>
          <w:tcPr>
            <w:tcW w:w="3168" w:type="dxa"/>
          </w:tcPr>
          <w:p w14:paraId="3D7AC8DF" w14:textId="77777777" w:rsidR="00515499" w:rsidRPr="00C02E77" w:rsidRDefault="00893D21" w:rsidP="00A22126">
            <w:pPr>
              <w:jc w:val="both"/>
              <w:rPr>
                <w:rFonts w:cs="Times New Roman"/>
              </w:rPr>
            </w:pPr>
            <w:r w:rsidRPr="00C02E77">
              <w:rPr>
                <w:rFonts w:cs="Times New Roman"/>
              </w:rPr>
              <w:t>CLhEN24-5</w:t>
            </w:r>
          </w:p>
        </w:tc>
        <w:tc>
          <w:tcPr>
            <w:tcW w:w="3168" w:type="dxa"/>
          </w:tcPr>
          <w:p w14:paraId="2A78E3C6" w14:textId="77777777" w:rsidR="00515499" w:rsidRPr="00C02E77" w:rsidRDefault="00893D21" w:rsidP="00A22126">
            <w:pPr>
              <w:jc w:val="both"/>
              <w:rPr>
                <w:rFonts w:cs="Times New Roman"/>
              </w:rPr>
            </w:pPr>
            <w:r w:rsidRPr="00C02E77">
              <w:rPr>
                <w:rFonts w:cs="Times New Roman"/>
              </w:rPr>
              <w:t>8.2 ± 1.2</w:t>
            </w:r>
          </w:p>
        </w:tc>
      </w:tr>
      <w:tr w:rsidR="00515499" w:rsidRPr="00C02E77" w14:paraId="04018FA7" w14:textId="77777777">
        <w:tc>
          <w:tcPr>
            <w:tcW w:w="3168" w:type="dxa"/>
          </w:tcPr>
          <w:p w14:paraId="3DC50FC9" w14:textId="77777777" w:rsidR="00515499" w:rsidRPr="00C02E77" w:rsidRDefault="00893D21" w:rsidP="00A22126">
            <w:pPr>
              <w:jc w:val="both"/>
              <w:rPr>
                <w:rFonts w:cs="Times New Roman"/>
              </w:rPr>
            </w:pPr>
            <w:r w:rsidRPr="00C02E77">
              <w:rPr>
                <w:rFonts w:cs="Times New Roman"/>
              </w:rPr>
              <w:t>CLhEN24-10</w:t>
            </w:r>
          </w:p>
        </w:tc>
        <w:tc>
          <w:tcPr>
            <w:tcW w:w="3168" w:type="dxa"/>
          </w:tcPr>
          <w:p w14:paraId="4BFB553B" w14:textId="77777777" w:rsidR="00515499" w:rsidRPr="00C02E77" w:rsidRDefault="00893D21" w:rsidP="00A22126">
            <w:pPr>
              <w:jc w:val="both"/>
              <w:rPr>
                <w:rFonts w:cs="Times New Roman"/>
              </w:rPr>
            </w:pPr>
            <w:r w:rsidRPr="00C02E77">
              <w:rPr>
                <w:rFonts w:cs="Times New Roman"/>
              </w:rPr>
              <w:t>24.1 ± 0.2</w:t>
            </w:r>
          </w:p>
        </w:tc>
      </w:tr>
      <w:tr w:rsidR="00515499" w:rsidRPr="00C02E77" w14:paraId="08BECFE0" w14:textId="77777777">
        <w:tc>
          <w:tcPr>
            <w:tcW w:w="3168" w:type="dxa"/>
          </w:tcPr>
          <w:p w14:paraId="4AF0BDA1" w14:textId="77777777" w:rsidR="00515499" w:rsidRPr="00C02E77" w:rsidRDefault="00893D21" w:rsidP="00A22126">
            <w:pPr>
              <w:jc w:val="both"/>
              <w:rPr>
                <w:rFonts w:cs="Times New Roman"/>
              </w:rPr>
            </w:pPr>
            <w:r w:rsidRPr="00C02E77">
              <w:rPr>
                <w:rFonts w:cs="Times New Roman"/>
              </w:rPr>
              <w:t>CLhEN24-12</w:t>
            </w:r>
          </w:p>
        </w:tc>
        <w:tc>
          <w:tcPr>
            <w:tcW w:w="3168" w:type="dxa"/>
          </w:tcPr>
          <w:p w14:paraId="10A799AA" w14:textId="77777777" w:rsidR="00515499" w:rsidRPr="00C02E77" w:rsidRDefault="00893D21" w:rsidP="00A22126">
            <w:pPr>
              <w:jc w:val="both"/>
              <w:rPr>
                <w:rFonts w:cs="Times New Roman"/>
              </w:rPr>
            </w:pPr>
            <w:r w:rsidRPr="00C02E77">
              <w:rPr>
                <w:rFonts w:cs="Times New Roman"/>
              </w:rPr>
              <w:t>11.2 ± 3.0</w:t>
            </w:r>
          </w:p>
        </w:tc>
      </w:tr>
      <w:tr w:rsidR="00515499" w:rsidRPr="00C02E77" w14:paraId="495AEBAD" w14:textId="77777777">
        <w:tc>
          <w:tcPr>
            <w:tcW w:w="3168" w:type="dxa"/>
          </w:tcPr>
          <w:p w14:paraId="1B3971EF" w14:textId="77777777" w:rsidR="00515499" w:rsidRPr="00C02E77" w:rsidRDefault="00893D21" w:rsidP="00A22126">
            <w:pPr>
              <w:jc w:val="both"/>
              <w:rPr>
                <w:rFonts w:cs="Times New Roman"/>
              </w:rPr>
            </w:pPr>
            <w:r w:rsidRPr="00C02E77">
              <w:rPr>
                <w:rFonts w:cs="Times New Roman"/>
              </w:rPr>
              <w:t>CLhEN24-16</w:t>
            </w:r>
          </w:p>
        </w:tc>
        <w:tc>
          <w:tcPr>
            <w:tcW w:w="3168" w:type="dxa"/>
          </w:tcPr>
          <w:p w14:paraId="05D4A216" w14:textId="77777777" w:rsidR="00515499" w:rsidRPr="00C02E77" w:rsidRDefault="00893D21" w:rsidP="00A22126">
            <w:pPr>
              <w:jc w:val="both"/>
              <w:rPr>
                <w:rFonts w:cs="Times New Roman"/>
              </w:rPr>
            </w:pPr>
            <w:r w:rsidRPr="00C02E77">
              <w:rPr>
                <w:rFonts w:cs="Times New Roman"/>
              </w:rPr>
              <w:t>66.5 ± 2.0</w:t>
            </w:r>
          </w:p>
        </w:tc>
      </w:tr>
      <w:tr w:rsidR="00515499" w:rsidRPr="00C02E77" w14:paraId="3E315C37" w14:textId="77777777">
        <w:tc>
          <w:tcPr>
            <w:tcW w:w="3168" w:type="dxa"/>
          </w:tcPr>
          <w:p w14:paraId="401022D7" w14:textId="77777777" w:rsidR="00515499" w:rsidRPr="00C02E77" w:rsidRDefault="00893D21" w:rsidP="00A22126">
            <w:pPr>
              <w:jc w:val="both"/>
              <w:rPr>
                <w:rFonts w:cs="Times New Roman"/>
              </w:rPr>
            </w:pPr>
            <w:r w:rsidRPr="00C02E77">
              <w:rPr>
                <w:rFonts w:cs="Times New Roman"/>
              </w:rPr>
              <w:t>CLhEN24-20</w:t>
            </w:r>
          </w:p>
        </w:tc>
        <w:tc>
          <w:tcPr>
            <w:tcW w:w="3168" w:type="dxa"/>
          </w:tcPr>
          <w:p w14:paraId="46156786" w14:textId="77777777" w:rsidR="00515499" w:rsidRPr="00C02E77" w:rsidRDefault="00893D21" w:rsidP="00A22126">
            <w:pPr>
              <w:jc w:val="both"/>
              <w:rPr>
                <w:rFonts w:cs="Times New Roman"/>
              </w:rPr>
            </w:pPr>
            <w:r w:rsidRPr="00C02E77">
              <w:rPr>
                <w:rFonts w:cs="Times New Roman"/>
              </w:rPr>
              <w:t>101.1 ± 5.4</w:t>
            </w:r>
          </w:p>
        </w:tc>
      </w:tr>
      <w:tr w:rsidR="00515499" w:rsidRPr="00C02E77" w14:paraId="166E2A80" w14:textId="77777777">
        <w:tc>
          <w:tcPr>
            <w:tcW w:w="3168" w:type="dxa"/>
          </w:tcPr>
          <w:p w14:paraId="06AB9056" w14:textId="77777777" w:rsidR="00515499" w:rsidRPr="00C02E77" w:rsidRDefault="00893D21" w:rsidP="00A22126">
            <w:pPr>
              <w:jc w:val="both"/>
              <w:rPr>
                <w:rFonts w:cs="Times New Roman"/>
              </w:rPr>
            </w:pPr>
            <w:r w:rsidRPr="00C02E77">
              <w:rPr>
                <w:rFonts w:cs="Times New Roman"/>
              </w:rPr>
              <w:t>TRC105</w:t>
            </w:r>
          </w:p>
        </w:tc>
        <w:tc>
          <w:tcPr>
            <w:tcW w:w="3168" w:type="dxa"/>
          </w:tcPr>
          <w:p w14:paraId="7ECCEB5C" w14:textId="77777777" w:rsidR="00515499" w:rsidRPr="00C02E77" w:rsidRDefault="00893D21" w:rsidP="00A22126">
            <w:pPr>
              <w:jc w:val="both"/>
              <w:rPr>
                <w:rFonts w:cs="Times New Roman"/>
              </w:rPr>
            </w:pPr>
            <w:r w:rsidRPr="00C02E77">
              <w:rPr>
                <w:rFonts w:cs="Times New Roman"/>
              </w:rPr>
              <w:t>44.3 ± 22.0</w:t>
            </w:r>
          </w:p>
        </w:tc>
      </w:tr>
    </w:tbl>
    <w:p w14:paraId="1B613091" w14:textId="77777777" w:rsidR="00515499" w:rsidRPr="00C02E77" w:rsidRDefault="00893D21" w:rsidP="00A22126">
      <w:pPr>
        <w:spacing w:before="80" w:after="360"/>
        <w:jc w:val="both"/>
        <w:rPr>
          <w:rFonts w:cs="Times New Roman"/>
        </w:rPr>
      </w:pPr>
      <w:r w:rsidRPr="00C02E77">
        <w:rPr>
          <w:rFonts w:cs="Times New Roman"/>
          <w:sz w:val="19"/>
        </w:rPr>
        <w:t>Values are mean ± s.d. of three independent experiments, performed independently of Table 1. 9H10 was not included as a reference antibody in the humanized-variant experiments (see Supplementary Table 2).</w:t>
      </w:r>
    </w:p>
    <w:p w14:paraId="7A90E9C3" w14:textId="77777777" w:rsidR="00515499" w:rsidRPr="00C02E77" w:rsidRDefault="00893D21" w:rsidP="00A22126">
      <w:pPr>
        <w:spacing w:after="80"/>
        <w:jc w:val="both"/>
        <w:rPr>
          <w:rFonts w:cs="Times New Roman"/>
        </w:rPr>
      </w:pPr>
      <w:r w:rsidRPr="00C02E77">
        <w:rPr>
          <w:rFonts w:cs="Times New Roman"/>
          <w:b/>
        </w:rPr>
        <w:t>Supplementary Table 4. EC</w:t>
      </w:r>
      <w:r w:rsidRPr="00C02E77">
        <w:rPr>
          <w:rFonts w:cs="Times New Roman"/>
          <w:b/>
          <w:vertAlign w:val="subscript"/>
        </w:rPr>
        <w:t>50</w:t>
      </w:r>
      <w:r w:rsidRPr="00C02E77">
        <w:rPr>
          <w:rFonts w:cs="Times New Roman"/>
          <w:b/>
        </w:rPr>
        <w:t xml:space="preserve"> values of humanized CLEN24 clones determined by a cell-binding assay on CD105⁺ K562 cells.</w:t>
      </w:r>
    </w:p>
    <w:tbl>
      <w:tblPr>
        <w:tblStyle w:val="af9"/>
        <w:tblW w:w="0" w:type="auto"/>
        <w:tblLook w:val="04A0" w:firstRow="1" w:lastRow="0" w:firstColumn="1" w:lastColumn="0" w:noHBand="0" w:noVBand="1"/>
      </w:tblPr>
      <w:tblGrid>
        <w:gridCol w:w="3168"/>
        <w:gridCol w:w="3168"/>
      </w:tblGrid>
      <w:tr w:rsidR="00515499" w:rsidRPr="00C02E77" w14:paraId="55EC79A9" w14:textId="77777777">
        <w:trPr>
          <w:tblHeader/>
        </w:trPr>
        <w:tc>
          <w:tcPr>
            <w:tcW w:w="3168" w:type="dxa"/>
            <w:shd w:val="clear" w:color="auto" w:fill="EFEFEF"/>
          </w:tcPr>
          <w:p w14:paraId="2464DBCC" w14:textId="77777777" w:rsidR="00515499" w:rsidRPr="00C02E77" w:rsidRDefault="00893D21" w:rsidP="00A22126">
            <w:pPr>
              <w:jc w:val="both"/>
              <w:rPr>
                <w:rFonts w:cs="Times New Roman"/>
              </w:rPr>
            </w:pPr>
            <w:r w:rsidRPr="00C02E77">
              <w:rPr>
                <w:rFonts w:cs="Times New Roman"/>
                <w:b/>
              </w:rPr>
              <w:t>Clone ID</w:t>
            </w:r>
          </w:p>
        </w:tc>
        <w:tc>
          <w:tcPr>
            <w:tcW w:w="3168" w:type="dxa"/>
            <w:shd w:val="clear" w:color="auto" w:fill="EFEFEF"/>
          </w:tcPr>
          <w:p w14:paraId="4C50E19F" w14:textId="77777777" w:rsidR="00515499" w:rsidRPr="00C02E77" w:rsidRDefault="00893D21" w:rsidP="00A22126">
            <w:pPr>
              <w:jc w:val="both"/>
              <w:rPr>
                <w:rFonts w:cs="Times New Roman"/>
              </w:rPr>
            </w:pPr>
            <w:r w:rsidRPr="00C02E77">
              <w:rPr>
                <w:rFonts w:cs="Times New Roman"/>
                <w:b/>
              </w:rPr>
              <w:t>EC</w:t>
            </w:r>
            <w:r w:rsidRPr="00C02E77">
              <w:rPr>
                <w:rFonts w:cs="Times New Roman"/>
                <w:b/>
                <w:vertAlign w:val="subscript"/>
              </w:rPr>
              <w:t>50</w:t>
            </w:r>
            <w:r w:rsidRPr="00C02E77">
              <w:rPr>
                <w:rFonts w:cs="Times New Roman"/>
                <w:b/>
              </w:rPr>
              <w:t xml:space="preserve"> (nM)</w:t>
            </w:r>
          </w:p>
        </w:tc>
      </w:tr>
      <w:tr w:rsidR="00515499" w:rsidRPr="00C02E77" w14:paraId="62EC9983" w14:textId="77777777">
        <w:tc>
          <w:tcPr>
            <w:tcW w:w="3168" w:type="dxa"/>
          </w:tcPr>
          <w:p w14:paraId="6C042D9F" w14:textId="77777777" w:rsidR="00515499" w:rsidRPr="00C02E77" w:rsidRDefault="00893D21" w:rsidP="00A22126">
            <w:pPr>
              <w:jc w:val="both"/>
              <w:rPr>
                <w:rFonts w:cs="Times New Roman"/>
              </w:rPr>
            </w:pPr>
            <w:r w:rsidRPr="00C02E77">
              <w:rPr>
                <w:rFonts w:cs="Times New Roman"/>
              </w:rPr>
              <w:t>CLEN24</w:t>
            </w:r>
          </w:p>
        </w:tc>
        <w:tc>
          <w:tcPr>
            <w:tcW w:w="3168" w:type="dxa"/>
          </w:tcPr>
          <w:p w14:paraId="775715CF" w14:textId="77777777" w:rsidR="00515499" w:rsidRPr="00C02E77" w:rsidRDefault="00893D21" w:rsidP="00A22126">
            <w:pPr>
              <w:jc w:val="both"/>
              <w:rPr>
                <w:rFonts w:cs="Times New Roman"/>
              </w:rPr>
            </w:pPr>
            <w:r w:rsidRPr="00C02E77">
              <w:rPr>
                <w:rFonts w:cs="Times New Roman"/>
              </w:rPr>
              <w:t>6.0 ± 0.2</w:t>
            </w:r>
          </w:p>
        </w:tc>
      </w:tr>
      <w:tr w:rsidR="00515499" w:rsidRPr="00C02E77" w14:paraId="58B27AA0" w14:textId="77777777">
        <w:tc>
          <w:tcPr>
            <w:tcW w:w="3168" w:type="dxa"/>
          </w:tcPr>
          <w:p w14:paraId="29CA2569" w14:textId="77777777" w:rsidR="00515499" w:rsidRPr="00C02E77" w:rsidRDefault="00893D21" w:rsidP="00A22126">
            <w:pPr>
              <w:jc w:val="both"/>
              <w:rPr>
                <w:rFonts w:cs="Times New Roman"/>
              </w:rPr>
            </w:pPr>
            <w:r w:rsidRPr="00C02E77">
              <w:rPr>
                <w:rFonts w:cs="Times New Roman"/>
              </w:rPr>
              <w:t>CLhEN24</w:t>
            </w:r>
          </w:p>
        </w:tc>
        <w:tc>
          <w:tcPr>
            <w:tcW w:w="3168" w:type="dxa"/>
          </w:tcPr>
          <w:p w14:paraId="4B09F96C" w14:textId="77777777" w:rsidR="00515499" w:rsidRPr="00C02E77" w:rsidRDefault="00893D21" w:rsidP="00A22126">
            <w:pPr>
              <w:jc w:val="both"/>
              <w:rPr>
                <w:rFonts w:cs="Times New Roman"/>
              </w:rPr>
            </w:pPr>
            <w:r w:rsidRPr="00C02E77">
              <w:rPr>
                <w:rFonts w:cs="Times New Roman"/>
              </w:rPr>
              <w:t>8.1 ± 0.1</w:t>
            </w:r>
          </w:p>
        </w:tc>
      </w:tr>
      <w:tr w:rsidR="00515499" w:rsidRPr="00C02E77" w14:paraId="3A1B20A5" w14:textId="77777777">
        <w:tc>
          <w:tcPr>
            <w:tcW w:w="3168" w:type="dxa"/>
          </w:tcPr>
          <w:p w14:paraId="52173686" w14:textId="77777777" w:rsidR="00515499" w:rsidRPr="00C02E77" w:rsidRDefault="00893D21" w:rsidP="00A22126">
            <w:pPr>
              <w:jc w:val="both"/>
              <w:rPr>
                <w:rFonts w:cs="Times New Roman"/>
              </w:rPr>
            </w:pPr>
            <w:r w:rsidRPr="00C02E77">
              <w:rPr>
                <w:rFonts w:cs="Times New Roman"/>
              </w:rPr>
              <w:t>CLhEN24-5</w:t>
            </w:r>
          </w:p>
        </w:tc>
        <w:tc>
          <w:tcPr>
            <w:tcW w:w="3168" w:type="dxa"/>
          </w:tcPr>
          <w:p w14:paraId="5F9389D2" w14:textId="77777777" w:rsidR="00515499" w:rsidRPr="00C02E77" w:rsidRDefault="00893D21" w:rsidP="00A22126">
            <w:pPr>
              <w:jc w:val="both"/>
              <w:rPr>
                <w:rFonts w:cs="Times New Roman"/>
              </w:rPr>
            </w:pPr>
            <w:r w:rsidRPr="00C02E77">
              <w:rPr>
                <w:rFonts w:cs="Times New Roman"/>
              </w:rPr>
              <w:t>10.2 ± 1.0</w:t>
            </w:r>
          </w:p>
        </w:tc>
      </w:tr>
      <w:tr w:rsidR="00515499" w:rsidRPr="00C02E77" w14:paraId="61D540FF" w14:textId="77777777">
        <w:tc>
          <w:tcPr>
            <w:tcW w:w="3168" w:type="dxa"/>
          </w:tcPr>
          <w:p w14:paraId="3DC02E3C" w14:textId="77777777" w:rsidR="00515499" w:rsidRPr="00C02E77" w:rsidRDefault="00893D21" w:rsidP="00A22126">
            <w:pPr>
              <w:jc w:val="both"/>
              <w:rPr>
                <w:rFonts w:cs="Times New Roman"/>
              </w:rPr>
            </w:pPr>
            <w:r w:rsidRPr="00C02E77">
              <w:rPr>
                <w:rFonts w:cs="Times New Roman"/>
              </w:rPr>
              <w:t>CLhEN24-10</w:t>
            </w:r>
          </w:p>
        </w:tc>
        <w:tc>
          <w:tcPr>
            <w:tcW w:w="3168" w:type="dxa"/>
          </w:tcPr>
          <w:p w14:paraId="10BA9AE7" w14:textId="77777777" w:rsidR="00515499" w:rsidRPr="00C02E77" w:rsidRDefault="00893D21" w:rsidP="00A22126">
            <w:pPr>
              <w:jc w:val="both"/>
              <w:rPr>
                <w:rFonts w:cs="Times New Roman"/>
              </w:rPr>
            </w:pPr>
            <w:r w:rsidRPr="00C02E77">
              <w:rPr>
                <w:rFonts w:cs="Times New Roman"/>
              </w:rPr>
              <w:t>27.8 ± 1.2</w:t>
            </w:r>
          </w:p>
        </w:tc>
      </w:tr>
      <w:tr w:rsidR="00515499" w:rsidRPr="00C02E77" w14:paraId="3AB36E16" w14:textId="77777777">
        <w:tc>
          <w:tcPr>
            <w:tcW w:w="3168" w:type="dxa"/>
          </w:tcPr>
          <w:p w14:paraId="4D2B4F80" w14:textId="77777777" w:rsidR="00515499" w:rsidRPr="00C02E77" w:rsidRDefault="00893D21" w:rsidP="00A22126">
            <w:pPr>
              <w:jc w:val="both"/>
              <w:rPr>
                <w:rFonts w:cs="Times New Roman"/>
              </w:rPr>
            </w:pPr>
            <w:r w:rsidRPr="00C02E77">
              <w:rPr>
                <w:rFonts w:cs="Times New Roman"/>
              </w:rPr>
              <w:t>CLhEN24-12</w:t>
            </w:r>
          </w:p>
        </w:tc>
        <w:tc>
          <w:tcPr>
            <w:tcW w:w="3168" w:type="dxa"/>
          </w:tcPr>
          <w:p w14:paraId="1195CBAD" w14:textId="77777777" w:rsidR="00515499" w:rsidRPr="00C02E77" w:rsidRDefault="00893D21" w:rsidP="00A22126">
            <w:pPr>
              <w:jc w:val="both"/>
              <w:rPr>
                <w:rFonts w:cs="Times New Roman"/>
              </w:rPr>
            </w:pPr>
            <w:r w:rsidRPr="00C02E77">
              <w:rPr>
                <w:rFonts w:cs="Times New Roman"/>
              </w:rPr>
              <w:t>8.6 ± 0.5</w:t>
            </w:r>
          </w:p>
        </w:tc>
      </w:tr>
      <w:tr w:rsidR="00515499" w:rsidRPr="00C02E77" w14:paraId="1D49A82B" w14:textId="77777777">
        <w:tc>
          <w:tcPr>
            <w:tcW w:w="3168" w:type="dxa"/>
          </w:tcPr>
          <w:p w14:paraId="10930B5A" w14:textId="77777777" w:rsidR="00515499" w:rsidRPr="00C02E77" w:rsidRDefault="00893D21" w:rsidP="00A22126">
            <w:pPr>
              <w:jc w:val="both"/>
              <w:rPr>
                <w:rFonts w:cs="Times New Roman"/>
              </w:rPr>
            </w:pPr>
            <w:r w:rsidRPr="00C02E77">
              <w:rPr>
                <w:rFonts w:cs="Times New Roman"/>
              </w:rPr>
              <w:t>CLhEN24-16</w:t>
            </w:r>
          </w:p>
        </w:tc>
        <w:tc>
          <w:tcPr>
            <w:tcW w:w="3168" w:type="dxa"/>
          </w:tcPr>
          <w:p w14:paraId="74272880" w14:textId="77777777" w:rsidR="00515499" w:rsidRPr="00C02E77" w:rsidRDefault="00893D21" w:rsidP="00A22126">
            <w:pPr>
              <w:jc w:val="both"/>
              <w:rPr>
                <w:rFonts w:cs="Times New Roman"/>
              </w:rPr>
            </w:pPr>
            <w:r w:rsidRPr="00C02E77">
              <w:rPr>
                <w:rFonts w:cs="Times New Roman"/>
              </w:rPr>
              <w:t>14.5 ± 0.9</w:t>
            </w:r>
          </w:p>
        </w:tc>
      </w:tr>
      <w:tr w:rsidR="00515499" w:rsidRPr="00C02E77" w14:paraId="74280FAB" w14:textId="77777777">
        <w:tc>
          <w:tcPr>
            <w:tcW w:w="3168" w:type="dxa"/>
          </w:tcPr>
          <w:p w14:paraId="2DC5423A" w14:textId="77777777" w:rsidR="00515499" w:rsidRPr="00C02E77" w:rsidRDefault="00893D21" w:rsidP="00A22126">
            <w:pPr>
              <w:jc w:val="both"/>
              <w:rPr>
                <w:rFonts w:cs="Times New Roman"/>
              </w:rPr>
            </w:pPr>
            <w:r w:rsidRPr="00C02E77">
              <w:rPr>
                <w:rFonts w:cs="Times New Roman"/>
              </w:rPr>
              <w:t>CLhEN24-20</w:t>
            </w:r>
          </w:p>
        </w:tc>
        <w:tc>
          <w:tcPr>
            <w:tcW w:w="3168" w:type="dxa"/>
          </w:tcPr>
          <w:p w14:paraId="038A854A" w14:textId="77777777" w:rsidR="00515499" w:rsidRPr="00C02E77" w:rsidRDefault="00893D21" w:rsidP="00A22126">
            <w:pPr>
              <w:jc w:val="both"/>
              <w:rPr>
                <w:rFonts w:cs="Times New Roman"/>
              </w:rPr>
            </w:pPr>
            <w:r w:rsidRPr="00C02E77">
              <w:rPr>
                <w:rFonts w:cs="Times New Roman"/>
              </w:rPr>
              <w:t>15.7 ± 0.4</w:t>
            </w:r>
          </w:p>
        </w:tc>
      </w:tr>
      <w:tr w:rsidR="00515499" w:rsidRPr="00C02E77" w14:paraId="4AAE8482" w14:textId="77777777">
        <w:tc>
          <w:tcPr>
            <w:tcW w:w="3168" w:type="dxa"/>
          </w:tcPr>
          <w:p w14:paraId="3FEDFE45" w14:textId="77777777" w:rsidR="00515499" w:rsidRPr="00C02E77" w:rsidRDefault="00893D21" w:rsidP="00A22126">
            <w:pPr>
              <w:jc w:val="both"/>
              <w:rPr>
                <w:rFonts w:cs="Times New Roman"/>
              </w:rPr>
            </w:pPr>
            <w:r w:rsidRPr="00C02E77">
              <w:rPr>
                <w:rFonts w:cs="Times New Roman"/>
              </w:rPr>
              <w:t>TRC105</w:t>
            </w:r>
          </w:p>
        </w:tc>
        <w:tc>
          <w:tcPr>
            <w:tcW w:w="3168" w:type="dxa"/>
          </w:tcPr>
          <w:p w14:paraId="28406D51" w14:textId="77777777" w:rsidR="00515499" w:rsidRPr="00C02E77" w:rsidRDefault="00893D21" w:rsidP="00A22126">
            <w:pPr>
              <w:jc w:val="both"/>
              <w:rPr>
                <w:rFonts w:cs="Times New Roman"/>
              </w:rPr>
            </w:pPr>
            <w:r w:rsidRPr="00C02E77">
              <w:rPr>
                <w:rFonts w:cs="Times New Roman"/>
              </w:rPr>
              <w:t>7.4 ± 0.1</w:t>
            </w:r>
          </w:p>
        </w:tc>
      </w:tr>
    </w:tbl>
    <w:p w14:paraId="241E3F07" w14:textId="77777777" w:rsidR="00515499" w:rsidRPr="00C02E77" w:rsidRDefault="00893D21" w:rsidP="00A22126">
      <w:pPr>
        <w:spacing w:before="80" w:after="360"/>
        <w:jc w:val="both"/>
        <w:rPr>
          <w:rFonts w:cs="Times New Roman"/>
        </w:rPr>
      </w:pPr>
      <w:r w:rsidRPr="00C02E77">
        <w:rPr>
          <w:rFonts w:cs="Times New Roman"/>
          <w:sz w:val="19"/>
        </w:rPr>
        <w:t>Values are mean ± s.d. of three independent experiments, performed independently of Table 2.</w:t>
      </w:r>
    </w:p>
    <w:p w14:paraId="3764B42E" w14:textId="77777777" w:rsidR="00515499" w:rsidRPr="00C02E77" w:rsidRDefault="00893D21" w:rsidP="00A22126">
      <w:pPr>
        <w:spacing w:before="200" w:after="160"/>
        <w:jc w:val="both"/>
        <w:rPr>
          <w:rFonts w:cs="Times New Roman"/>
        </w:rPr>
      </w:pPr>
      <w:r w:rsidRPr="00C02E77">
        <w:rPr>
          <w:rFonts w:cs="Times New Roman"/>
          <w:b/>
        </w:rPr>
        <w:t>Supplementary Videos</w:t>
      </w:r>
    </w:p>
    <w:p w14:paraId="2D610AE0" w14:textId="30F20140" w:rsidR="00515499" w:rsidRPr="00C02E77" w:rsidRDefault="00893D21" w:rsidP="00A22126">
      <w:pPr>
        <w:jc w:val="both"/>
        <w:rPr>
          <w:rFonts w:cs="Times New Roman"/>
        </w:rPr>
      </w:pPr>
      <w:r w:rsidRPr="00C02E77">
        <w:rPr>
          <w:rFonts w:cs="Times New Roman"/>
          <w:b/>
        </w:rPr>
        <w:t>Supplementary Videos 1-4.</w:t>
      </w:r>
      <w:r w:rsidRPr="00C02E77">
        <w:rPr>
          <w:rFonts w:cs="Times New Roman"/>
        </w:rPr>
        <w:t xml:space="preserve"> </w:t>
      </w:r>
      <w:r w:rsidRPr="00C02E77">
        <w:rPr>
          <w:rFonts w:cs="Times New Roman"/>
          <w:b/>
        </w:rPr>
        <w:t>Representative live-cell holotomography videos using an HT-X1 system, showing CAF motility corresponding to Fig.1e.</w:t>
      </w:r>
      <w:r w:rsidRPr="00C02E77">
        <w:rPr>
          <w:rFonts w:cs="Times New Roman"/>
        </w:rPr>
        <w:t xml:space="preserve"> Supplementary Video 1, Pt.3 Cas9-only control; Video 2, Pt.3 </w:t>
      </w:r>
      <w:r w:rsidRPr="00C02E77">
        <w:rPr>
          <w:rFonts w:cs="Times New Roman"/>
          <w:i/>
        </w:rPr>
        <w:t>ENG</w:t>
      </w:r>
      <w:r w:rsidRPr="00C02E77">
        <w:rPr>
          <w:rFonts w:cs="Times New Roman"/>
        </w:rPr>
        <w:t xml:space="preserve">-KO; Video 3, Pt.5 Cas9-only control; Video 4, Pt.5 </w:t>
      </w:r>
      <w:r w:rsidRPr="00C02E77">
        <w:rPr>
          <w:rFonts w:cs="Times New Roman"/>
          <w:i/>
        </w:rPr>
        <w:t>ENG</w:t>
      </w:r>
      <w:r w:rsidRPr="00C02E77">
        <w:rPr>
          <w:rFonts w:cs="Times New Roman"/>
        </w:rPr>
        <w:t>-KO.</w:t>
      </w:r>
    </w:p>
    <w:p w14:paraId="7EEAF5C2" w14:textId="71D8E39C" w:rsidR="00515499" w:rsidRPr="00C02E77" w:rsidRDefault="00893D21" w:rsidP="00A22126">
      <w:pPr>
        <w:jc w:val="both"/>
        <w:rPr>
          <w:rFonts w:cs="Times New Roman"/>
        </w:rPr>
      </w:pPr>
      <w:r w:rsidRPr="00C02E77">
        <w:rPr>
          <w:rFonts w:cs="Times New Roman"/>
          <w:b/>
        </w:rPr>
        <w:t>Supplementary Videos 5</w:t>
      </w:r>
      <w:r w:rsidR="007A6A6A">
        <w:rPr>
          <w:rFonts w:cs="Times New Roman"/>
          <w:b/>
        </w:rPr>
        <w:t xml:space="preserve"> and </w:t>
      </w:r>
      <w:r w:rsidRPr="00C02E77">
        <w:rPr>
          <w:rFonts w:cs="Times New Roman"/>
          <w:b/>
        </w:rPr>
        <w:t>6. Representative live-cell holotomography videos using an HT-X1 system, showing CAR ON/OFF assay corresponding to Fig.</w:t>
      </w:r>
      <w:r w:rsidR="007A6A6A">
        <w:rPr>
          <w:rFonts w:cs="Times New Roman"/>
          <w:b/>
        </w:rPr>
        <w:t xml:space="preserve"> </w:t>
      </w:r>
      <w:r w:rsidRPr="00C02E77">
        <w:rPr>
          <w:rFonts w:cs="Times New Roman"/>
          <w:b/>
        </w:rPr>
        <w:t>5e.</w:t>
      </w:r>
      <w:r w:rsidRPr="00C02E77">
        <w:rPr>
          <w:rFonts w:cs="Times New Roman"/>
        </w:rPr>
        <w:t xml:space="preserve"> Supplementary Video 5, 9H10-CAR-pNK; Video 6, EN24-CAR-pNK.</w:t>
      </w:r>
    </w:p>
    <w:p w14:paraId="16E31122" w14:textId="02BCE82B" w:rsidR="00515499" w:rsidRPr="00C02E77" w:rsidRDefault="00893D21" w:rsidP="00A22126">
      <w:pPr>
        <w:jc w:val="both"/>
        <w:rPr>
          <w:rFonts w:cs="Times New Roman"/>
        </w:rPr>
      </w:pPr>
      <w:r w:rsidRPr="00C02E77">
        <w:rPr>
          <w:rFonts w:cs="Times New Roman"/>
          <w:b/>
        </w:rPr>
        <w:t>Supplementary Videos 7-9. Representative live</w:t>
      </w:r>
      <w:r w:rsidRPr="007A6A6A">
        <w:rPr>
          <w:rFonts w:cs="Times New Roman"/>
          <w:b/>
        </w:rPr>
        <w:t xml:space="preserve">-cell imaging videos of the </w:t>
      </w:r>
      <w:r w:rsidR="007A6A6A" w:rsidRPr="007A6A6A">
        <w:rPr>
          <w:b/>
        </w:rPr>
        <w:t>killing assay in a multicellular spheroid model corresponding to Fig. 6d</w:t>
      </w:r>
      <w:r w:rsidR="007A6A6A">
        <w:t>.</w:t>
      </w:r>
      <w:r w:rsidRPr="00C02E77">
        <w:rPr>
          <w:rFonts w:cs="Times New Roman"/>
        </w:rPr>
        <w:t xml:space="preserve"> Supplementary Video 7, non-treated group, control; Supplementary Video 8, mock-pNK treatment; and Supplementary Video 9, hEN24-CAR-pNK treatment. AsPC-1-mCherry cancer cells are shown in red, HPPF-GFP cells in green, and Hoechst-labelled CAR-NK cells in blue.</w:t>
      </w:r>
    </w:p>
    <w:p w14:paraId="2015105B" w14:textId="7A1B941F" w:rsidR="00515499" w:rsidRPr="00C02E77" w:rsidRDefault="00893D21" w:rsidP="00A22126">
      <w:pPr>
        <w:jc w:val="both"/>
        <w:rPr>
          <w:rFonts w:cs="Times New Roman"/>
        </w:rPr>
      </w:pPr>
      <w:r w:rsidRPr="00C02E77">
        <w:rPr>
          <w:rFonts w:cs="Times New Roman"/>
          <w:b/>
        </w:rPr>
        <w:lastRenderedPageBreak/>
        <w:t>Supplementary Videos 10-14. Representative live-cell imaging videos of the killing assay in a multi-spheroids model during the sequential treatment, corresponding to Fig. 6e.</w:t>
      </w:r>
      <w:r w:rsidRPr="00C02E77">
        <w:rPr>
          <w:rFonts w:cs="Times New Roman"/>
        </w:rPr>
        <w:t xml:space="preserve"> Supplementary Video 10, non-treated group, control; Supplementary Video 11, MSLN-CAR-pNK treatment; Supplementary Video 12, 9H10-CD105-CAR-pNK treatment; Supplementary Video 13, hEN24-CD105-CAR-pNK treatment; and </w:t>
      </w:r>
      <w:r w:rsidR="00994308">
        <w:t>and Supplementary Video 14, sequential hEN24-CD105-CAR-pNK followed by MSLN-CAR-pNK treatment. PANC-1-MSLN-mCherry cancer cells are shown in red</w:t>
      </w:r>
      <w:r w:rsidRPr="00C02E77">
        <w:rPr>
          <w:rFonts w:cs="Times New Roman"/>
        </w:rPr>
        <w:t>, HPPF-GFP cells in green, and Hoechst-labelled CAR-NK cells in blue.</w:t>
      </w:r>
    </w:p>
    <w:sectPr w:rsidR="00515499" w:rsidRPr="00C02E77" w:rsidSect="00034616">
      <w:pgSz w:w="12240" w:h="15840"/>
      <w:pgMar w:top="1440" w:right="1296" w:bottom="144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55965" w14:textId="77777777" w:rsidR="008376FE" w:rsidRDefault="008376FE" w:rsidP="00DC3017">
      <w:pPr>
        <w:spacing w:after="0" w:line="240" w:lineRule="auto"/>
      </w:pPr>
      <w:r>
        <w:separator/>
      </w:r>
    </w:p>
  </w:endnote>
  <w:endnote w:type="continuationSeparator" w:id="0">
    <w:p w14:paraId="55CDBD1A" w14:textId="77777777" w:rsidR="008376FE" w:rsidRDefault="008376FE" w:rsidP="00DC3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01E5E" w14:textId="77777777" w:rsidR="008376FE" w:rsidRDefault="008376FE" w:rsidP="00DC3017">
      <w:pPr>
        <w:spacing w:after="0" w:line="240" w:lineRule="auto"/>
      </w:pPr>
      <w:r>
        <w:separator/>
      </w:r>
    </w:p>
  </w:footnote>
  <w:footnote w:type="continuationSeparator" w:id="0">
    <w:p w14:paraId="00C6176A" w14:textId="77777777" w:rsidR="008376FE" w:rsidRDefault="008376FE" w:rsidP="00DC30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254D"/>
    <w:rsid w:val="000D2ED9"/>
    <w:rsid w:val="0015074B"/>
    <w:rsid w:val="001B14CE"/>
    <w:rsid w:val="001B6F36"/>
    <w:rsid w:val="001C13E3"/>
    <w:rsid w:val="001E0A91"/>
    <w:rsid w:val="00251966"/>
    <w:rsid w:val="00265E0B"/>
    <w:rsid w:val="0029257E"/>
    <w:rsid w:val="0029639D"/>
    <w:rsid w:val="002F1822"/>
    <w:rsid w:val="00326F90"/>
    <w:rsid w:val="003418DB"/>
    <w:rsid w:val="003A54E5"/>
    <w:rsid w:val="003B0519"/>
    <w:rsid w:val="003E2938"/>
    <w:rsid w:val="003F4C2A"/>
    <w:rsid w:val="00417C01"/>
    <w:rsid w:val="00420B4A"/>
    <w:rsid w:val="004D3D90"/>
    <w:rsid w:val="00515499"/>
    <w:rsid w:val="00540482"/>
    <w:rsid w:val="00550768"/>
    <w:rsid w:val="00573E53"/>
    <w:rsid w:val="00584485"/>
    <w:rsid w:val="005936DD"/>
    <w:rsid w:val="005B48C9"/>
    <w:rsid w:val="00691BB3"/>
    <w:rsid w:val="006B15BC"/>
    <w:rsid w:val="00715F90"/>
    <w:rsid w:val="00722451"/>
    <w:rsid w:val="00762C5F"/>
    <w:rsid w:val="00795C4C"/>
    <w:rsid w:val="007A6A6A"/>
    <w:rsid w:val="007F6ACA"/>
    <w:rsid w:val="0080708E"/>
    <w:rsid w:val="008363C9"/>
    <w:rsid w:val="008376FE"/>
    <w:rsid w:val="008860A0"/>
    <w:rsid w:val="00893D21"/>
    <w:rsid w:val="008D17A3"/>
    <w:rsid w:val="008F514D"/>
    <w:rsid w:val="009352F5"/>
    <w:rsid w:val="00962CCD"/>
    <w:rsid w:val="00994308"/>
    <w:rsid w:val="009A1146"/>
    <w:rsid w:val="009A3A1C"/>
    <w:rsid w:val="009D09A4"/>
    <w:rsid w:val="00A22126"/>
    <w:rsid w:val="00A459B8"/>
    <w:rsid w:val="00A512CD"/>
    <w:rsid w:val="00AA1D8D"/>
    <w:rsid w:val="00AC21BD"/>
    <w:rsid w:val="00AD2BBC"/>
    <w:rsid w:val="00B13E30"/>
    <w:rsid w:val="00B47730"/>
    <w:rsid w:val="00B6773A"/>
    <w:rsid w:val="00C02E77"/>
    <w:rsid w:val="00C16F6B"/>
    <w:rsid w:val="00C66724"/>
    <w:rsid w:val="00CA2042"/>
    <w:rsid w:val="00CB0664"/>
    <w:rsid w:val="00DB39C4"/>
    <w:rsid w:val="00DC3017"/>
    <w:rsid w:val="00DD366B"/>
    <w:rsid w:val="00E536DA"/>
    <w:rsid w:val="00E70B67"/>
    <w:rsid w:val="00E7134E"/>
    <w:rsid w:val="00F23B29"/>
    <w:rsid w:val="00F3183D"/>
    <w:rsid w:val="00F56EFF"/>
    <w:rsid w:val="00FC3B6E"/>
    <w:rsid w:val="00FC693F"/>
    <w:rsid w:val="00FD3FAC"/>
    <w:rsid w:val="00FD65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840610"/>
  <w14:defaultImageDpi w14:val="300"/>
  <w15:docId w15:val="{6E71273E-92D0-4EBA-AC17-6DEE05270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Times New Roman" w:hAnsi="Times New Roman"/>
      <w:sz w:val="21"/>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156317">
      <w:bodyDiv w:val="1"/>
      <w:marLeft w:val="0"/>
      <w:marRight w:val="0"/>
      <w:marTop w:val="0"/>
      <w:marBottom w:val="0"/>
      <w:divBdr>
        <w:top w:val="none" w:sz="0" w:space="0" w:color="auto"/>
        <w:left w:val="none" w:sz="0" w:space="0" w:color="auto"/>
        <w:bottom w:val="none" w:sz="0" w:space="0" w:color="auto"/>
        <w:right w:val="none" w:sz="0" w:space="0" w:color="auto"/>
      </w:divBdr>
      <w:divsChild>
        <w:div w:id="1370030515">
          <w:marLeft w:val="0"/>
          <w:marRight w:val="0"/>
          <w:marTop w:val="0"/>
          <w:marBottom w:val="0"/>
          <w:divBdr>
            <w:top w:val="none" w:sz="0" w:space="0" w:color="auto"/>
            <w:left w:val="none" w:sz="0" w:space="0" w:color="auto"/>
            <w:bottom w:val="none" w:sz="0" w:space="0" w:color="auto"/>
            <w:right w:val="none" w:sz="0" w:space="0" w:color="auto"/>
          </w:divBdr>
          <w:divsChild>
            <w:div w:id="2140760911">
              <w:marLeft w:val="0"/>
              <w:marRight w:val="0"/>
              <w:marTop w:val="0"/>
              <w:marBottom w:val="0"/>
              <w:divBdr>
                <w:top w:val="none" w:sz="0" w:space="0" w:color="auto"/>
                <w:left w:val="none" w:sz="0" w:space="0" w:color="auto"/>
                <w:bottom w:val="none" w:sz="0" w:space="0" w:color="auto"/>
                <w:right w:val="none" w:sz="0" w:space="0" w:color="auto"/>
              </w:divBdr>
              <w:divsChild>
                <w:div w:id="1068963364">
                  <w:marLeft w:val="0"/>
                  <w:marRight w:val="0"/>
                  <w:marTop w:val="0"/>
                  <w:marBottom w:val="0"/>
                  <w:divBdr>
                    <w:top w:val="none" w:sz="0" w:space="0" w:color="auto"/>
                    <w:left w:val="none" w:sz="0" w:space="0" w:color="auto"/>
                    <w:bottom w:val="none" w:sz="0" w:space="0" w:color="auto"/>
                    <w:right w:val="none" w:sz="0" w:space="0" w:color="auto"/>
                  </w:divBdr>
                  <w:divsChild>
                    <w:div w:id="2002541713">
                      <w:marLeft w:val="0"/>
                      <w:marRight w:val="0"/>
                      <w:marTop w:val="0"/>
                      <w:marBottom w:val="0"/>
                      <w:divBdr>
                        <w:top w:val="none" w:sz="0" w:space="0" w:color="auto"/>
                        <w:left w:val="none" w:sz="0" w:space="0" w:color="auto"/>
                        <w:bottom w:val="none" w:sz="0" w:space="0" w:color="auto"/>
                        <w:right w:val="none" w:sz="0" w:space="0" w:color="auto"/>
                      </w:divBdr>
                      <w:divsChild>
                        <w:div w:id="1830319839">
                          <w:marLeft w:val="0"/>
                          <w:marRight w:val="0"/>
                          <w:marTop w:val="0"/>
                          <w:marBottom w:val="0"/>
                          <w:divBdr>
                            <w:top w:val="none" w:sz="0" w:space="0" w:color="auto"/>
                            <w:left w:val="none" w:sz="0" w:space="0" w:color="auto"/>
                            <w:bottom w:val="none" w:sz="0" w:space="0" w:color="auto"/>
                            <w:right w:val="none" w:sz="0" w:space="0" w:color="auto"/>
                          </w:divBdr>
                          <w:divsChild>
                            <w:div w:id="7454965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g"/><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tiff"/><Relationship Id="rId22"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B2CBD-3BDA-4D0D-B65E-9DD9ED226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2315</Words>
  <Characters>13196</Characters>
  <Application>Microsoft Office Word</Application>
  <DocSecurity>0</DocSecurity>
  <Lines>109</Lines>
  <Paragraphs>30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Mihue Jang</cp:lastModifiedBy>
  <cp:revision>5</cp:revision>
  <dcterms:created xsi:type="dcterms:W3CDTF">2026-10-04T18:29:00Z</dcterms:created>
  <dcterms:modified xsi:type="dcterms:W3CDTF">2026-10-04T19:16:00Z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3e630eab-0f71-4d44-ba09-9fb1277ba710</vt:lpwstr>
  </property>
</Properties>
</file>