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after="40"/>
        <w:jc w:val="center"/>
      </w:pPr>
      <w:r>
        <w:rPr>
          <w:rFonts w:ascii="Times New Roman" w:hAnsi="Times New Roman"/>
          <w:b/>
          <w:sz w:val="28"/>
        </w:rPr>
        <w:t>Supplementary Tables</w:t>
      </w:r>
    </w:p>
    <w:p>
      <w:pPr>
        <w:spacing w:line="240" w:lineRule="auto" w:after="40"/>
        <w:jc w:val="center"/>
      </w:pPr>
      <w:r>
        <w:rPr>
          <w:rFonts w:ascii="Times New Roman" w:hAnsi="Times New Roman"/>
          <w:b w:val="0"/>
          <w:i/>
          <w:sz w:val="22"/>
        </w:rPr>
        <w:t>Cross-Cultural Adaptation and Psychometric Validation of the Persian Parental Care and Tenderness Scale (PCAT): Factorial and Network Evidence From Iranian Adults</w:t>
      </w:r>
    </w:p>
    <w:p>
      <w:pPr>
        <w:keepNext/>
        <w:spacing w:before="200" w:after="40" w:line="240" w:lineRule="auto"/>
      </w:pPr>
      <w:r>
        <w:rPr>
          <w:rFonts w:ascii="Times New Roman" w:hAnsi="Times New Roman"/>
          <w:b/>
          <w:sz w:val="22"/>
        </w:rPr>
        <w:t>Supplementary Table S1</w:t>
      </w:r>
    </w:p>
    <w:p>
      <w:pPr>
        <w:keepNext/>
        <w:spacing w:after="40" w:line="240" w:lineRule="auto"/>
      </w:pPr>
      <w:r>
        <w:rPr>
          <w:rFonts w:ascii="Times New Roman" w:hAnsi="Times New Roman"/>
          <w:b w:val="0"/>
          <w:i/>
          <w:sz w:val="22"/>
        </w:rPr>
        <w:t>Item-Level Descriptive Statistics and Reliability Diagnostics for the Persian PCAT</w:t>
      </w:r>
    </w:p>
    <w:tbl>
      <w:tblPr>
        <w:tblW w:type="auto" w:w="0"/>
        <w:jc w:val="center"/>
        <w:tblLayout w:type="autofit"/>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t>Item</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M</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SD</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Skew</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Kurtosis</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Corrected item-total r</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Alpha if item deleted</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.465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3.82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1.49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.458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.487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.445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1.78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.462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-1.75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-1.68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3.28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2.62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.052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.863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3.95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.541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1.41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1.57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.273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3.83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.505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.849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1.38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.850</w:t>
            </w:r>
          </w:p>
        </w:tc>
      </w:tr>
      <w:tr>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PCAT25</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3.98</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1.29</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-1.08</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.02</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.444</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.851</w:t>
            </w:r>
          </w:p>
        </w:tc>
      </w:tr>
    </w:tbl>
    <w:p>
      <w:pPr>
        <w:spacing w:after="40" w:line="240" w:lineRule="auto"/>
      </w:pPr>
      <w:r>
        <w:rPr>
          <w:rFonts w:ascii="Times New Roman" w:hAnsi="Times New Roman"/>
          <w:sz w:val="17"/>
        </w:rPr>
        <w:t>Note. N = 437. Item-total correlations and alpha-if-deleted values refer to the 25-item total PCAT after reverse scoring Items 2, 5, 8, 11, and 14.</w:t>
      </w:r>
    </w:p>
    <w:p>
      <w:pPr>
        <w:keepNext/>
        <w:spacing w:before="200" w:after="40" w:line="240" w:lineRule="auto"/>
      </w:pPr>
      <w:r>
        <w:rPr>
          <w:rFonts w:ascii="Times New Roman" w:hAnsi="Times New Roman"/>
          <w:b/>
          <w:sz w:val="22"/>
        </w:rPr>
        <w:t>Supplementary Table S2</w:t>
      </w:r>
    </w:p>
    <w:p>
      <w:pPr>
        <w:keepNext/>
        <w:spacing w:after="40" w:line="240" w:lineRule="auto"/>
      </w:pPr>
      <w:r>
        <w:rPr>
          <w:rFonts w:ascii="Times New Roman" w:hAnsi="Times New Roman"/>
          <w:b w:val="0"/>
          <w:i/>
          <w:sz w:val="22"/>
        </w:rPr>
        <w:t>Detailed Confirmatory Factor Analysis Results</w:t>
      </w:r>
    </w:p>
    <w:p>
      <w:pPr>
        <w:spacing w:line="240" w:lineRule="auto" w:after="40"/>
      </w:pPr>
      <w:r>
        <w:rPr>
          <w:rFonts w:ascii="Times New Roman" w:hAnsi="Times New Roman"/>
          <w:b/>
          <w:sz w:val="18"/>
        </w:rPr>
        <w:t>Panel A. Standardized factor loadings</w:t>
      </w:r>
    </w:p>
    <w:tbl>
      <w:tblPr>
        <w:tblW w:type="auto" w:w="0"/>
        <w:jc w:val="center"/>
        <w:tblLayout w:type="autofit"/>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5"/>
              </w:rPr>
              <w:t>Factor</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Item</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Estimate</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SE</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z</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p</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Standardized loading</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.865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9.35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.654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1.134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10.23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.750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1.431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.169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.820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1.446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7.38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.822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.974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.698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.675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.560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1.084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.133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8.17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.735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.657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.097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6.78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.549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.245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5.75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.816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.353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.082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.333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.060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6.54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.363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1.106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7.34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.742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.991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.163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6.07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.704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1.963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.891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.069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.614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.035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1.057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.726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1.076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7.23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.732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6.07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.478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1.456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.227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.824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.877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6.94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.660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1.141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.752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7.08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.664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4.86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.395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PCAT23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1.570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6.44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.843</w:t>
            </w:r>
          </w:p>
        </w:tc>
      </w:tr>
      <w:tr>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5"/>
              </w:rPr>
              <w:t>Tenderness Negative</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PCAT24</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1.189</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.153</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7.79</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&lt; .001</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.765</w:t>
            </w:r>
          </w:p>
        </w:tc>
      </w:tr>
    </w:tbl>
    <w:p>
      <w:pPr>
        <w:spacing w:line="240" w:lineRule="auto" w:after="40"/>
      </w:pPr>
      <w:r>
        <w:rPr>
          <w:rFonts w:ascii="Times New Roman" w:hAnsi="Times New Roman"/>
          <w:b/>
          <w:sz w:val="18"/>
        </w:rPr>
        <w:t>Panel B. Standardized latent-factor correlations</w:t>
      </w:r>
    </w:p>
    <w:tbl>
      <w:tblPr>
        <w:tblW w:type="auto" w:w="0"/>
        <w:jc w:val="center"/>
        <w:tblLayout w:type="autofit"/>
        <w:tblLook w:firstColumn="1" w:firstRow="1" w:lastColumn="0" w:lastRow="0" w:noHBand="0" w:noVBand="1" w:val="04A0"/>
      </w:tblPr>
      <w:tblGrid>
        <w:gridCol w:w="2376"/>
        <w:gridCol w:w="2376"/>
        <w:gridCol w:w="2376"/>
        <w:gridCol w:w="2376"/>
        <w:gridCol w:w="2376"/>
        <w:gridCol w:w="2376"/>
      </w:tblGrid>
      <w:tr>
        <w:trPr>
          <w:tblHeader w:val="true"/>
        </w:trPr>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t>Factor 1</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Factor 2</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r</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SE</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z</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p</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Liking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.651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.041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16.03</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Protection</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.667</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.046</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14.49</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Positive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.564</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.057</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9.91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Negative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.294</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.068</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4.36</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Protection</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.473</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.057</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8.31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Positive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.508</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.068</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7.50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Negative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.280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.080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3.51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Positive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.405</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.073</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5.58</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Tenderness Negative</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.313</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.069</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4.52</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Tenderness Positive</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Tenderness Negative</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.706</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.047</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15.18</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&lt; .001</w:t>
            </w:r>
          </w:p>
        </w:tc>
      </w:tr>
    </w:tbl>
    <w:p>
      <w:pPr>
        <w:spacing w:line="240" w:lineRule="auto" w:after="40"/>
      </w:pPr>
      <w:r>
        <w:rPr>
          <w:rFonts w:ascii="Times New Roman" w:hAnsi="Times New Roman"/>
          <w:b/>
          <w:sz w:val="18"/>
        </w:rPr>
        <w:t>Panel C. HTMT matrix</w:t>
      </w:r>
    </w:p>
    <w:tbl>
      <w:tblPr>
        <w:tblW w:type="auto" w:w="0"/>
        <w:jc w:val="center"/>
        <w:tblLayout w:type="autofit"/>
        <w:tblLook w:firstColumn="1" w:firstRow="1" w:lastColumn="0" w:lastRow="0" w:noHBand="0" w:noVBand="1" w:val="04A0"/>
      </w:tblPr>
      <w:tblGrid>
        <w:gridCol w:w="2376"/>
        <w:gridCol w:w="2376"/>
        <w:gridCol w:w="2376"/>
        <w:gridCol w:w="2376"/>
        <w:gridCol w:w="2376"/>
        <w:gridCol w:w="2376"/>
      </w:tblGrid>
      <w:tr>
        <w:trPr>
          <w:tblHeader w:val="true"/>
        </w:trPr>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Caring</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Liking</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Protection</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Tenderness+</w:t>
            </w:r>
          </w:p>
        </w:tc>
        <w:tc>
          <w:tcPr>
            <w:tcW w:type="dxa" w:w="2376"/>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Tenderness-</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1.000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.402</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.605</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.611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.312</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.402</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1.000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.480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.227</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.605</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1.000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.315</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.332</w:t>
            </w:r>
          </w:p>
        </w:tc>
      </w:tr>
      <w:tr>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.611</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.480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.315</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1.000</w:t>
            </w:r>
          </w:p>
        </w:tc>
        <w:tc>
          <w:tcPr>
            <w:tcW w:type="dxa" w:w="2376"/>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.752</w:t>
            </w:r>
          </w:p>
        </w:tc>
      </w:tr>
      <w:tr>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Tenderness-</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.312</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.227</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.332</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.752</w:t>
            </w:r>
          </w:p>
        </w:tc>
        <w:tc>
          <w:tcPr>
            <w:tcW w:type="dxa" w:w="2376"/>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1.000</w:t>
            </w:r>
          </w:p>
        </w:tc>
      </w:tr>
    </w:tbl>
    <w:p>
      <w:pPr>
        <w:spacing w:after="40" w:line="240" w:lineRule="auto"/>
      </w:pPr>
      <w:r>
        <w:rPr>
          <w:rFonts w:ascii="Times New Roman" w:hAnsi="Times New Roman"/>
          <w:sz w:val="17"/>
        </w:rPr>
        <w:t>Note. Confirmatory subsample n = 219. CFA used ordinal WLSMV estimation. HTMT = heterotrait-monotrait ratio.</w:t>
      </w:r>
    </w:p>
    <w:p>
      <w:pPr>
        <w:keepNext/>
        <w:spacing w:before="200" w:after="40" w:line="240" w:lineRule="auto"/>
      </w:pPr>
      <w:r>
        <w:rPr>
          <w:rFonts w:ascii="Times New Roman" w:hAnsi="Times New Roman"/>
          <w:b/>
          <w:sz w:val="22"/>
        </w:rPr>
        <w:t>Supplementary Table S3</w:t>
      </w:r>
    </w:p>
    <w:p>
      <w:pPr>
        <w:keepNext/>
        <w:spacing w:after="40" w:line="240" w:lineRule="auto"/>
      </w:pPr>
      <w:r>
        <w:rPr>
          <w:rFonts w:ascii="Times New Roman" w:hAnsi="Times New Roman"/>
          <w:b w:val="0"/>
          <w:i/>
          <w:sz w:val="22"/>
        </w:rPr>
        <w:t>Ordinal Measurement-Invariance Sensitivity Analyses by Gender and Parent Status</w:t>
      </w:r>
    </w:p>
    <w:p>
      <w:pPr>
        <w:spacing w:line="240" w:lineRule="auto" w:after="40"/>
      </w:pPr>
      <w:r>
        <w:rPr>
          <w:rFonts w:ascii="Times New Roman" w:hAnsi="Times New Roman"/>
          <w:b/>
          <w:sz w:val="18"/>
        </w:rPr>
        <w:t>Panel A. Gender invariance fit</w:t>
      </w:r>
    </w:p>
    <w:tbl>
      <w:tblPr>
        <w:tblW w:type="auto" w:w="0"/>
        <w:jc w:val="center"/>
        <w:tblLayout w:type="autofit"/>
        <w:tblLook w:firstColumn="1" w:firstRow="1" w:lastColumn="0" w:lastRow="0" w:noHBand="0" w:noVBand="1" w:val="04A0"/>
      </w:tblPr>
      <w:tblGrid>
        <w:gridCol w:w="1188"/>
        <w:gridCol w:w="1188"/>
        <w:gridCol w:w="1188"/>
        <w:gridCol w:w="1188"/>
        <w:gridCol w:w="1188"/>
        <w:gridCol w:w="1188"/>
        <w:gridCol w:w="1188"/>
        <w:gridCol w:w="1188"/>
        <w:gridCol w:w="1188"/>
        <w:gridCol w:w="1188"/>
        <w:gridCol w:w="1188"/>
        <w:gridCol w:w="1188"/>
      </w:tblGrid>
      <w:tr>
        <w:trPr>
          <w:tblHeader w:val="true"/>
        </w:trPr>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4"/>
              </w:rPr>
              <w:t>Model</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chi-square</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df</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p</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CFI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TLI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RMSEA</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90% CI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SRMR</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CFI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RMSEA</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SRMR</w:t>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Configural</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943.37</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530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.772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.742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[.091, .106]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Metric / equal loadings</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931.10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550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.766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.745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[.090, .105]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.079</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.003</w:t>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Threshold (ordinal scalar) / equal loadings + thresholds</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1050.01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616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.976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.976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[.049, .061]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.077</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.209</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-.002</w:t>
            </w:r>
          </w:p>
        </w:tc>
      </w:tr>
      <w:tr>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4"/>
              </w:rPr>
              <w:t>Strict / + residuals</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1095.65</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641</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.970</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.972</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.060</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[.054, .065]</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.079</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-.005</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.004</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.002</w:t>
            </w:r>
          </w:p>
        </w:tc>
      </w:tr>
    </w:tbl>
    <w:p>
      <w:pPr>
        <w:spacing w:line="240" w:lineRule="auto" w:after="40"/>
      </w:pPr>
      <w:r>
        <w:rPr>
          <w:rFonts w:ascii="Times New Roman" w:hAnsi="Times New Roman"/>
          <w:b/>
          <w:sz w:val="18"/>
        </w:rPr>
        <w:t>Panel B. Parent-status invariance fit</w:t>
      </w:r>
    </w:p>
    <w:tbl>
      <w:tblPr>
        <w:tblW w:type="auto" w:w="0"/>
        <w:jc w:val="center"/>
        <w:tblLayout w:type="autofit"/>
        <w:tblLook w:firstColumn="1" w:firstRow="1" w:lastColumn="0" w:lastRow="0" w:noHBand="0" w:noVBand="1" w:val="04A0"/>
      </w:tblPr>
      <w:tblGrid>
        <w:gridCol w:w="1188"/>
        <w:gridCol w:w="1188"/>
        <w:gridCol w:w="1188"/>
        <w:gridCol w:w="1188"/>
        <w:gridCol w:w="1188"/>
        <w:gridCol w:w="1188"/>
        <w:gridCol w:w="1188"/>
        <w:gridCol w:w="1188"/>
        <w:gridCol w:w="1188"/>
        <w:gridCol w:w="1188"/>
        <w:gridCol w:w="1188"/>
        <w:gridCol w:w="1188"/>
      </w:tblGrid>
      <w:tr>
        <w:trPr>
          <w:tblHeader w:val="true"/>
        </w:trPr>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4"/>
              </w:rPr>
              <w:t>Model</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chi-square</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df</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p</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CFI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TLI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RMSEA</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90% CI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SRMR</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CFI</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RMSEA</w:t>
            </w:r>
          </w:p>
        </w:tc>
        <w:tc>
          <w:tcPr>
            <w:tcW w:type="dxa" w:w="118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Delta SRMR</w:t>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Configural</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911.40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530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.766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.735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.097</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[.089, .105]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Metric / equal loadings</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948.82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550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.753</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.731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[.090, .105]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.080</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.005</w:t>
            </w:r>
          </w:p>
        </w:tc>
      </w:tr>
      <w:tr>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Threshold (ordinal scalar) / equal loadings + thresholds</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985.05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618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.978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.979</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.052</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[.046, .058]</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.076</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-.045</w:t>
            </w:r>
          </w:p>
        </w:tc>
        <w:tc>
          <w:tcPr>
            <w:tcW w:type="dxa" w:w="118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-.004</w:t>
            </w:r>
          </w:p>
        </w:tc>
      </w:tr>
      <w:tr>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4"/>
              </w:rPr>
              <w:t>Strict / + residuals</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1048.13</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643</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&lt; .001</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.972</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.974</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.059</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[.053, .064]</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.080</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-.007</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.006</w:t>
            </w:r>
          </w:p>
        </w:tc>
        <w:tc>
          <w:tcPr>
            <w:tcW w:type="dxa" w:w="118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.004</w:t>
            </w:r>
          </w:p>
        </w:tc>
      </w:tr>
    </w:tbl>
    <w:p>
      <w:pPr>
        <w:spacing w:line="240" w:lineRule="auto" w:after="40"/>
      </w:pPr>
      <w:r>
        <w:rPr>
          <w:rFonts w:ascii="Times New Roman" w:hAnsi="Times New Roman"/>
          <w:b/>
          <w:sz w:val="18"/>
        </w:rPr>
        <w:t>Panel C. Category collapses required for estimation</w:t>
      </w:r>
    </w:p>
    <w:tbl>
      <w:tblPr>
        <w:tblW w:type="auto" w:w="0"/>
        <w:jc w:val="center"/>
        <w:tblLayout w:type="autofit"/>
        <w:tblLook w:firstColumn="1" w:firstRow="1" w:lastColumn="0" w:lastRow="0" w:noHBand="0" w:noVBand="1" w:val="04A0"/>
      </w:tblPr>
      <w:tblGrid>
        <w:gridCol w:w="3564"/>
        <w:gridCol w:w="3564"/>
        <w:gridCol w:w="3564"/>
        <w:gridCol w:w="3564"/>
      </w:tblGrid>
      <w:tr>
        <w:trPr>
          <w:tblHeader w:val="true"/>
        </w:trPr>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t>Grouping variable</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Item</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Recoding step</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Final categories</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Gender</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Gender</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PCAT9</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Gender</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Gender</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Parent status</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PCAT5</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w:t>
            </w:r>
          </w:p>
        </w:tc>
      </w:tr>
      <w:tr>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Parent status</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PCAT13</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Merged original/current category 1 with adjacent category 2</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4</w:t>
            </w:r>
          </w:p>
        </w:tc>
      </w:tr>
    </w:tbl>
    <w:p>
      <w:pPr>
        <w:spacing w:after="40" w:line="240" w:lineRule="auto"/>
      </w:pPr>
      <w:r>
        <w:rPr>
          <w:rFonts w:ascii="Times New Roman" w:hAnsi="Times New Roman"/>
          <w:sz w:val="17"/>
        </w:rPr>
        <w:t>Note. Category collapsing was restricted to invariance analyses and was applied identically across groups for the affected item. Because configural fit was inadequate, constrained models should be interpreted as sensitivity analyses rather than affirmative evidence of invariance.</w:t>
      </w:r>
    </w:p>
    <w:p>
      <w:pPr>
        <w:keepNext/>
        <w:spacing w:before="200" w:after="40" w:line="240" w:lineRule="auto"/>
      </w:pPr>
      <w:r>
        <w:rPr>
          <w:rFonts w:ascii="Times New Roman" w:hAnsi="Times New Roman"/>
          <w:b/>
          <w:sz w:val="22"/>
        </w:rPr>
        <w:t>Supplementary Table S4</w:t>
      </w:r>
    </w:p>
    <w:p>
      <w:pPr>
        <w:keepNext/>
        <w:spacing w:after="40" w:line="240" w:lineRule="auto"/>
      </w:pPr>
      <w:r>
        <w:rPr>
          <w:rFonts w:ascii="Times New Roman" w:hAnsi="Times New Roman"/>
          <w:b w:val="0"/>
          <w:i/>
          <w:sz w:val="22"/>
        </w:rPr>
        <w:t>Bootstrap Dimensionality and Stability of the Exploratory Graph Analysis</w:t>
      </w:r>
    </w:p>
    <w:p>
      <w:pPr>
        <w:spacing w:line="240" w:lineRule="auto" w:after="40"/>
      </w:pPr>
      <w:r>
        <w:rPr>
          <w:rFonts w:ascii="Times New Roman" w:hAnsi="Times New Roman"/>
          <w:b/>
          <w:sz w:val="18"/>
        </w:rPr>
        <w:t>Panel A. Number of dimensions across 1,000 bootEGA replications</w:t>
      </w:r>
    </w:p>
    <w:tbl>
      <w:tblPr>
        <w:tblW w:type="auto" w:w="0"/>
        <w:jc w:val="center"/>
        <w:tblLayout w:type="autofit"/>
        <w:tblLook w:firstColumn="1" w:firstRow="1" w:lastColumn="0" w:lastRow="0" w:noHBand="0" w:noVBand="1" w:val="04A0"/>
      </w:tblPr>
      <w:tblGrid>
        <w:gridCol w:w="7128"/>
        <w:gridCol w:w="7128"/>
      </w:tblGrid>
      <w:tr>
        <w:trPr>
          <w:tblHeader w:val="true"/>
        </w:trPr>
        <w:tc>
          <w:tcPr>
            <w:tcW w:type="dxa" w:w="712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7"/>
              </w:rPr>
              <w:t>Number of dimensions</w:t>
            </w:r>
          </w:p>
        </w:tc>
        <w:tc>
          <w:tcPr>
            <w:tcW w:type="dxa" w:w="712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Proportion</w:t>
            </w:r>
          </w:p>
        </w:tc>
      </w:tr>
      <w:tr>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3</w:t>
            </w:r>
          </w:p>
        </w:tc>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.105</w:t>
            </w:r>
          </w:p>
        </w:tc>
      </w:tr>
      <w:tr>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4</w:t>
            </w:r>
          </w:p>
        </w:tc>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.354</w:t>
            </w:r>
          </w:p>
        </w:tc>
      </w:tr>
      <w:tr>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5</w:t>
            </w:r>
          </w:p>
        </w:tc>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.406</w:t>
            </w:r>
          </w:p>
        </w:tc>
      </w:tr>
      <w:tr>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6</w:t>
            </w:r>
          </w:p>
        </w:tc>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.115</w:t>
            </w:r>
          </w:p>
        </w:tc>
      </w:tr>
      <w:tr>
        <w:tc>
          <w:tcPr>
            <w:tcW w:type="dxa" w:w="712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7"/>
              </w:rPr>
              <w:t>7</w:t>
            </w:r>
          </w:p>
        </w:tc>
        <w:tc>
          <w:tcPr>
            <w:tcW w:type="dxa" w:w="712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.020</w:t>
            </w:r>
          </w:p>
        </w:tc>
      </w:tr>
    </w:tbl>
    <w:p>
      <w:pPr>
        <w:spacing w:line="240" w:lineRule="auto" w:after="40"/>
      </w:pPr>
      <w:r>
        <w:rPr>
          <w:rFonts w:ascii="Times New Roman" w:hAnsi="Times New Roman"/>
          <w:b/>
          <w:sz w:val="18"/>
        </w:rPr>
        <w:t>Panel B. Dimension-level stability</w:t>
      </w:r>
    </w:p>
    <w:tbl>
      <w:tblPr>
        <w:tblW w:type="auto" w:w="0"/>
        <w:jc w:val="center"/>
        <w:tblLayout w:type="autofit"/>
        <w:tblLook w:firstColumn="1" w:firstRow="1" w:lastColumn="0" w:lastRow="0" w:noHBand="0" w:noVBand="1" w:val="04A0"/>
      </w:tblPr>
      <w:tblGrid>
        <w:gridCol w:w="4752"/>
        <w:gridCol w:w="4752"/>
        <w:gridCol w:w="4752"/>
      </w:tblGrid>
      <w:tr>
        <w:trPr>
          <w:tblHeader w:val="true"/>
        </w:trPr>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7"/>
              </w:rPr>
              <w:t>Dimension</w:t>
            </w:r>
          </w:p>
        </w:tc>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Structural consistency</w:t>
            </w:r>
          </w:p>
        </w:tc>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Average item stability</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.086</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.675</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.800</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.899</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.740</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.956</w:t>
            </w:r>
          </w:p>
        </w:tc>
      </w:tr>
      <w:tr>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7"/>
              </w:rPr>
              <w:t>5</w:t>
            </w:r>
          </w:p>
        </w:tc>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.490</w:t>
            </w:r>
          </w:p>
        </w:tc>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.546</w:t>
            </w:r>
          </w:p>
        </w:tc>
      </w:tr>
    </w:tbl>
    <w:p>
      <w:pPr>
        <w:spacing w:line="240" w:lineRule="auto" w:after="40"/>
      </w:pPr>
      <w:r>
        <w:rPr>
          <w:rFonts w:ascii="Times New Roman" w:hAnsi="Times New Roman"/>
          <w:b/>
          <w:sz w:val="18"/>
        </w:rPr>
        <w:t>Panel C. Item-level EGA stability</w:t>
      </w:r>
    </w:p>
    <w:tbl>
      <w:tblPr>
        <w:tblW w:type="auto" w:w="0"/>
        <w:jc w:val="center"/>
        <w:tblLayout w:type="autofit"/>
        <w:tblLook w:firstColumn="1" w:firstRow="1" w:lastColumn="0" w:lastRow="0" w:noHBand="0" w:noVBand="1" w:val="04A0"/>
      </w:tblPr>
      <w:tblGrid>
        <w:gridCol w:w="4752"/>
        <w:gridCol w:w="4752"/>
        <w:gridCol w:w="4752"/>
      </w:tblGrid>
      <w:tr>
        <w:trPr>
          <w:tblHeader w:val="true"/>
        </w:trPr>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7"/>
              </w:rPr>
              <w:t>Item</w:t>
            </w:r>
          </w:p>
        </w:tc>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Assigned dimension</w:t>
            </w:r>
          </w:p>
        </w:tc>
        <w:tc>
          <w:tcPr>
            <w:tcW w:type="dxa" w:w="475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Item stability</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.931</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.926</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.931</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.917</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PCAT6</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.931</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PCAT7</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PCAT8</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.925</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PCAT9</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.371</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PCAT10</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.667</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.827</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.685</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.898</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.209</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PCAT16</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1.000</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PCAT17</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.564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PCAT18</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.491</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PCAT19</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1.000</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PCAT20</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1.000</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PCAT21</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.733</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PCAT22</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1.000</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PCAT23</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.564</w:t>
            </w:r>
          </w:p>
        </w:tc>
      </w:tr>
      <w:tr>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PCAT24</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w:t>
            </w:r>
          </w:p>
        </w:tc>
        <w:tc>
          <w:tcPr>
            <w:tcW w:type="dxa" w:w="475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.564</w:t>
            </w:r>
          </w:p>
        </w:tc>
      </w:tr>
      <w:tr>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7"/>
              </w:rPr>
              <w:t>PCAT25</w:t>
            </w:r>
          </w:p>
        </w:tc>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4</w:t>
            </w:r>
          </w:p>
        </w:tc>
        <w:tc>
          <w:tcPr>
            <w:tcW w:type="dxa" w:w="475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1.000</w:t>
            </w:r>
          </w:p>
        </w:tc>
      </w:tr>
    </w:tbl>
    <w:p>
      <w:pPr>
        <w:spacing w:after="40" w:line="240" w:lineRule="auto"/>
      </w:pPr>
      <w:r>
        <w:rPr>
          <w:rFonts w:ascii="Times New Roman" w:hAnsi="Times New Roman"/>
          <w:sz w:val="17"/>
        </w:rPr>
        <w:t>Note. Full sample N = 437. The modal solution contained five dimensions (40.6% of bootstrap replications); the median was five dimensions.</w:t>
      </w:r>
    </w:p>
    <w:p>
      <w:pPr>
        <w:keepNext/>
        <w:spacing w:before="200" w:after="40" w:line="240" w:lineRule="auto"/>
      </w:pPr>
      <w:r>
        <w:rPr>
          <w:rFonts w:ascii="Times New Roman" w:hAnsi="Times New Roman"/>
          <w:b/>
          <w:sz w:val="22"/>
        </w:rPr>
        <w:t>Supplementary Table S5</w:t>
      </w:r>
    </w:p>
    <w:p>
      <w:pPr>
        <w:keepNext/>
        <w:spacing w:after="40" w:line="240" w:lineRule="auto"/>
      </w:pPr>
      <w:r>
        <w:rPr>
          <w:rFonts w:ascii="Times New Roman" w:hAnsi="Times New Roman"/>
          <w:b w:val="0"/>
          <w:i/>
          <w:sz w:val="22"/>
        </w:rPr>
        <w:t>Detailed Network Centrality, Bridge Centrality, Strongest Edges, and Stability</w:t>
      </w:r>
    </w:p>
    <w:p>
      <w:pPr>
        <w:spacing w:line="240" w:lineRule="auto" w:after="40"/>
      </w:pPr>
      <w:r>
        <w:rPr>
          <w:rFonts w:ascii="Times New Roman" w:hAnsi="Times New Roman"/>
          <w:b/>
          <w:sz w:val="18"/>
        </w:rPr>
        <w:t>Panel A. Item-level centrality and bridge centrality</w:t>
      </w:r>
    </w:p>
    <w:tbl>
      <w:tblPr>
        <w:tblW w:type="auto" w:w="0"/>
        <w:jc w:val="center"/>
        <w:tblLayout w:type="autofit"/>
        <w:tblLook w:firstColumn="1" w:firstRow="1" w:lastColumn="0" w:lastRow="0" w:noHBand="0" w:noVBand="1" w:val="04A0"/>
      </w:tblPr>
      <w:tblGrid>
        <w:gridCol w:w="1782"/>
        <w:gridCol w:w="1782"/>
        <w:gridCol w:w="1782"/>
        <w:gridCol w:w="1782"/>
        <w:gridCol w:w="1782"/>
        <w:gridCol w:w="1782"/>
        <w:gridCol w:w="1782"/>
        <w:gridCol w:w="1782"/>
      </w:tblGrid>
      <w:tr>
        <w:trPr>
          <w:tblHeader w:val="true"/>
        </w:trPr>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4"/>
              </w:rPr>
              <w:t>Item</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Strength</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Expected influence</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Betweenness</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Closeness</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Bridge strength</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Bridge EI (1-step)</w:t>
            </w:r>
          </w:p>
        </w:tc>
        <w:tc>
          <w:tcPr>
            <w:tcW w:type="dxa" w:w="1782"/>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Bridge EI (2-step)</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.922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.922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0.002585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.761</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.883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.629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0.002194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.267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.193</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.964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.964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0.002546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.705</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.506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.461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0.001875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.181</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1.200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1.054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0.002328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.494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.348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.780</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1.043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.978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0.002572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.666</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1.024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1.024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0.002255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.552</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.822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.656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0.002201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-.023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.114</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.866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.800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0.002551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.565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.500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.947</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1.281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1.149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0.002604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.666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.534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1.129</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.963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.953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0.002323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.482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.471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.871</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1.111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1.111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0.002364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.354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.354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.807</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.924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.924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0.002471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.419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.419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.954</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.401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.401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0.002121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.273</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.369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0.001561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-.035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-.064</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.998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.958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0.002288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.348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.782</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.818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.818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0.001810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.435</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.858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.751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0.002056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.387</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PCAT19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1.045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1.045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0.002152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.861</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.730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.730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0.002390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.692</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.549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.541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0.002080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.294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.497</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PCAT22</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1.016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1.016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0.002203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.329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.329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.826</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1.066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1.066</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38</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0.002103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.333</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.716</w:t>
            </w:r>
          </w:p>
        </w:tc>
      </w:tr>
      <w:tr>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PCAT24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1.091</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1.040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0.001964</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.310</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.259</w:t>
            </w:r>
          </w:p>
        </w:tc>
        <w:tc>
          <w:tcPr>
            <w:tcW w:type="dxa" w:w="1782"/>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.609</w:t>
            </w:r>
          </w:p>
        </w:tc>
      </w:tr>
      <w:tr>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4"/>
              </w:rPr>
              <w:t>PCAT25</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.768</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.768</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19</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0.002353</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.390</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.390</w:t>
            </w:r>
          </w:p>
        </w:tc>
        <w:tc>
          <w:tcPr>
            <w:tcW w:type="dxa" w:w="1782"/>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.800</w:t>
            </w:r>
          </w:p>
        </w:tc>
      </w:tr>
    </w:tbl>
    <w:p>
      <w:pPr>
        <w:spacing w:line="240" w:lineRule="auto" w:after="40"/>
      </w:pPr>
      <w:r>
        <w:rPr>
          <w:rFonts w:ascii="Times New Roman" w:hAnsi="Times New Roman"/>
          <w:b/>
          <w:sz w:val="18"/>
        </w:rPr>
        <w:t>Panel B. Twenty strongest nonzero network edges</w:t>
      </w:r>
    </w:p>
    <w:tbl>
      <w:tblPr>
        <w:tblW w:type="auto" w:w="0"/>
        <w:jc w:val="center"/>
        <w:tblLayout w:type="autofit"/>
        <w:tblLook w:firstColumn="1" w:firstRow="1" w:lastColumn="0" w:lastRow="0" w:noHBand="0" w:noVBand="1" w:val="04A0"/>
      </w:tblPr>
      <w:tblGrid>
        <w:gridCol w:w="3564"/>
        <w:gridCol w:w="3564"/>
        <w:gridCol w:w="3564"/>
        <w:gridCol w:w="3564"/>
      </w:tblGrid>
      <w:tr>
        <w:trPr>
          <w:tblHeader w:val="true"/>
        </w:trPr>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t>Node 1</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Node 2</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Weight</w:t>
            </w:r>
          </w:p>
        </w:tc>
        <w:tc>
          <w:tcPr>
            <w:tcW w:type="dxa" w:w="356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Absolute weight</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.536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.536</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PCAT24</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.362</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.360</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.355</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.355</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PCAT24</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.328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.328</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.295</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.295</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.265</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.265</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.252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.252</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PCAT9</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.251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.251</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.248</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PCAT19</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.240</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PCAT5</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PCAT14</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.239</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.239</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PCAT19</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.228</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.226</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PCAT6</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PCAT10</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.217</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.213</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PCAT4</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PCAT7</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.208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.208</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PCAT23</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.192</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.192</w:t>
            </w:r>
          </w:p>
        </w:tc>
      </w:tr>
      <w:tr>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PCAT1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PCAT11</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.188</w:t>
            </w:r>
          </w:p>
        </w:tc>
        <w:tc>
          <w:tcPr>
            <w:tcW w:type="dxa" w:w="356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.188</w:t>
            </w:r>
          </w:p>
        </w:tc>
      </w:tr>
      <w:tr>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PCAT5</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PCAT8</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.181</w:t>
            </w:r>
          </w:p>
        </w:tc>
        <w:tc>
          <w:tcPr>
            <w:tcW w:type="dxa" w:w="356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.181</w:t>
            </w:r>
          </w:p>
        </w:tc>
      </w:tr>
    </w:tbl>
    <w:p>
      <w:pPr>
        <w:spacing w:line="240" w:lineRule="auto" w:after="40"/>
      </w:pPr>
      <w:r>
        <w:rPr>
          <w:rFonts w:ascii="Times New Roman" w:hAnsi="Times New Roman"/>
          <w:b/>
          <w:sz w:val="18"/>
        </w:rPr>
        <w:t>Panel C. Correlation-stability coefficients</w:t>
      </w:r>
    </w:p>
    <w:tbl>
      <w:tblPr>
        <w:tblW w:type="auto" w:w="0"/>
        <w:jc w:val="center"/>
        <w:tblLayout w:type="autofit"/>
        <w:tblLook w:firstColumn="1" w:firstRow="1" w:lastColumn="0" w:lastRow="0" w:noHBand="0" w:noVBand="1" w:val="04A0"/>
      </w:tblPr>
      <w:tblGrid>
        <w:gridCol w:w="7128"/>
        <w:gridCol w:w="7128"/>
      </w:tblGrid>
      <w:tr>
        <w:trPr>
          <w:tblHeader w:val="true"/>
        </w:trPr>
        <w:tc>
          <w:tcPr>
            <w:tcW w:type="dxa" w:w="712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7"/>
              </w:rPr>
              <w:t>Centrality statistic</w:t>
            </w:r>
          </w:p>
        </w:tc>
        <w:tc>
          <w:tcPr>
            <w:tcW w:type="dxa" w:w="7128"/>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7"/>
              </w:rPr>
              <w:t>CS coefficient</w:t>
            </w:r>
          </w:p>
        </w:tc>
      </w:tr>
      <w:tr>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7"/>
              </w:rPr>
              <w:t>expectedInfluence</w:t>
            </w:r>
          </w:p>
        </w:tc>
        <w:tc>
          <w:tcPr>
            <w:tcW w:type="dxa" w:w="7128"/>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7"/>
              </w:rPr>
              <w:t>.673</w:t>
            </w:r>
          </w:p>
        </w:tc>
      </w:tr>
      <w:tr>
        <w:tc>
          <w:tcPr>
            <w:tcW w:type="dxa" w:w="712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7"/>
              </w:rPr>
              <w:t>strength</w:t>
            </w:r>
          </w:p>
        </w:tc>
        <w:tc>
          <w:tcPr>
            <w:tcW w:type="dxa" w:w="7128"/>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7"/>
              </w:rPr>
              <w:t>.751</w:t>
            </w:r>
          </w:p>
        </w:tc>
      </w:tr>
    </w:tbl>
    <w:p>
      <w:pPr>
        <w:spacing w:after="40" w:line="240" w:lineRule="auto"/>
      </w:pPr>
      <w:r>
        <w:rPr>
          <w:rFonts w:ascii="Times New Roman" w:hAnsi="Times New Roman"/>
          <w:sz w:val="17"/>
        </w:rPr>
        <w:t>Note. Network estimated in the full sample (N = 437) using EBICglasso. EI = expected influence; CS = correlation-stability coefficient.</w:t>
      </w:r>
    </w:p>
    <w:p>
      <w:pPr>
        <w:keepNext/>
        <w:spacing w:before="200" w:after="40" w:line="240" w:lineRule="auto"/>
      </w:pPr>
      <w:r>
        <w:rPr>
          <w:rFonts w:ascii="Times New Roman" w:hAnsi="Times New Roman"/>
          <w:b/>
          <w:sz w:val="22"/>
        </w:rPr>
        <w:t>Supplementary Table S6</w:t>
      </w:r>
    </w:p>
    <w:p>
      <w:pPr>
        <w:keepNext/>
        <w:spacing w:after="40" w:line="240" w:lineRule="auto"/>
      </w:pPr>
      <w:r>
        <w:rPr>
          <w:rFonts w:ascii="Times New Roman" w:hAnsi="Times New Roman"/>
          <w:b w:val="0"/>
          <w:i/>
          <w:sz w:val="22"/>
        </w:rPr>
        <w:t>Complete Convergent and Divergent Validity Statistics</w:t>
      </w:r>
    </w:p>
    <w:tbl>
      <w:tblPr>
        <w:tblW w:type="auto" w:w="0"/>
        <w:jc w:val="center"/>
        <w:tblLayout w:type="autofit"/>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4"/>
              </w:rPr>
              <w:t>PCAT score</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External scale</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Pearson r</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p</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FDR q</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Spearman rho</w:t>
            </w:r>
          </w:p>
        </w:tc>
        <w:tc>
          <w:tcPr>
            <w:tcW w:type="dxa" w:w="2037"/>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4"/>
              </w:rPr>
              <w:t>Disattenuated r</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.267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.534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.032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Emotional Warmth</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.166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.218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.178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.261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.434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.970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.986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.592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.680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.061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Punitive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.272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.371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-.401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-.329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.064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-.362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-.596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-.267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Anxious Intrusiveness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.062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-.161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.270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.351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.446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.045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.297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Autonomy Support</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.214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-.290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-.288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.971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.054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.069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-.169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Permissive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.036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-.287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.349</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.135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.322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.427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.265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.382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.032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Democratic Discipline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.082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.521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.178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.058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.387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-.069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.406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.508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.247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.615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.991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Drive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.680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-.094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.061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.109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.232</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.655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.728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.061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.455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.338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.441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.114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.126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Fun Seeking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.502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.603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.088</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.299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.351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.403</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.054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.257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.289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.385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.130</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.015</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.371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.284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&lt; .001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.342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.404</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BAS Reward Responsiveness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.237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.004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.302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.337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Total</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-.017</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.839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.898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-.049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-.031</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Caring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.872</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.918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-.024</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.026</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Liking</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-.180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.028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.056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-.190</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-.365</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Protection</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.071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.389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.496</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.081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.157</w:t>
            </w:r>
          </w:p>
        </w:tc>
      </w:tr>
      <w:tr>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4"/>
              </w:rPr>
              <w:t>Tenderness Positive</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-.029</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.723</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 .788</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-.011</w:t>
            </w:r>
          </w:p>
        </w:tc>
        <w:tc>
          <w:tcPr>
            <w:tcW w:type="dxa" w:w="2037"/>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4"/>
              </w:rPr>
              <w:t>-.057</w:t>
            </w:r>
          </w:p>
        </w:tc>
      </w:tr>
      <w:tr>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4"/>
              </w:rPr>
              <w:t>Tenderness Negative</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BIS</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.060</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 .468</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 .573</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.068</w:t>
            </w:r>
          </w:p>
        </w:tc>
        <w:tc>
          <w:tcPr>
            <w:tcW w:type="dxa" w:w="2037"/>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4"/>
              </w:rPr>
              <w:t>.116</w:t>
            </w:r>
          </w:p>
        </w:tc>
      </w:tr>
    </w:tbl>
    <w:p>
      <w:pPr>
        <w:spacing w:after="40" w:line="240" w:lineRule="auto"/>
      </w:pPr>
      <w:r>
        <w:rPr>
          <w:rFonts w:ascii="Times New Roman" w:hAnsi="Times New Roman"/>
          <w:sz w:val="17"/>
        </w:rPr>
        <w:t>Note. N = 149. FDR q values are Benjamini-Hochberg adjusted. PBDQ Punitive Discipline, Anxious Intrusiveness, and Permissive Discipline were reverse-scored before subscale calculation.</w:t>
      </w:r>
    </w:p>
    <w:p>
      <w:pPr>
        <w:keepNext/>
        <w:spacing w:before="200" w:after="40" w:line="240" w:lineRule="auto"/>
      </w:pPr>
      <w:r>
        <w:rPr>
          <w:rFonts w:ascii="Times New Roman" w:hAnsi="Times New Roman"/>
          <w:b/>
          <w:sz w:val="22"/>
        </w:rPr>
        <w:t>Supplementary Table S7</w:t>
      </w:r>
    </w:p>
    <w:p>
      <w:pPr>
        <w:keepNext/>
        <w:spacing w:after="40" w:line="240" w:lineRule="auto"/>
      </w:pPr>
      <w:r>
        <w:rPr>
          <w:rFonts w:ascii="Times New Roman" w:hAnsi="Times New Roman"/>
          <w:b w:val="0"/>
          <w:i/>
          <w:sz w:val="22"/>
        </w:rPr>
        <w:t>Known-Groups Comparisons by Gender and Parent Status</w:t>
      </w:r>
    </w:p>
    <w:tbl>
      <w:tblPr>
        <w:tblW w:type="auto" w:w="0"/>
        <w:jc w:val="center"/>
        <w:tblLayout w:type="autofit"/>
        <w:tblLook w:firstColumn="1" w:firstRow="1" w:lastColumn="0" w:lastRow="0" w:noHBand="0" w:noVBand="1" w:val="04A0"/>
      </w:tblPr>
      <w:tblGrid>
        <w:gridCol w:w="1584"/>
        <w:gridCol w:w="1584"/>
        <w:gridCol w:w="1584"/>
        <w:gridCol w:w="1584"/>
        <w:gridCol w:w="1584"/>
        <w:gridCol w:w="1584"/>
        <w:gridCol w:w="1584"/>
        <w:gridCol w:w="1584"/>
        <w:gridCol w:w="1584"/>
      </w:tblGrid>
      <w:tr>
        <w:trPr>
          <w:tblHeader w:val="true"/>
        </w:trPr>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5"/>
              </w:rPr>
              <w:t>Grouping</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PCAT score</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Group 1: M (SD)</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Group 2: M (SD)</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t</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df</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p</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FDR q</w:t>
            </w:r>
          </w:p>
        </w:tc>
        <w:tc>
          <w:tcPr>
            <w:tcW w:type="dxa" w:w="1584"/>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5"/>
              </w:rPr>
              <w:t>Cohen d</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Total</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3.72 (0.55)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3.89 (0.54)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-3.34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427.6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.003</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-.32</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Caring</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3.87 (0.74)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4.12 (0.64)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-3.77</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410.1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-.36</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Liking</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3.79 (0.69)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3.82 (0.76)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-.52</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434.9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.604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.604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-.05</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Protection</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3.74 (0.71)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3.91 (0.55)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-2.70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389.1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.007</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.011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-.26</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Tenderness Positive</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3.91 (0.89)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4.05 (0.94)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-1.66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433.5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.097</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.117</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-.16</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Gender</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Tenderness Negative</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Male: 3.28 (0.92)</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Female: 3.56 (1.04)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-2.99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434.9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.003</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-.28</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Total</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Non-parent: 3.62 (0.53)</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Parent: 3.89 (0.55)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-4.86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241.8</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-.51</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Caring</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Non-parent: 3.83 (0.77)</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Parent: 4.07 (0.65)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-3.10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204.4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.002</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.003</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-.35</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Liking</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Non-parent: 3.58 (0.78)</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Parent: 3.90 (0.69)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-4.04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210.5</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-.45</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Protection</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Non-parent: 3.64 (0.69)</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Parent: 3.90 (0.60)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-3.74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207.0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&lt; .001</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-.42</w:t>
            </w:r>
          </w:p>
        </w:tc>
      </w:tr>
      <w:tr>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Tenderness Positive</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Non-parent: 3.83 (0.88)</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Parent: 4.05 (0.93)</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-2.34</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246.6</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.020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 .020</w:t>
            </w:r>
          </w:p>
        </w:tc>
        <w:tc>
          <w:tcPr>
            <w:tcW w:type="dxa" w:w="1584"/>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5"/>
              </w:rPr>
              <w:t>-.24</w:t>
            </w:r>
          </w:p>
        </w:tc>
      </w:tr>
      <w:tr>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5"/>
              </w:rPr>
              <w:t>Parent status</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Tenderness Negative</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Non-parent: 3.20 (0.90)</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Parent: 3.52 (1.02)</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-3.26</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264.7</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 .001</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 .002</w:t>
            </w:r>
          </w:p>
        </w:tc>
        <w:tc>
          <w:tcPr>
            <w:tcW w:type="dxa" w:w="1584"/>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5"/>
              </w:rPr>
              <w:t>-.33</w:t>
            </w:r>
          </w:p>
        </w:tc>
      </w:tr>
    </w:tbl>
    <w:p>
      <w:pPr>
        <w:spacing w:after="40" w:line="240" w:lineRule="auto"/>
      </w:pPr>
      <w:r>
        <w:rPr>
          <w:rFonts w:ascii="Times New Roman" w:hAnsi="Times New Roman"/>
          <w:sz w:val="17"/>
        </w:rPr>
        <w:t>Note. Gender groups were Male (n = 207) and Female (n = 230). Parent-status analysis included Nonparent (n = 127) and Parent (n = 309). Cohen d signs reflect the Group 1 minus Group 2 ordering in the R output.</w:t>
      </w:r>
    </w:p>
    <w:p>
      <w:pPr>
        <w:keepNext/>
        <w:spacing w:before="200" w:after="40" w:line="240" w:lineRule="auto"/>
      </w:pPr>
      <w:r>
        <w:rPr>
          <w:rFonts w:ascii="Times New Roman" w:hAnsi="Times New Roman"/>
          <w:b/>
          <w:sz w:val="22"/>
        </w:rPr>
        <w:t>Supplementary Table S8</w:t>
      </w:r>
    </w:p>
    <w:p>
      <w:pPr>
        <w:keepNext/>
        <w:spacing w:after="40" w:line="240" w:lineRule="auto"/>
      </w:pPr>
      <w:r>
        <w:rPr>
          <w:rFonts w:ascii="Times New Roman" w:hAnsi="Times New Roman"/>
          <w:b w:val="0"/>
          <w:i/>
          <w:sz w:val="22"/>
        </w:rPr>
        <w:t>Age-Adjusted Factorial Models of Gender and Parent Status</w:t>
      </w:r>
    </w:p>
    <w:tbl>
      <w:tblPr>
        <w:tblW w:type="auto" w:w="0"/>
        <w:jc w:val="center"/>
        <w:tblLayout w:type="autofit"/>
        <w:tblLook w:firstColumn="1" w:firstRow="1" w:lastColumn="0" w:lastRow="0" w:noHBand="0" w:noVBand="1" w:val="04A0"/>
      </w:tblPr>
      <w:tblGrid>
        <w:gridCol w:w="2851"/>
        <w:gridCol w:w="2851"/>
        <w:gridCol w:w="2851"/>
        <w:gridCol w:w="2851"/>
        <w:gridCol w:w="2851"/>
      </w:tblGrid>
      <w:tr>
        <w:trPr>
          <w:tblHeader w:val="true"/>
        </w:trPr>
        <w:tc>
          <w:tcPr>
            <w:tcW w:type="dxa" w:w="2851"/>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left"/>
            </w:pPr>
            <w:r>
              <w:rPr>
                <w:rFonts w:ascii="Times New Roman" w:hAnsi="Times New Roman"/>
                <w:b/>
                <w:sz w:val="16"/>
              </w:rPr>
              <w:t>PCAT score</w:t>
            </w:r>
          </w:p>
        </w:tc>
        <w:tc>
          <w:tcPr>
            <w:tcW w:type="dxa" w:w="2851"/>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Effect</w:t>
            </w:r>
          </w:p>
        </w:tc>
        <w:tc>
          <w:tcPr>
            <w:tcW w:type="dxa" w:w="2851"/>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df</w:t>
            </w:r>
          </w:p>
        </w:tc>
        <w:tc>
          <w:tcPr>
            <w:tcW w:type="dxa" w:w="2851"/>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F</w:t>
            </w:r>
          </w:p>
        </w:tc>
        <w:tc>
          <w:tcPr>
            <w:tcW w:type="dxa" w:w="2851"/>
            <w:vAlign w:val="center"/>
            <w:tcMar>
              <w:top w:w="50" w:type="dxa"/>
              <w:start w:w="60" w:type="dxa"/>
              <w:bottom w:w="50" w:type="dxa"/>
              <w:end w:w="60" w:type="dxa"/>
            </w:tcMar>
            <w:tcBorders>
              <w:top w:val="single" w:sz="8" w:space="0" w:color="000000"/>
              <w:bottom w:val="single" w:sz="8" w:space="0" w:color="000000"/>
              <w:left w:val="nil"/>
              <w:right w:val="nil"/>
              <w:insideH w:val="nil"/>
              <w:insideV w:val="nil"/>
            </w:tcBorders>
          </w:tcPr>
          <w:p>
            <w:pPr>
              <w:spacing w:after="0" w:before="0"/>
              <w:jc w:val="center"/>
            </w:pPr>
            <w:r>
              <w:rPr>
                <w:rFonts w:ascii="Times New Roman" w:hAnsi="Times New Roman"/>
                <w:b/>
                <w:sz w:val="16"/>
              </w:rPr>
              <w:t>p</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Total</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4.65</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.032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Total</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11.87</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Total</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5.23</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.023</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Total</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1.11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.293</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.33</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.567</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17.38</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&lt; .001</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3.42</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.065</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Caring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6.42</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.012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.545</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.03</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.855</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9.39</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.002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Liking</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.07</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.797</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9.51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.002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7.38</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.007</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1.49</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.222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Protection</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.729</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Positive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1.54</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.216</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Positive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4.34</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.038</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Positive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.80</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.372</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Positive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1.92</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.167</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Negative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Age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3.76</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.053</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Negative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Gender</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7.42</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.007</w:t>
            </w:r>
          </w:p>
        </w:tc>
      </w:tr>
      <w:tr>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left"/>
            </w:pPr>
            <w:r>
              <w:rPr>
                <w:rFonts w:ascii="Times New Roman" w:hAnsi="Times New Roman"/>
                <w:sz w:val="16"/>
              </w:rPr>
              <w:t>Tenderness Negative</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Parent status</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1.23</w:t>
            </w:r>
          </w:p>
        </w:tc>
        <w:tc>
          <w:tcPr>
            <w:tcW w:type="dxa" w:w="2851"/>
            <w:vAlign w:val="center"/>
            <w:tcMar>
              <w:top w:w="50" w:type="dxa"/>
              <w:start w:w="60" w:type="dxa"/>
              <w:bottom w:w="50" w:type="dxa"/>
              <w:end w:w="60" w:type="dxa"/>
            </w:tcMar>
            <w:tcBorders>
              <w:top w:val="nil"/>
              <w:bottom w:val="nil"/>
              <w:left w:val="nil"/>
              <w:right w:val="nil"/>
              <w:insideH w:val="nil"/>
              <w:insideV w:val="nil"/>
            </w:tcBorders>
          </w:tcPr>
          <w:p>
            <w:pPr>
              <w:spacing w:after="0" w:before="0"/>
              <w:jc w:val="center"/>
            </w:pPr>
            <w:r>
              <w:rPr>
                <w:rFonts w:ascii="Times New Roman" w:hAnsi="Times New Roman"/>
                <w:sz w:val="16"/>
              </w:rPr>
              <w:t>= .268</w:t>
            </w:r>
          </w:p>
        </w:tc>
      </w:tr>
      <w:tr>
        <w:tc>
          <w:tcPr>
            <w:tcW w:type="dxa" w:w="2851"/>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left"/>
            </w:pPr>
            <w:r>
              <w:rPr>
                <w:rFonts w:ascii="Times New Roman" w:hAnsi="Times New Roman"/>
                <w:sz w:val="16"/>
              </w:rPr>
              <w:t>Tenderness Negative</w:t>
            </w:r>
          </w:p>
        </w:tc>
        <w:tc>
          <w:tcPr>
            <w:tcW w:type="dxa" w:w="2851"/>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Gender:Parent status</w:t>
            </w:r>
          </w:p>
        </w:tc>
        <w:tc>
          <w:tcPr>
            <w:tcW w:type="dxa" w:w="2851"/>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1</w:t>
            </w:r>
          </w:p>
        </w:tc>
        <w:tc>
          <w:tcPr>
            <w:tcW w:type="dxa" w:w="2851"/>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.02</w:t>
            </w:r>
          </w:p>
        </w:tc>
        <w:tc>
          <w:tcPr>
            <w:tcW w:type="dxa" w:w="2851"/>
            <w:vAlign w:val="center"/>
            <w:tcMar>
              <w:top w:w="50" w:type="dxa"/>
              <w:start w:w="60" w:type="dxa"/>
              <w:bottom w:w="50" w:type="dxa"/>
              <w:end w:w="60" w:type="dxa"/>
            </w:tcMar>
            <w:tcBorders>
              <w:top w:val="nil"/>
              <w:bottom w:val="single" w:sz="8" w:space="0" w:color="000000"/>
              <w:left w:val="nil"/>
              <w:right w:val="nil"/>
              <w:insideH w:val="nil"/>
              <w:insideV w:val="nil"/>
            </w:tcBorders>
          </w:tcPr>
          <w:p>
            <w:pPr>
              <w:spacing w:after="0" w:before="0"/>
              <w:jc w:val="center"/>
            </w:pPr>
            <w:r>
              <w:rPr>
                <w:rFonts w:ascii="Times New Roman" w:hAnsi="Times New Roman"/>
                <w:sz w:val="16"/>
              </w:rPr>
              <w:t>= .886</w:t>
            </w:r>
          </w:p>
        </w:tc>
      </w:tr>
    </w:tbl>
    <w:p>
      <w:pPr>
        <w:spacing w:after="40" w:line="240" w:lineRule="auto"/>
      </w:pPr>
      <w:r>
        <w:rPr>
          <w:rFonts w:ascii="Times New Roman" w:hAnsi="Times New Roman"/>
          <w:sz w:val="17"/>
        </w:rPr>
        <w:t>Note. Type III tests from the age-adjusted linear models specified in the analysis script. These models were treated as sensitivity analyses and were not FDR-adjusted in the source output.</w:t>
      </w:r>
    </w:p>
    <w:sectPr w:rsidR="00FC693F" w:rsidRPr="0006063C"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