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berschrift1"/>
      </w:pPr>
      <w:r>
        <w:t xml:space="preserve">Electronic Supplementary Material</w:t>
      </w:r>
    </w:p>
    <w:p>
      <w:r>
        <w:rPr>
          <w:b/>
        </w:rPr>
        <w:t xml:space="preserve">The Diagnostic Value of EZH2 in Distinguishing NET G3 from NEC: An Immunohistochemical Study of 1618 Neuroendocrine Neoplasms of Various Origins and Grades</w:t>
      </w:r>
    </w:p>
    <w:p>
      <w:r>
        <w:t xml:space="preserve">Katharina Ofner, Moritz Jesinghaus, et al. – Endocrine Pathology</w:t>
      </w:r>
    </w:p>
    <w:p w14:paraId="014B62A5" w14:textId="77777777" w:rsidR="00E94A2F" w:rsidRDefault="00000000">
      <w:pPr>
        <w:pStyle w:val="FirstParagraph"/>
      </w:pPr>
      <w:r>
        <w:rPr>
          <w:b/>
          <w:bCs/>
        </w:rPr>
        <w:t>Supplementary Table S1</w:t>
      </w:r>
      <w:r>
        <w:t xml:space="preserve"> Diagnostic performance of alternative H-score thresholds (NET G3, n = 56, vs. LCNEC/SCNEC, n = 391)</w:t>
      </w:r>
    </w:p>
    <w:p w14:paraId="4414174D" w14:textId="77777777" w:rsidR="00E94A2F" w:rsidRDefault="00000000">
      <w:pPr>
        <w:pStyle w:val="Textkrper"/>
      </w:pPr>
      <w:r>
        <w:rPr>
          <w:b/>
          <w:bCs/>
        </w:rPr>
        <w:t>A</w:t>
      </w:r>
      <w:r>
        <w:t xml:space="preserve"> Lower threshold: an H-score below the threshold is taken as evidence for NET G3</w:t>
      </w:r>
    </w:p>
    <w:tbl>
      <w:tblPr>
        <w:tblStyle w:val="Table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20" w:firstRow="1" w:lastRow="0" w:firstColumn="0" w:lastColumn="0" w:noHBand="0" w:noVBand="0"/>
      </w:tblPr>
      <w:tblGrid>
        <w:gridCol w:w="1144"/>
        <w:gridCol w:w="3224"/>
        <w:gridCol w:w="3792"/>
        <w:gridCol w:w="1462"/>
      </w:tblGrid>
      <w:tr w:rsidR="00E94A2F" w14:paraId="3C5EBE41" w14:textId="77777777" w:rsidTr="00E94A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1CECA20" w14:textId="77777777" w:rsidR="00E94A2F" w:rsidRDefault="00000000">
            <w:pPr>
              <w:pStyle w:val="Compact"/>
            </w:pPr>
            <w:r>
              <w:rPr>
                <w:sz w:val="16"/>
              </w:rPr>
              <w:t>Threshold</w:t>
            </w:r>
          </w:p>
        </w:tc>
        <w:tc>
          <w:tcPr>
            <w:tcW w:w="0" w:type="auto"/>
          </w:tcPr>
          <w:p w14:paraId="052D1B2D" w14:textId="77777777" w:rsidR="00E94A2F" w:rsidRDefault="00000000">
            <w:pPr>
              <w:pStyle w:val="Compact"/>
            </w:pPr>
            <w:r>
              <w:rPr>
                <w:sz w:val="16"/>
              </w:rPr>
              <w:t>Sensitivity for NET G3, % (95% CI)</w:t>
            </w:r>
          </w:p>
        </w:tc>
        <w:tc>
          <w:tcPr>
            <w:tcW w:w="0" w:type="auto"/>
          </w:tcPr>
          <w:p w14:paraId="2E782FE4" w14:textId="77777777" w:rsidR="00E94A2F" w:rsidRPr="004F5339" w:rsidRDefault="00000000">
            <w:pPr>
              <w:pStyle w:val="Compact"/>
              <w:rPr>
                <w:lang w:val="it-IT"/>
              </w:rPr>
            </w:pPr>
            <w:r>
              <w:rPr>
                <w:sz w:val="16"/>
                <w:lang w:val="it-IT"/>
              </w:rPr>
              <w:t>Specificity vs. LCNEC/SCNEC, % (95% CI)</w:t>
            </w:r>
          </w:p>
        </w:tc>
        <w:tc>
          <w:tcPr>
            <w:tcW w:w="0" w:type="auto"/>
          </w:tcPr>
          <w:p w14:paraId="53D20D8D" w14:textId="77777777" w:rsidR="00E94A2F" w:rsidRDefault="00000000">
            <w:pPr>
              <w:pStyle w:val="Compact"/>
            </w:pPr>
            <w:r>
              <w:rPr>
                <w:sz w:val="16"/>
              </w:rPr>
              <w:t>LR+ (95% CI)</w:t>
            </w:r>
          </w:p>
        </w:tc>
      </w:tr>
      <w:tr w:rsidR="00E94A2F" w14:paraId="3677F318" w14:textId="77777777">
        <w:tc>
          <w:tcPr>
            <w:tcW w:w="0" w:type="auto"/>
          </w:tcPr>
          <w:p w14:paraId="19B589E6" w14:textId="77777777" w:rsidR="00E94A2F" w:rsidRDefault="00000000">
            <w:pPr>
              <w:pStyle w:val="Compact"/>
            </w:pPr>
            <w:r>
              <w:rPr>
                <w:sz w:val="16"/>
              </w:rPr>
              <w:t>&lt;50</w:t>
            </w:r>
          </w:p>
        </w:tc>
        <w:tc>
          <w:tcPr>
            <w:tcW w:w="0" w:type="auto"/>
          </w:tcPr>
          <w:p w14:paraId="6477FE91" w14:textId="77777777" w:rsidR="00E94A2F" w:rsidRDefault="00000000">
            <w:pPr>
              <w:pStyle w:val="Compact"/>
            </w:pPr>
            <w:r>
              <w:rPr>
                <w:sz w:val="16"/>
              </w:rPr>
              <w:t>39.3 (27.6–52.4)</w:t>
            </w:r>
          </w:p>
        </w:tc>
        <w:tc>
          <w:tcPr>
            <w:tcW w:w="0" w:type="auto"/>
          </w:tcPr>
          <w:p w14:paraId="6A6DDB7D" w14:textId="77777777" w:rsidR="00E94A2F" w:rsidRDefault="00000000">
            <w:pPr>
              <w:pStyle w:val="Compact"/>
            </w:pPr>
            <w:r>
              <w:rPr>
                <w:sz w:val="16"/>
              </w:rPr>
              <w:t>94.4 (91.6–96.3)</w:t>
            </w:r>
          </w:p>
        </w:tc>
        <w:tc>
          <w:tcPr>
            <w:tcW w:w="0" w:type="auto"/>
          </w:tcPr>
          <w:p w14:paraId="138A29F2" w14:textId="77777777" w:rsidR="00E94A2F" w:rsidRDefault="00000000">
            <w:pPr>
              <w:pStyle w:val="Compact"/>
            </w:pPr>
            <w:r>
              <w:rPr>
                <w:sz w:val="16"/>
              </w:rPr>
              <w:t>7.0 (4.1–11.7)</w:t>
            </w:r>
          </w:p>
        </w:tc>
      </w:tr>
      <w:tr w:rsidR="00E94A2F" w14:paraId="31307E1B" w14:textId="77777777">
        <w:tc>
          <w:tcPr>
            <w:tcW w:w="0" w:type="auto"/>
          </w:tcPr>
          <w:p w14:paraId="32B5B2D1" w14:textId="77777777" w:rsidR="00E94A2F" w:rsidRDefault="00000000">
            <w:pPr>
              <w:pStyle w:val="Compact"/>
            </w:pPr>
            <w:r>
              <w:rPr>
                <w:sz w:val="16"/>
              </w:rPr>
              <w:t>&lt;75</w:t>
            </w:r>
          </w:p>
        </w:tc>
        <w:tc>
          <w:tcPr>
            <w:tcW w:w="0" w:type="auto"/>
          </w:tcPr>
          <w:p w14:paraId="7F99C042" w14:textId="77777777" w:rsidR="00E94A2F" w:rsidRDefault="00000000">
            <w:pPr>
              <w:pStyle w:val="Compact"/>
            </w:pPr>
            <w:r>
              <w:rPr>
                <w:sz w:val="16"/>
              </w:rPr>
              <w:t>50.0 (37.3–62.7)</w:t>
            </w:r>
          </w:p>
        </w:tc>
        <w:tc>
          <w:tcPr>
            <w:tcW w:w="0" w:type="auto"/>
          </w:tcPr>
          <w:p w14:paraId="487196FE" w14:textId="77777777" w:rsidR="00E94A2F" w:rsidRDefault="00000000">
            <w:pPr>
              <w:pStyle w:val="Compact"/>
            </w:pPr>
            <w:r>
              <w:rPr>
                <w:sz w:val="16"/>
              </w:rPr>
              <w:t>90.5 (87.2–93.1)</w:t>
            </w:r>
          </w:p>
        </w:tc>
        <w:tc>
          <w:tcPr>
            <w:tcW w:w="0" w:type="auto"/>
          </w:tcPr>
          <w:p w14:paraId="48BA6138" w14:textId="77777777" w:rsidR="00E94A2F" w:rsidRDefault="00000000">
            <w:pPr>
              <w:pStyle w:val="Compact"/>
            </w:pPr>
            <w:r>
              <w:rPr>
                <w:sz w:val="16"/>
              </w:rPr>
              <w:t>5.3 (3.5–7.9)</w:t>
            </w:r>
          </w:p>
        </w:tc>
      </w:tr>
      <w:tr w:rsidR="00E94A2F" w14:paraId="323AB4DE" w14:textId="77777777">
        <w:tc>
          <w:tcPr>
            <w:tcW w:w="0" w:type="auto"/>
          </w:tcPr>
          <w:p w14:paraId="2C62A6B4" w14:textId="77777777" w:rsidR="00E94A2F" w:rsidRDefault="00000000">
            <w:pPr>
              <w:pStyle w:val="Compact"/>
            </w:pPr>
            <w:r>
              <w:rPr>
                <w:sz w:val="16"/>
              </w:rPr>
              <w:t>&lt;100</w:t>
            </w:r>
          </w:p>
        </w:tc>
        <w:tc>
          <w:tcPr>
            <w:tcW w:w="0" w:type="auto"/>
          </w:tcPr>
          <w:p w14:paraId="5FA21983" w14:textId="77777777" w:rsidR="00E94A2F" w:rsidRDefault="00000000">
            <w:pPr>
              <w:pStyle w:val="Compact"/>
            </w:pPr>
            <w:r>
              <w:rPr>
                <w:sz w:val="16"/>
              </w:rPr>
              <w:t>67.9 (54.8–78.6)</w:t>
            </w:r>
          </w:p>
        </w:tc>
        <w:tc>
          <w:tcPr>
            <w:tcW w:w="0" w:type="auto"/>
          </w:tcPr>
          <w:p w14:paraId="68B9936D" w14:textId="77777777" w:rsidR="00E94A2F" w:rsidRDefault="00000000">
            <w:pPr>
              <w:pStyle w:val="Compact"/>
            </w:pPr>
            <w:r>
              <w:rPr>
                <w:sz w:val="16"/>
              </w:rPr>
              <w:t>86.2 (82.4–89.3)</w:t>
            </w:r>
          </w:p>
        </w:tc>
        <w:tc>
          <w:tcPr>
            <w:tcW w:w="0" w:type="auto"/>
          </w:tcPr>
          <w:p w14:paraId="32599876" w14:textId="77777777" w:rsidR="00E94A2F" w:rsidRDefault="00000000">
            <w:pPr>
              <w:pStyle w:val="Compact"/>
            </w:pPr>
            <w:r>
              <w:rPr>
                <w:sz w:val="16"/>
              </w:rPr>
              <w:t>4.9 (3.6–6.7)</w:t>
            </w:r>
          </w:p>
        </w:tc>
      </w:tr>
      <w:tr w:rsidR="00E94A2F" w14:paraId="442DFD6E" w14:textId="77777777">
        <w:tc>
          <w:tcPr>
            <w:tcW w:w="0" w:type="auto"/>
          </w:tcPr>
          <w:p w14:paraId="113985DD" w14:textId="77777777" w:rsidR="00E94A2F" w:rsidRDefault="00000000">
            <w:pPr>
              <w:pStyle w:val="Compact"/>
            </w:pPr>
            <w:r>
              <w:rPr>
                <w:sz w:val="16"/>
              </w:rPr>
              <w:t>&lt;125</w:t>
            </w:r>
          </w:p>
        </w:tc>
        <w:tc>
          <w:tcPr>
            <w:tcW w:w="0" w:type="auto"/>
          </w:tcPr>
          <w:p w14:paraId="66D12143" w14:textId="77777777" w:rsidR="00E94A2F" w:rsidRDefault="00000000">
            <w:pPr>
              <w:pStyle w:val="Compact"/>
            </w:pPr>
            <w:r>
              <w:rPr>
                <w:sz w:val="16"/>
              </w:rPr>
              <w:t>67.9 (54.8–78.6)</w:t>
            </w:r>
          </w:p>
        </w:tc>
        <w:tc>
          <w:tcPr>
            <w:tcW w:w="0" w:type="auto"/>
          </w:tcPr>
          <w:p w14:paraId="7FF5E718" w14:textId="77777777" w:rsidR="00E94A2F" w:rsidRDefault="00000000">
            <w:pPr>
              <w:pStyle w:val="Compact"/>
            </w:pPr>
            <w:r>
              <w:rPr>
                <w:sz w:val="16"/>
              </w:rPr>
              <w:t>82.4 (78.3–85.8)</w:t>
            </w:r>
          </w:p>
        </w:tc>
        <w:tc>
          <w:tcPr>
            <w:tcW w:w="0" w:type="auto"/>
          </w:tcPr>
          <w:p w14:paraId="17AF892B" w14:textId="77777777" w:rsidR="00E94A2F" w:rsidRDefault="00000000">
            <w:pPr>
              <w:pStyle w:val="Compact"/>
            </w:pPr>
            <w:r>
              <w:rPr>
                <w:sz w:val="16"/>
              </w:rPr>
              <w:t>3.8 (2.9–5.1)</w:t>
            </w:r>
          </w:p>
        </w:tc>
      </w:tr>
      <w:tr w:rsidR="00E94A2F" w14:paraId="20D57817" w14:textId="77777777">
        <w:tc>
          <w:tcPr>
            <w:tcW w:w="0" w:type="auto"/>
          </w:tcPr>
          <w:p w14:paraId="33603164" w14:textId="77777777" w:rsidR="00E94A2F" w:rsidRDefault="00000000">
            <w:pPr>
              <w:pStyle w:val="Compact"/>
            </w:pPr>
            <w:r>
              <w:rPr>
                <w:sz w:val="16"/>
              </w:rPr>
              <w:t>&lt;150</w:t>
            </w:r>
          </w:p>
        </w:tc>
        <w:tc>
          <w:tcPr>
            <w:tcW w:w="0" w:type="auto"/>
          </w:tcPr>
          <w:p w14:paraId="0C53874C" w14:textId="77777777" w:rsidR="00E94A2F" w:rsidRDefault="00000000">
            <w:pPr>
              <w:pStyle w:val="Compact"/>
            </w:pPr>
            <w:r>
              <w:rPr>
                <w:sz w:val="16"/>
              </w:rPr>
              <w:t>75.0 (62.3–84.5)</w:t>
            </w:r>
          </w:p>
        </w:tc>
        <w:tc>
          <w:tcPr>
            <w:tcW w:w="0" w:type="auto"/>
          </w:tcPr>
          <w:p w14:paraId="7B7A2A66" w14:textId="77777777" w:rsidR="00E94A2F" w:rsidRDefault="00000000">
            <w:pPr>
              <w:pStyle w:val="Compact"/>
            </w:pPr>
            <w:r>
              <w:rPr>
                <w:sz w:val="16"/>
              </w:rPr>
              <w:t>76.7 (72.3–80.6)</w:t>
            </w:r>
          </w:p>
        </w:tc>
        <w:tc>
          <w:tcPr>
            <w:tcW w:w="0" w:type="auto"/>
          </w:tcPr>
          <w:p w14:paraId="18B98950" w14:textId="77777777" w:rsidR="00E94A2F" w:rsidRDefault="00000000">
            <w:pPr>
              <w:pStyle w:val="Compact"/>
            </w:pPr>
            <w:r>
              <w:rPr>
                <w:sz w:val="16"/>
              </w:rPr>
              <w:t>3.2 (2.5–4.1)</w:t>
            </w:r>
          </w:p>
        </w:tc>
      </w:tr>
    </w:tbl>
    <w:p w14:paraId="386CBC69" w14:textId="77777777" w:rsidR="00E94A2F" w:rsidRDefault="00000000">
      <w:pPr>
        <w:pStyle w:val="Textkrper"/>
      </w:pPr>
      <w:r>
        <w:rPr>
          <w:b/>
          <w:bCs/>
        </w:rPr>
        <w:t>B</w:t>
      </w:r>
      <w:r>
        <w:t xml:space="preserve"> Upper threshold: an H-score above the threshold is taken as evidence for NEC</w:t>
      </w:r>
    </w:p>
    <w:tbl>
      <w:tblPr>
        <w:tblStyle w:val="Table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20" w:firstRow="1" w:lastRow="0" w:firstColumn="0" w:lastColumn="0" w:noHBand="0" w:noVBand="0"/>
      </w:tblPr>
      <w:tblGrid>
        <w:gridCol w:w="958"/>
        <w:gridCol w:w="2464"/>
        <w:gridCol w:w="2668"/>
        <w:gridCol w:w="1410"/>
        <w:gridCol w:w="2122"/>
      </w:tblGrid>
      <w:tr w:rsidR="00E94A2F" w14:paraId="41CD5F1D" w14:textId="77777777" w:rsidTr="00E94A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E84C882" w14:textId="77777777" w:rsidR="00E94A2F" w:rsidRDefault="00000000">
            <w:pPr>
              <w:pStyle w:val="Compact"/>
            </w:pPr>
            <w:r>
              <w:rPr>
                <w:sz w:val="16"/>
              </w:rPr>
              <w:t>Threshold</w:t>
            </w:r>
          </w:p>
        </w:tc>
        <w:tc>
          <w:tcPr>
            <w:tcW w:w="0" w:type="auto"/>
          </w:tcPr>
          <w:p w14:paraId="070CFE31" w14:textId="77777777" w:rsidR="00E94A2F" w:rsidRDefault="00000000">
            <w:pPr>
              <w:pStyle w:val="Compact"/>
            </w:pPr>
            <w:r>
              <w:rPr>
                <w:sz w:val="16"/>
              </w:rPr>
              <w:t>Sensitivity for NEC, % (95% CI)</w:t>
            </w:r>
          </w:p>
        </w:tc>
        <w:tc>
          <w:tcPr>
            <w:tcW w:w="0" w:type="auto"/>
          </w:tcPr>
          <w:p w14:paraId="188064E9" w14:textId="77777777" w:rsidR="00E94A2F" w:rsidRDefault="00000000">
            <w:pPr>
              <w:pStyle w:val="Compact"/>
            </w:pPr>
            <w:r>
              <w:rPr>
                <w:sz w:val="16"/>
              </w:rPr>
              <w:t>Specificity vs. NET G3, % (95% CI)</w:t>
            </w:r>
          </w:p>
        </w:tc>
        <w:tc>
          <w:tcPr>
            <w:tcW w:w="0" w:type="auto"/>
          </w:tcPr>
          <w:p w14:paraId="10AC0096" w14:textId="77777777" w:rsidR="00E94A2F" w:rsidRDefault="00000000">
            <w:pPr>
              <w:pStyle w:val="Compact"/>
            </w:pPr>
            <w:r>
              <w:rPr>
                <w:sz w:val="16"/>
              </w:rPr>
              <w:t>LR+ (95% CI)</w:t>
            </w:r>
          </w:p>
        </w:tc>
        <w:tc>
          <w:tcPr>
            <w:tcW w:w="0" w:type="auto"/>
          </w:tcPr>
          <w:p w14:paraId="319F27FA" w14:textId="77777777" w:rsidR="00E94A2F" w:rsidRDefault="00000000">
            <w:pPr>
              <w:pStyle w:val="Compact"/>
            </w:pPr>
            <w:r>
              <w:rPr>
                <w:sz w:val="16"/>
              </w:rPr>
              <w:t>NET G3 above threshold, n</w:t>
            </w:r>
          </w:p>
        </w:tc>
      </w:tr>
      <w:tr w:rsidR="00E94A2F" w14:paraId="4A4870E7" w14:textId="77777777">
        <w:tc>
          <w:tcPr>
            <w:tcW w:w="0" w:type="auto"/>
          </w:tcPr>
          <w:p w14:paraId="7EC6A556" w14:textId="77777777" w:rsidR="00E94A2F" w:rsidRDefault="00000000">
            <w:pPr>
              <w:pStyle w:val="Compact"/>
            </w:pPr>
            <w:r>
              <w:rPr>
                <w:sz w:val="16"/>
              </w:rPr>
              <w:t>&gt;150</w:t>
            </w:r>
          </w:p>
        </w:tc>
        <w:tc>
          <w:tcPr>
            <w:tcW w:w="0" w:type="auto"/>
          </w:tcPr>
          <w:p w14:paraId="25C1D139" w14:textId="77777777" w:rsidR="00E94A2F" w:rsidRDefault="00000000">
            <w:pPr>
              <w:pStyle w:val="Compact"/>
            </w:pPr>
            <w:r>
              <w:rPr>
                <w:sz w:val="16"/>
              </w:rPr>
              <w:t>71.9 (67.2–76.1)</w:t>
            </w:r>
          </w:p>
        </w:tc>
        <w:tc>
          <w:tcPr>
            <w:tcW w:w="0" w:type="auto"/>
          </w:tcPr>
          <w:p w14:paraId="178450A6" w14:textId="77777777" w:rsidR="00E94A2F" w:rsidRDefault="00000000">
            <w:pPr>
              <w:pStyle w:val="Compact"/>
            </w:pPr>
            <w:r>
              <w:rPr>
                <w:sz w:val="16"/>
              </w:rPr>
              <w:t>82.1 (70.2–90.0)</w:t>
            </w:r>
          </w:p>
        </w:tc>
        <w:tc>
          <w:tcPr>
            <w:tcW w:w="0" w:type="auto"/>
          </w:tcPr>
          <w:p w14:paraId="4A16BB15" w14:textId="77777777" w:rsidR="00E94A2F" w:rsidRDefault="00000000">
            <w:pPr>
              <w:pStyle w:val="Compact"/>
            </w:pPr>
            <w:r>
              <w:rPr>
                <w:sz w:val="16"/>
              </w:rPr>
              <w:t>4.0 (2.3–7.1)</w:t>
            </w:r>
          </w:p>
        </w:tc>
        <w:tc>
          <w:tcPr>
            <w:tcW w:w="0" w:type="auto"/>
          </w:tcPr>
          <w:p w14:paraId="6513F91B" w14:textId="77777777" w:rsidR="00E94A2F" w:rsidRDefault="00000000">
            <w:pPr>
              <w:pStyle w:val="Compact"/>
            </w:pPr>
            <w:r>
              <w:rPr>
                <w:sz w:val="16"/>
              </w:rPr>
              <w:t>10</w:t>
            </w:r>
          </w:p>
        </w:tc>
      </w:tr>
      <w:tr w:rsidR="00E94A2F" w14:paraId="61DBB054" w14:textId="77777777">
        <w:tc>
          <w:tcPr>
            <w:tcW w:w="0" w:type="auto"/>
          </w:tcPr>
          <w:p w14:paraId="58201D91" w14:textId="77777777" w:rsidR="00E94A2F" w:rsidRDefault="00000000">
            <w:pPr>
              <w:pStyle w:val="Compact"/>
            </w:pPr>
            <w:r>
              <w:rPr>
                <w:sz w:val="16"/>
              </w:rPr>
              <w:t>&gt;175</w:t>
            </w:r>
          </w:p>
        </w:tc>
        <w:tc>
          <w:tcPr>
            <w:tcW w:w="0" w:type="auto"/>
          </w:tcPr>
          <w:p w14:paraId="631B20BC" w14:textId="77777777" w:rsidR="00E94A2F" w:rsidRDefault="00000000">
            <w:pPr>
              <w:pStyle w:val="Compact"/>
            </w:pPr>
            <w:r>
              <w:rPr>
                <w:sz w:val="16"/>
              </w:rPr>
              <w:t>63.2 (58.3–67.8)</w:t>
            </w:r>
          </w:p>
        </w:tc>
        <w:tc>
          <w:tcPr>
            <w:tcW w:w="0" w:type="auto"/>
          </w:tcPr>
          <w:p w14:paraId="22C3BD11" w14:textId="77777777" w:rsidR="00E94A2F" w:rsidRDefault="00000000">
            <w:pPr>
              <w:pStyle w:val="Compact"/>
            </w:pPr>
            <w:r>
              <w:rPr>
                <w:sz w:val="16"/>
              </w:rPr>
              <w:t>82.1 (70.2–90.0)</w:t>
            </w:r>
          </w:p>
        </w:tc>
        <w:tc>
          <w:tcPr>
            <w:tcW w:w="0" w:type="auto"/>
          </w:tcPr>
          <w:p w14:paraId="4A38F6D0" w14:textId="77777777" w:rsidR="00E94A2F" w:rsidRDefault="00000000">
            <w:pPr>
              <w:pStyle w:val="Compact"/>
            </w:pPr>
            <w:r>
              <w:rPr>
                <w:sz w:val="16"/>
              </w:rPr>
              <w:t>3.5 (2.0–6.2)</w:t>
            </w:r>
          </w:p>
        </w:tc>
        <w:tc>
          <w:tcPr>
            <w:tcW w:w="0" w:type="auto"/>
          </w:tcPr>
          <w:p w14:paraId="066167E7" w14:textId="77777777" w:rsidR="00E94A2F" w:rsidRDefault="00000000">
            <w:pPr>
              <w:pStyle w:val="Compact"/>
            </w:pPr>
            <w:r>
              <w:rPr>
                <w:sz w:val="16"/>
              </w:rPr>
              <w:t>10</w:t>
            </w:r>
          </w:p>
        </w:tc>
      </w:tr>
      <w:tr w:rsidR="00E94A2F" w14:paraId="37C6A551" w14:textId="77777777">
        <w:tc>
          <w:tcPr>
            <w:tcW w:w="0" w:type="auto"/>
          </w:tcPr>
          <w:p w14:paraId="4408752F" w14:textId="77777777" w:rsidR="00E94A2F" w:rsidRDefault="00000000">
            <w:pPr>
              <w:pStyle w:val="Compact"/>
            </w:pPr>
            <w:r>
              <w:rPr>
                <w:sz w:val="16"/>
              </w:rPr>
              <w:t>&gt;200</w:t>
            </w:r>
          </w:p>
        </w:tc>
        <w:tc>
          <w:tcPr>
            <w:tcW w:w="0" w:type="auto"/>
          </w:tcPr>
          <w:p w14:paraId="138470C8" w14:textId="77777777" w:rsidR="00E94A2F" w:rsidRDefault="00000000">
            <w:pPr>
              <w:pStyle w:val="Compact"/>
            </w:pPr>
            <w:r>
              <w:rPr>
                <w:sz w:val="16"/>
              </w:rPr>
              <w:t>52.2 (47.2–57.1)</w:t>
            </w:r>
          </w:p>
        </w:tc>
        <w:tc>
          <w:tcPr>
            <w:tcW w:w="0" w:type="auto"/>
          </w:tcPr>
          <w:p w14:paraId="5AE760ED" w14:textId="77777777" w:rsidR="00E94A2F" w:rsidRDefault="00000000">
            <w:pPr>
              <w:pStyle w:val="Compact"/>
            </w:pPr>
            <w:r>
              <w:rPr>
                <w:sz w:val="16"/>
              </w:rPr>
              <w:t>91.1 (80.7–96.1)</w:t>
            </w:r>
          </w:p>
        </w:tc>
        <w:tc>
          <w:tcPr>
            <w:tcW w:w="0" w:type="auto"/>
          </w:tcPr>
          <w:p w14:paraId="797E4DBE" w14:textId="77777777" w:rsidR="00E94A2F" w:rsidRDefault="00000000">
            <w:pPr>
              <w:pStyle w:val="Compact"/>
            </w:pPr>
            <w:r>
              <w:rPr>
                <w:sz w:val="16"/>
              </w:rPr>
              <w:t>5.8 (2.5–13.6)</w:t>
            </w:r>
          </w:p>
        </w:tc>
        <w:tc>
          <w:tcPr>
            <w:tcW w:w="0" w:type="auto"/>
          </w:tcPr>
          <w:p w14:paraId="7D797691" w14:textId="77777777" w:rsidR="00E94A2F" w:rsidRDefault="00000000">
            <w:pPr>
              <w:pStyle w:val="Compact"/>
            </w:pPr>
            <w:r>
              <w:rPr>
                <w:sz w:val="16"/>
              </w:rPr>
              <w:t>5</w:t>
            </w:r>
          </w:p>
        </w:tc>
      </w:tr>
      <w:tr w:rsidR="00E94A2F" w14:paraId="4B2EA2C4" w14:textId="77777777">
        <w:tc>
          <w:tcPr>
            <w:tcW w:w="0" w:type="auto"/>
          </w:tcPr>
          <w:p w14:paraId="5AC0EC04" w14:textId="77777777" w:rsidR="00E94A2F" w:rsidRDefault="00000000">
            <w:pPr>
              <w:pStyle w:val="Compact"/>
            </w:pPr>
            <w:r>
              <w:rPr>
                <w:sz w:val="16"/>
              </w:rPr>
              <w:t>&gt;225</w:t>
            </w:r>
          </w:p>
        </w:tc>
        <w:tc>
          <w:tcPr>
            <w:tcW w:w="0" w:type="auto"/>
          </w:tcPr>
          <w:p w14:paraId="362B3C41" w14:textId="77777777" w:rsidR="00E94A2F" w:rsidRDefault="00000000">
            <w:pPr>
              <w:pStyle w:val="Compact"/>
            </w:pPr>
            <w:r>
              <w:rPr>
                <w:sz w:val="16"/>
              </w:rPr>
              <w:t>42.2 (37.4–47.1)</w:t>
            </w:r>
          </w:p>
        </w:tc>
        <w:tc>
          <w:tcPr>
            <w:tcW w:w="0" w:type="auto"/>
          </w:tcPr>
          <w:p w14:paraId="33B36B8C" w14:textId="77777777" w:rsidR="00E94A2F" w:rsidRDefault="00000000">
            <w:pPr>
              <w:pStyle w:val="Compact"/>
            </w:pPr>
            <w:r>
              <w:rPr>
                <w:sz w:val="16"/>
              </w:rPr>
              <w:t>94.6 (85.4–98.2)</w:t>
            </w:r>
          </w:p>
        </w:tc>
        <w:tc>
          <w:tcPr>
            <w:tcW w:w="0" w:type="auto"/>
          </w:tcPr>
          <w:p w14:paraId="05319CD9" w14:textId="77777777" w:rsidR="00E94A2F" w:rsidRDefault="00000000">
            <w:pPr>
              <w:pStyle w:val="Compact"/>
            </w:pPr>
            <w:r>
              <w:rPr>
                <w:sz w:val="16"/>
              </w:rPr>
              <w:t>7.9 (2.6–23.8)</w:t>
            </w:r>
          </w:p>
        </w:tc>
        <w:tc>
          <w:tcPr>
            <w:tcW w:w="0" w:type="auto"/>
          </w:tcPr>
          <w:p w14:paraId="5B5AF324" w14:textId="77777777" w:rsidR="00E94A2F" w:rsidRDefault="00000000">
            <w:pPr>
              <w:pStyle w:val="Compact"/>
            </w:pPr>
            <w:r>
              <w:rPr>
                <w:sz w:val="16"/>
              </w:rPr>
              <w:t>3</w:t>
            </w:r>
          </w:p>
        </w:tc>
      </w:tr>
      <w:tr w:rsidR="00E94A2F" w14:paraId="41791346" w14:textId="77777777">
        <w:tc>
          <w:tcPr>
            <w:tcW w:w="0" w:type="auto"/>
          </w:tcPr>
          <w:p w14:paraId="57270840" w14:textId="77777777" w:rsidR="00E94A2F" w:rsidRDefault="00000000">
            <w:pPr>
              <w:pStyle w:val="Compact"/>
            </w:pPr>
            <w:r>
              <w:rPr>
                <w:sz w:val="16"/>
              </w:rPr>
              <w:t>&gt;250</w:t>
            </w:r>
          </w:p>
        </w:tc>
        <w:tc>
          <w:tcPr>
            <w:tcW w:w="0" w:type="auto"/>
          </w:tcPr>
          <w:p w14:paraId="0F74714B" w14:textId="77777777" w:rsidR="00E94A2F" w:rsidRDefault="00000000">
            <w:pPr>
              <w:pStyle w:val="Compact"/>
            </w:pPr>
            <w:r>
              <w:rPr>
                <w:sz w:val="16"/>
              </w:rPr>
              <w:t>30.7 (26.3–35.4)</w:t>
            </w:r>
          </w:p>
        </w:tc>
        <w:tc>
          <w:tcPr>
            <w:tcW w:w="0" w:type="auto"/>
          </w:tcPr>
          <w:p w14:paraId="012B0F42" w14:textId="77777777" w:rsidR="00E94A2F" w:rsidRDefault="00000000">
            <w:pPr>
              <w:pStyle w:val="Compact"/>
            </w:pPr>
            <w:r>
              <w:rPr>
                <w:sz w:val="16"/>
              </w:rPr>
              <w:t>98.2 (90.6–99.7)</w:t>
            </w:r>
          </w:p>
        </w:tc>
        <w:tc>
          <w:tcPr>
            <w:tcW w:w="0" w:type="auto"/>
          </w:tcPr>
          <w:p w14:paraId="6BF5159D" w14:textId="77777777" w:rsidR="00E94A2F" w:rsidRDefault="00000000">
            <w:pPr>
              <w:pStyle w:val="Compact"/>
            </w:pPr>
            <w:r>
              <w:rPr>
                <w:sz w:val="16"/>
              </w:rPr>
              <w:t>17.2 (2.4–120.6)</w:t>
            </w:r>
          </w:p>
        </w:tc>
        <w:tc>
          <w:tcPr>
            <w:tcW w:w="0" w:type="auto"/>
          </w:tcPr>
          <w:p w14:paraId="344B228C" w14:textId="77777777" w:rsidR="00E94A2F" w:rsidRDefault="00000000">
            <w:pPr>
              <w:pStyle w:val="Compact"/>
            </w:pPr>
            <w:r>
              <w:rPr>
                <w:sz w:val="16"/>
              </w:rPr>
              <w:t>1</w:t>
            </w:r>
          </w:p>
        </w:tc>
      </w:tr>
    </w:tbl>
    <w:p w14:paraId="5CE54A08" w14:textId="77777777" w:rsidR="00E94A2F" w:rsidRDefault="00000000">
      <w:pPr>
        <w:pStyle w:val="Textkrper"/>
      </w:pPr>
      <w:r>
        <w:t>Thresholds used in this study: &lt;100 (low expression) and &gt;200 (high expression). The specificity of the lower threshold is the proportion of LCNEC/SCNEC at or above it; the specificity of the upper threshold is the proportion of NET G3 at or below it. LR, likelihood ratio; CI, confidence interval.</w:t>
      </w:r>
    </w:p>
    <w:p w14:paraId="6355FA6F" w14:textId="77777777" w:rsidR="00E94A2F" w:rsidRDefault="00000000">
      <w:pPr>
        <w:pStyle w:val="Textkrper"/>
      </w:pPr>
      <w:r>
        <w:rPr>
          <w:b/>
          <w:bCs/>
        </w:rPr>
        <w:t>Supplementary Table S2</w:t>
      </w:r>
      <w:r>
        <w:t xml:space="preserve"> Diagnostic performance of EZH2 expression groups for the distinction between NET G3 and NEC (LCNEC/SCNEC)</w:t>
      </w:r>
    </w:p>
    <w:tbl>
      <w:tblPr>
        <w:tblStyle w:val="Table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20" w:firstRow="1" w:lastRow="0" w:firstColumn="0" w:lastColumn="0" w:noHBand="0" w:noVBand="0"/>
      </w:tblPr>
      <w:tblGrid>
        <w:gridCol w:w="2353"/>
        <w:gridCol w:w="1171"/>
        <w:gridCol w:w="1275"/>
        <w:gridCol w:w="1261"/>
        <w:gridCol w:w="916"/>
        <w:gridCol w:w="923"/>
        <w:gridCol w:w="810"/>
        <w:gridCol w:w="913"/>
      </w:tblGrid>
      <w:tr w:rsidR="00E94A2F" w14:paraId="65A1BA33" w14:textId="77777777" w:rsidTr="00E94A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47552E1" w14:textId="77777777" w:rsidR="00E94A2F" w:rsidRDefault="00000000">
            <w:pPr>
              <w:pStyle w:val="Compact"/>
            </w:pPr>
            <w:r>
              <w:rPr>
                <w:sz w:val="16"/>
              </w:rPr>
              <w:t>Comparison</w:t>
            </w:r>
          </w:p>
        </w:tc>
        <w:tc>
          <w:tcPr>
            <w:tcW w:w="0" w:type="auto"/>
          </w:tcPr>
          <w:p w14:paraId="53F98AC8" w14:textId="77777777" w:rsidR="00E94A2F" w:rsidRDefault="00000000">
            <w:pPr>
              <w:pStyle w:val="Compact"/>
            </w:pPr>
            <w:r>
              <w:rPr>
                <w:sz w:val="16"/>
              </w:rPr>
              <w:t>Criterion</w:t>
            </w:r>
          </w:p>
        </w:tc>
        <w:tc>
          <w:tcPr>
            <w:tcW w:w="0" w:type="auto"/>
          </w:tcPr>
          <w:p w14:paraId="274DFD0A" w14:textId="77777777" w:rsidR="00E94A2F" w:rsidRDefault="00000000">
            <w:pPr>
              <w:pStyle w:val="Compact"/>
            </w:pPr>
            <w:r>
              <w:rPr>
                <w:sz w:val="16"/>
              </w:rPr>
              <w:t>Sensitivity, % (95% CI)</w:t>
            </w:r>
          </w:p>
        </w:tc>
        <w:tc>
          <w:tcPr>
            <w:tcW w:w="0" w:type="auto"/>
          </w:tcPr>
          <w:p w14:paraId="75F12F10" w14:textId="77777777" w:rsidR="00E94A2F" w:rsidRDefault="00000000">
            <w:pPr>
              <w:pStyle w:val="Compact"/>
            </w:pPr>
            <w:r>
              <w:rPr>
                <w:sz w:val="16"/>
              </w:rPr>
              <w:t>Specificity, % (95% CI)</w:t>
            </w:r>
          </w:p>
        </w:tc>
        <w:tc>
          <w:tcPr>
            <w:tcW w:w="0" w:type="auto"/>
          </w:tcPr>
          <w:p w14:paraId="40A76F20" w14:textId="77777777" w:rsidR="00E94A2F" w:rsidRDefault="00000000">
            <w:pPr>
              <w:pStyle w:val="Compact"/>
            </w:pPr>
            <w:r>
              <w:rPr>
                <w:sz w:val="16"/>
              </w:rPr>
              <w:t>PPV, % (95% CI)</w:t>
            </w:r>
          </w:p>
        </w:tc>
        <w:tc>
          <w:tcPr>
            <w:tcW w:w="0" w:type="auto"/>
          </w:tcPr>
          <w:p w14:paraId="725EF145" w14:textId="77777777" w:rsidR="00E94A2F" w:rsidRDefault="00000000">
            <w:pPr>
              <w:pStyle w:val="Compact"/>
            </w:pPr>
            <w:r>
              <w:rPr>
                <w:sz w:val="16"/>
              </w:rPr>
              <w:t>NPV, % (95% CI)</w:t>
            </w:r>
          </w:p>
        </w:tc>
        <w:tc>
          <w:tcPr>
            <w:tcW w:w="0" w:type="auto"/>
          </w:tcPr>
          <w:p w14:paraId="3F5ACB51" w14:textId="77777777" w:rsidR="00E94A2F" w:rsidRDefault="00000000">
            <w:pPr>
              <w:pStyle w:val="Compact"/>
            </w:pPr>
            <w:r>
              <w:rPr>
                <w:sz w:val="16"/>
              </w:rPr>
              <w:t>LR+ (95% CI)</w:t>
            </w:r>
          </w:p>
        </w:tc>
        <w:tc>
          <w:tcPr>
            <w:tcW w:w="0" w:type="auto"/>
          </w:tcPr>
          <w:p w14:paraId="1936C7F5" w14:textId="77777777" w:rsidR="00E94A2F" w:rsidRDefault="00000000">
            <w:pPr>
              <w:pStyle w:val="Compact"/>
            </w:pPr>
            <w:r>
              <w:rPr>
                <w:sz w:val="16"/>
              </w:rPr>
              <w:t>LR− (95% CI)</w:t>
            </w:r>
          </w:p>
        </w:tc>
      </w:tr>
      <w:tr w:rsidR="00E94A2F" w14:paraId="38DB9A17" w14:textId="77777777">
        <w:tc>
          <w:tcPr>
            <w:tcW w:w="0" w:type="auto"/>
          </w:tcPr>
          <w:p w14:paraId="08711936" w14:textId="77777777" w:rsidR="00E94A2F" w:rsidRDefault="00000000">
            <w:pPr>
              <w:pStyle w:val="Compact"/>
            </w:pPr>
            <w:r>
              <w:rPr>
                <w:sz w:val="16"/>
              </w:rPr>
              <w:t>NET G3 (n = 56) vs. LCNEC/SCNEC (n = 391)</w:t>
            </w:r>
          </w:p>
        </w:tc>
        <w:tc>
          <w:tcPr>
            <w:tcW w:w="0" w:type="auto"/>
          </w:tcPr>
          <w:p w14:paraId="75E0E88F" w14:textId="77777777" w:rsidR="00E94A2F" w:rsidRDefault="00000000">
            <w:pPr>
              <w:pStyle w:val="Compact"/>
            </w:pPr>
            <w:r>
              <w:rPr>
                <w:sz w:val="16"/>
              </w:rPr>
              <w:t>Low (&lt;100) → NET G3</w:t>
            </w:r>
          </w:p>
        </w:tc>
        <w:tc>
          <w:tcPr>
            <w:tcW w:w="0" w:type="auto"/>
          </w:tcPr>
          <w:p w14:paraId="50469BC7" w14:textId="77777777" w:rsidR="00E94A2F" w:rsidRDefault="00000000">
            <w:pPr>
              <w:pStyle w:val="Compact"/>
            </w:pPr>
            <w:r>
              <w:rPr>
                <w:sz w:val="16"/>
              </w:rPr>
              <w:t>67.9 (54.8–78.6)</w:t>
            </w:r>
          </w:p>
        </w:tc>
        <w:tc>
          <w:tcPr>
            <w:tcW w:w="0" w:type="auto"/>
          </w:tcPr>
          <w:p w14:paraId="3FD2F570" w14:textId="77777777" w:rsidR="00E94A2F" w:rsidRDefault="00000000">
            <w:pPr>
              <w:pStyle w:val="Compact"/>
            </w:pPr>
            <w:r>
              <w:rPr>
                <w:sz w:val="16"/>
              </w:rPr>
              <w:t>86.2 (82.4–89.3)</w:t>
            </w:r>
          </w:p>
        </w:tc>
        <w:tc>
          <w:tcPr>
            <w:tcW w:w="0" w:type="auto"/>
          </w:tcPr>
          <w:p w14:paraId="1B1EA2DB" w14:textId="77777777" w:rsidR="00E94A2F" w:rsidRDefault="00000000">
            <w:pPr>
              <w:pStyle w:val="Compact"/>
            </w:pPr>
            <w:r>
              <w:rPr>
                <w:sz w:val="16"/>
              </w:rPr>
              <w:t>41.3 (31.8–51.5)</w:t>
            </w:r>
          </w:p>
        </w:tc>
        <w:tc>
          <w:tcPr>
            <w:tcW w:w="0" w:type="auto"/>
          </w:tcPr>
          <w:p w14:paraId="015A64E2" w14:textId="77777777" w:rsidR="00E94A2F" w:rsidRDefault="00000000">
            <w:pPr>
              <w:pStyle w:val="Compact"/>
            </w:pPr>
            <w:r>
              <w:rPr>
                <w:sz w:val="16"/>
              </w:rPr>
              <w:t>94.9 (92.1–96.8)</w:t>
            </w:r>
          </w:p>
        </w:tc>
        <w:tc>
          <w:tcPr>
            <w:tcW w:w="0" w:type="auto"/>
          </w:tcPr>
          <w:p w14:paraId="03DCE3DC" w14:textId="77777777" w:rsidR="00E94A2F" w:rsidRDefault="00000000">
            <w:pPr>
              <w:pStyle w:val="Compact"/>
            </w:pPr>
            <w:r>
              <w:rPr>
                <w:sz w:val="16"/>
              </w:rPr>
              <w:t>4.9 (3.6–6.7)</w:t>
            </w:r>
          </w:p>
        </w:tc>
        <w:tc>
          <w:tcPr>
            <w:tcW w:w="0" w:type="auto"/>
          </w:tcPr>
          <w:p w14:paraId="4C1E136A" w14:textId="77777777" w:rsidR="00E94A2F" w:rsidRDefault="00000000">
            <w:pPr>
              <w:pStyle w:val="Compact"/>
            </w:pPr>
            <w:r>
              <w:rPr>
                <w:sz w:val="16"/>
              </w:rPr>
              <w:t>0.37 (0.25–0.55)</w:t>
            </w:r>
          </w:p>
        </w:tc>
      </w:tr>
      <w:tr w:rsidR="00E94A2F" w14:paraId="3D826651" w14:textId="77777777">
        <w:tc>
          <w:tcPr>
            <w:tcW w:w="0" w:type="auto"/>
          </w:tcPr>
          <w:p w14:paraId="5BB33101" w14:textId="77777777" w:rsidR="00E94A2F" w:rsidRDefault="00000000">
            <w:pPr>
              <w:pStyle w:val="Compact"/>
            </w:pPr>
            <w:r>
              <w:rPr>
                <w:sz w:val="16"/>
              </w:rPr>
              <w:t>NET G3 (n = 56) vs. LCNEC/SCNEC (n = 391)</w:t>
            </w:r>
          </w:p>
        </w:tc>
        <w:tc>
          <w:tcPr>
            <w:tcW w:w="0" w:type="auto"/>
          </w:tcPr>
          <w:p w14:paraId="046BEC9A" w14:textId="77777777" w:rsidR="00E94A2F" w:rsidRDefault="00000000">
            <w:pPr>
              <w:pStyle w:val="Compact"/>
            </w:pPr>
            <w:r>
              <w:rPr>
                <w:sz w:val="16"/>
              </w:rPr>
              <w:t>High (&gt;200) → NEC</w:t>
            </w:r>
          </w:p>
        </w:tc>
        <w:tc>
          <w:tcPr>
            <w:tcW w:w="0" w:type="auto"/>
          </w:tcPr>
          <w:p w14:paraId="3B607F60" w14:textId="77777777" w:rsidR="00E94A2F" w:rsidRDefault="00000000">
            <w:pPr>
              <w:pStyle w:val="Compact"/>
            </w:pPr>
            <w:r>
              <w:rPr>
                <w:sz w:val="16"/>
              </w:rPr>
              <w:t>52.2 (47.2–57.1)</w:t>
            </w:r>
          </w:p>
        </w:tc>
        <w:tc>
          <w:tcPr>
            <w:tcW w:w="0" w:type="auto"/>
          </w:tcPr>
          <w:p w14:paraId="00035EE5" w14:textId="77777777" w:rsidR="00E94A2F" w:rsidRDefault="00000000">
            <w:pPr>
              <w:pStyle w:val="Compact"/>
            </w:pPr>
            <w:r>
              <w:rPr>
                <w:sz w:val="16"/>
              </w:rPr>
              <w:t>91.1 (80.7–96.1)</w:t>
            </w:r>
          </w:p>
        </w:tc>
        <w:tc>
          <w:tcPr>
            <w:tcW w:w="0" w:type="auto"/>
          </w:tcPr>
          <w:p w14:paraId="1C5C2294" w14:textId="77777777" w:rsidR="00E94A2F" w:rsidRDefault="00000000">
            <w:pPr>
              <w:pStyle w:val="Compact"/>
            </w:pPr>
            <w:r>
              <w:rPr>
                <w:sz w:val="16"/>
              </w:rPr>
              <w:t>97.6 (94.5–99.0)</w:t>
            </w:r>
          </w:p>
        </w:tc>
        <w:tc>
          <w:tcPr>
            <w:tcW w:w="0" w:type="auto"/>
          </w:tcPr>
          <w:p w14:paraId="15A741C4" w14:textId="77777777" w:rsidR="00E94A2F" w:rsidRDefault="00000000">
            <w:pPr>
              <w:pStyle w:val="Compact"/>
            </w:pPr>
            <w:r>
              <w:rPr>
                <w:sz w:val="16"/>
              </w:rPr>
              <w:t>21.4 (16.7–27.1)</w:t>
            </w:r>
          </w:p>
        </w:tc>
        <w:tc>
          <w:tcPr>
            <w:tcW w:w="0" w:type="auto"/>
          </w:tcPr>
          <w:p w14:paraId="4C92ADC5" w14:textId="77777777" w:rsidR="00E94A2F" w:rsidRDefault="00000000">
            <w:pPr>
              <w:pStyle w:val="Compact"/>
            </w:pPr>
            <w:r>
              <w:rPr>
                <w:sz w:val="16"/>
              </w:rPr>
              <w:t>5.8 (2.5–13.6)</w:t>
            </w:r>
          </w:p>
        </w:tc>
        <w:tc>
          <w:tcPr>
            <w:tcW w:w="0" w:type="auto"/>
          </w:tcPr>
          <w:p w14:paraId="32212B2F" w14:textId="77777777" w:rsidR="00E94A2F" w:rsidRDefault="00000000">
            <w:pPr>
              <w:pStyle w:val="Compact"/>
            </w:pPr>
            <w:r>
              <w:rPr>
                <w:sz w:val="16"/>
              </w:rPr>
              <w:t>0.53 (0.46–0.60)</w:t>
            </w:r>
          </w:p>
        </w:tc>
      </w:tr>
      <w:tr w:rsidR="00E94A2F" w14:paraId="463C4964" w14:textId="77777777">
        <w:tc>
          <w:tcPr>
            <w:tcW w:w="0" w:type="auto"/>
          </w:tcPr>
          <w:p w14:paraId="4E9C0CC3" w14:textId="77777777" w:rsidR="00E94A2F" w:rsidRPr="004F5339" w:rsidRDefault="00000000">
            <w:pPr>
              <w:pStyle w:val="Compact"/>
              <w:rPr>
                <w:lang w:val="nl-NL"/>
              </w:rPr>
            </w:pPr>
            <w:r>
              <w:rPr>
                <w:sz w:val="16"/>
                <w:lang w:val="nl-NL"/>
              </w:rPr>
              <w:t>GEP-NET G3 (n = 39) vs. GEP-LCNEC/SCNEC (n = 122)</w:t>
            </w:r>
          </w:p>
        </w:tc>
        <w:tc>
          <w:tcPr>
            <w:tcW w:w="0" w:type="auto"/>
          </w:tcPr>
          <w:p w14:paraId="53A27ECA" w14:textId="77777777" w:rsidR="00E94A2F" w:rsidRDefault="00000000">
            <w:pPr>
              <w:pStyle w:val="Compact"/>
            </w:pPr>
            <w:r>
              <w:rPr>
                <w:sz w:val="16"/>
              </w:rPr>
              <w:t>Low (&lt;100) → NET G3</w:t>
            </w:r>
          </w:p>
        </w:tc>
        <w:tc>
          <w:tcPr>
            <w:tcW w:w="0" w:type="auto"/>
          </w:tcPr>
          <w:p w14:paraId="1BE6DF15" w14:textId="77777777" w:rsidR="00E94A2F" w:rsidRDefault="00000000">
            <w:pPr>
              <w:pStyle w:val="Compact"/>
            </w:pPr>
            <w:r>
              <w:rPr>
                <w:sz w:val="16"/>
              </w:rPr>
              <w:t>64.1 (48.4–77.3)</w:t>
            </w:r>
          </w:p>
        </w:tc>
        <w:tc>
          <w:tcPr>
            <w:tcW w:w="0" w:type="auto"/>
          </w:tcPr>
          <w:p w14:paraId="0308D7FD" w14:textId="77777777" w:rsidR="00E94A2F" w:rsidRDefault="00000000">
            <w:pPr>
              <w:pStyle w:val="Compact"/>
            </w:pPr>
            <w:r>
              <w:rPr>
                <w:sz w:val="16"/>
              </w:rPr>
              <w:t>82.0 (74.2–87.8)</w:t>
            </w:r>
          </w:p>
        </w:tc>
        <w:tc>
          <w:tcPr>
            <w:tcW w:w="0" w:type="auto"/>
          </w:tcPr>
          <w:p w14:paraId="0552B099" w14:textId="77777777" w:rsidR="00E94A2F" w:rsidRDefault="00000000">
            <w:pPr>
              <w:pStyle w:val="Compact"/>
            </w:pPr>
            <w:r>
              <w:rPr>
                <w:sz w:val="16"/>
              </w:rPr>
              <w:t>53.2 (39.2–66.7)</w:t>
            </w:r>
          </w:p>
        </w:tc>
        <w:tc>
          <w:tcPr>
            <w:tcW w:w="0" w:type="auto"/>
          </w:tcPr>
          <w:p w14:paraId="504D8D17" w14:textId="77777777" w:rsidR="00E94A2F" w:rsidRDefault="00000000">
            <w:pPr>
              <w:pStyle w:val="Compact"/>
            </w:pPr>
            <w:r>
              <w:rPr>
                <w:sz w:val="16"/>
              </w:rPr>
              <w:t>87.7 (80.4–92.5)</w:t>
            </w:r>
          </w:p>
        </w:tc>
        <w:tc>
          <w:tcPr>
            <w:tcW w:w="0" w:type="auto"/>
          </w:tcPr>
          <w:p w14:paraId="4A2A7BF8" w14:textId="77777777" w:rsidR="00E94A2F" w:rsidRDefault="00000000">
            <w:pPr>
              <w:pStyle w:val="Compact"/>
            </w:pPr>
            <w:r>
              <w:rPr>
                <w:sz w:val="16"/>
              </w:rPr>
              <w:t>3.6 (2.3–5.5)</w:t>
            </w:r>
          </w:p>
        </w:tc>
        <w:tc>
          <w:tcPr>
            <w:tcW w:w="0" w:type="auto"/>
          </w:tcPr>
          <w:p w14:paraId="5AE2B4BB" w14:textId="77777777" w:rsidR="00E94A2F" w:rsidRDefault="00000000">
            <w:pPr>
              <w:pStyle w:val="Compact"/>
            </w:pPr>
            <w:r>
              <w:rPr>
                <w:sz w:val="16"/>
              </w:rPr>
              <w:t>0.44 (0.29–0.67)</w:t>
            </w:r>
          </w:p>
        </w:tc>
      </w:tr>
      <w:tr w:rsidR="00E94A2F" w14:paraId="172FE404" w14:textId="77777777">
        <w:tc>
          <w:tcPr>
            <w:tcW w:w="0" w:type="auto"/>
          </w:tcPr>
          <w:p w14:paraId="11D86AE8" w14:textId="77777777" w:rsidR="00E94A2F" w:rsidRPr="004F5339" w:rsidRDefault="00000000">
            <w:pPr>
              <w:pStyle w:val="Compact"/>
              <w:rPr>
                <w:lang w:val="nl-NL"/>
              </w:rPr>
            </w:pPr>
            <w:r>
              <w:rPr>
                <w:sz w:val="16"/>
                <w:lang w:val="nl-NL"/>
              </w:rPr>
              <w:t>GEP-NET G3 (n = 39) vs. GEP-LCNEC/SCNEC (n = 122)</w:t>
            </w:r>
          </w:p>
        </w:tc>
        <w:tc>
          <w:tcPr>
            <w:tcW w:w="0" w:type="auto"/>
          </w:tcPr>
          <w:p w14:paraId="3689F723" w14:textId="77777777" w:rsidR="00E94A2F" w:rsidRDefault="00000000">
            <w:pPr>
              <w:pStyle w:val="Compact"/>
            </w:pPr>
            <w:r>
              <w:rPr>
                <w:sz w:val="16"/>
              </w:rPr>
              <w:t>High (&gt;200) → NEC</w:t>
            </w:r>
          </w:p>
        </w:tc>
        <w:tc>
          <w:tcPr>
            <w:tcW w:w="0" w:type="auto"/>
          </w:tcPr>
          <w:p w14:paraId="65DABDAC" w14:textId="77777777" w:rsidR="00E94A2F" w:rsidRDefault="00000000">
            <w:pPr>
              <w:pStyle w:val="Compact"/>
            </w:pPr>
            <w:r>
              <w:rPr>
                <w:sz w:val="16"/>
              </w:rPr>
              <w:t>44.3 (35.8–53.1)</w:t>
            </w:r>
          </w:p>
        </w:tc>
        <w:tc>
          <w:tcPr>
            <w:tcW w:w="0" w:type="auto"/>
          </w:tcPr>
          <w:p w14:paraId="13AB6606" w14:textId="77777777" w:rsidR="00E94A2F" w:rsidRDefault="00000000">
            <w:pPr>
              <w:pStyle w:val="Compact"/>
            </w:pPr>
            <w:r>
              <w:rPr>
                <w:sz w:val="16"/>
              </w:rPr>
              <w:t>92.3 (79.7–97.3)</w:t>
            </w:r>
          </w:p>
        </w:tc>
        <w:tc>
          <w:tcPr>
            <w:tcW w:w="0" w:type="auto"/>
          </w:tcPr>
          <w:p w14:paraId="3175B54B" w14:textId="77777777" w:rsidR="00E94A2F" w:rsidRDefault="00000000">
            <w:pPr>
              <w:pStyle w:val="Compact"/>
            </w:pPr>
            <w:r>
              <w:rPr>
                <w:sz w:val="16"/>
              </w:rPr>
              <w:t>94.7 (85.6–98.2)</w:t>
            </w:r>
          </w:p>
        </w:tc>
        <w:tc>
          <w:tcPr>
            <w:tcW w:w="0" w:type="auto"/>
          </w:tcPr>
          <w:p w14:paraId="0BB8D22B" w14:textId="77777777" w:rsidR="00E94A2F" w:rsidRDefault="00000000">
            <w:pPr>
              <w:pStyle w:val="Compact"/>
            </w:pPr>
            <w:r>
              <w:rPr>
                <w:sz w:val="16"/>
              </w:rPr>
              <w:t>34.6 (26.2–44.2)</w:t>
            </w:r>
          </w:p>
        </w:tc>
        <w:tc>
          <w:tcPr>
            <w:tcW w:w="0" w:type="auto"/>
          </w:tcPr>
          <w:p w14:paraId="4C637FE1" w14:textId="77777777" w:rsidR="00E94A2F" w:rsidRDefault="00000000">
            <w:pPr>
              <w:pStyle w:val="Compact"/>
            </w:pPr>
            <w:r>
              <w:rPr>
                <w:sz w:val="16"/>
              </w:rPr>
              <w:t>5.8 (1.9–17.4)</w:t>
            </w:r>
          </w:p>
        </w:tc>
        <w:tc>
          <w:tcPr>
            <w:tcW w:w="0" w:type="auto"/>
          </w:tcPr>
          <w:p w14:paraId="202DC6CA" w14:textId="77777777" w:rsidR="00E94A2F" w:rsidRDefault="00000000">
            <w:pPr>
              <w:pStyle w:val="Compact"/>
            </w:pPr>
            <w:r>
              <w:rPr>
                <w:sz w:val="16"/>
              </w:rPr>
              <w:t>0.60 (0.50–0.72)</w:t>
            </w:r>
          </w:p>
        </w:tc>
      </w:tr>
    </w:tbl>
    <w:p w14:paraId="234B1C83" w14:textId="77777777" w:rsidR="00E94A2F" w:rsidRDefault="00000000">
      <w:pPr>
        <w:pStyle w:val="Textkrper"/>
      </w:pPr>
      <w:r>
        <w:t>Intermediate expression (100–200) was present in 23.2 (14.1–35.8)% of NET G3 and 34.0 (29.5–38.8)% of LCNEC/SCNEC (likelihood ratio 0.68). Predictive values depend on the proportion of NET G3 and NEC in the cohort (here 1:7); assuming equal pre-test probabilities, the post-test probability of NET G3 given low expression is 83.1% and that of NEC given high expression is 85.4%. PPV, positive predictive value; NPV, negative predictive value; LR, likelihood ratio; CI, confidence interval.</w:t>
      </w:r>
    </w:p>
    <w:p w14:paraId="139183C4" w14:textId="77777777" w:rsidR="00E94A2F" w:rsidRDefault="00000000">
      <w:pPr>
        <w:pStyle w:val="CaptionedFigure"/>
      </w:pPr>
      <w:r>
        <w:rPr>
          <w:noProof/>
        </w:rPr>
        <w:lastRenderedPageBreak/>
        <w:drawing>
          <wp:inline distT="0" distB="0" distL="0" distR="0" wp14:anchorId="4D24E208" wp14:editId="1B001D3B">
            <wp:extent cx="5334000" cy="3815562"/>
            <wp:effectExtent l="0" t="0" r="0" b="0"/>
            <wp:docPr id="47" name="Picture" descr="Supplementary Fig. S1 Combined interpretation of EZH2 and p53/RB1 immunohistochemistry in NET G3 and LCNEC/SCNEC. a Cases with EZH2, p53 and RB1 data (23 NET G3, 87 LCNEC/SCNEC), categorised by whether EZH2 and p53/RB1 point to the same diagnosis; p53/RB1 aberrant denotes aberrant p53 and/or loss of RB1; discordant cases are shown separately as EZH2-low tumours with aberrant p53/RB1 and EZH2-high tumours with normal p53/RB1. b EZH2 expression group in tumours with alteration of only one of p53 and RB1 (7 NET G3, 23 LCNEC/SCNEC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" descr="OR4_EZH2_p53_RB1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5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78B631" w14:textId="77777777" w:rsidR="00E94A2F" w:rsidRDefault="00000000">
      <w:pPr>
        <w:pStyle w:val="ImageCaption"/>
      </w:pPr>
      <w:r>
        <w:rPr>
          <w:b/>
          <w:bCs/>
        </w:rPr>
        <w:t>Supplementary Fig. S1</w:t>
      </w:r>
      <w:r>
        <w:t xml:space="preserve"> Combined interpretation of EZH2 and p53/RB1 immunohistochemistry in NET G3 and LCNEC/SCNEC. </w:t>
      </w:r>
      <w:r>
        <w:rPr>
          <w:b/>
          <w:bCs/>
        </w:rPr>
        <w:t>a</w:t>
      </w:r>
      <w:r>
        <w:t xml:space="preserve"> Cases with EZH2, p53 and RB1 data (23 NET G3, 87 LCNEC/SCNEC), categorised by whether EZH2 and p53/RB1 point to the same diagnosis; p53/RB1 aberrant denotes aberrant p53 and/or loss of RB1; discordant cases are shown separately as EZH2-low tumours with aberrant p53/RB1 and EZH2-high tumours with normal p53/RB1. </w:t>
      </w:r>
      <w:r>
        <w:rPr>
          <w:b/>
          <w:bCs/>
        </w:rPr>
        <w:t>b</w:t>
      </w:r>
      <w:r>
        <w:t xml:space="preserve"> EZH2 expression group in tumours with alteration of only one of p53 and RB1 (7 NET G3, 23 LCNEC/SCNEC).</w:t>
      </w:r>
      <w:bookmarkEnd w:id="14"/>
    </w:p>
    <w:sectPr w:rsidR="00E94A2F">
      <w:pgSz w:w="12240" w:h="15840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454AB" w14:textId="77777777" w:rsidR="00125494" w:rsidRDefault="00125494">
      <w:pPr>
        <w:spacing w:after="0"/>
      </w:pPr>
      <w:r>
        <w:separator/>
      </w:r>
    </w:p>
  </w:endnote>
  <w:endnote w:type="continuationSeparator" w:id="0">
    <w:p w14:paraId="4F91A466" w14:textId="77777777" w:rsidR="00125494" w:rsidRDefault="001254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C9669" w14:textId="77777777" w:rsidR="00125494" w:rsidRDefault="00125494">
      <w:r>
        <w:separator/>
      </w:r>
    </w:p>
  </w:footnote>
  <w:footnote w:type="continuationSeparator" w:id="0">
    <w:p w14:paraId="0926B01F" w14:textId="77777777" w:rsidR="00125494" w:rsidRDefault="00125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DF4980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58448654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715004847">
    <w:abstractNumId w:val="0"/>
  </w:num>
  <w:num w:numId="2" w16cid:durableId="13867527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A2F"/>
    <w:rsid w:val="00125494"/>
    <w:rsid w:val="00211B72"/>
    <w:rsid w:val="002344A1"/>
    <w:rsid w:val="004F5339"/>
    <w:rsid w:val="007B2817"/>
    <w:rsid w:val="00E9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3F1F6"/>
  <w15:docId w15:val="{497FAD27-52E0-4C26-9E9F-D257EB91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Textkrpe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berschrift2">
    <w:name w:val="heading 2"/>
    <w:basedOn w:val="Standard"/>
    <w:next w:val="Textkrpe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berschrift3">
    <w:name w:val="heading 3"/>
    <w:basedOn w:val="Standard"/>
    <w:next w:val="Textkrpe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Textkrpe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berschrift5">
    <w:name w:val="heading 5"/>
    <w:basedOn w:val="Standard"/>
    <w:next w:val="Textkrpe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berschrift6">
    <w:name w:val="heading 6"/>
    <w:basedOn w:val="Standard"/>
    <w:next w:val="Textkrpe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berschrift7">
    <w:name w:val="heading 7"/>
    <w:basedOn w:val="Standard"/>
    <w:next w:val="Textkrpe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berschrift8">
    <w:name w:val="heading 8"/>
    <w:basedOn w:val="Standard"/>
    <w:next w:val="Textkrpe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berschrift9">
    <w:name w:val="heading 9"/>
    <w:basedOn w:val="Standard"/>
    <w:next w:val="Textkrpe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qFormat/>
    <w:pPr>
      <w:spacing w:before="180" w:after="180"/>
    </w:pPr>
  </w:style>
  <w:style w:type="paragraph" w:customStyle="1" w:styleId="FirstParagraph">
    <w:name w:val="First Paragraph"/>
    <w:basedOn w:val="Textkrper"/>
    <w:next w:val="Textkrper"/>
    <w:qFormat/>
  </w:style>
  <w:style w:type="paragraph" w:customStyle="1" w:styleId="Compact">
    <w:name w:val="Compact"/>
    <w:basedOn w:val="Textkrper"/>
    <w:qFormat/>
    <w:pPr>
      <w:spacing w:before="36" w:after="36"/>
    </w:pPr>
  </w:style>
  <w:style w:type="paragraph" w:styleId="Titel">
    <w:name w:val="Title"/>
    <w:basedOn w:val="Standard"/>
    <w:next w:val="Textkrper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Untertitel">
    <w:name w:val="Subtitle"/>
    <w:basedOn w:val="Titel"/>
    <w:next w:val="Textkrper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xtkrper"/>
    <w:qFormat/>
    <w:pPr>
      <w:keepNext/>
      <w:keepLines/>
      <w:jc w:val="center"/>
    </w:pPr>
  </w:style>
  <w:style w:type="paragraph" w:styleId="Datum">
    <w:name w:val="Date"/>
    <w:next w:val="Textkrper"/>
    <w:qFormat/>
    <w:pPr>
      <w:keepNext/>
      <w:keepLines/>
      <w:jc w:val="center"/>
    </w:pPr>
  </w:style>
  <w:style w:type="paragraph" w:customStyle="1" w:styleId="AbstractTitle">
    <w:name w:val="Abstract Title"/>
    <w:basedOn w:val="Standard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Standard"/>
    <w:next w:val="Textkrper"/>
    <w:qFormat/>
    <w:pPr>
      <w:keepNext/>
      <w:keepLines/>
      <w:spacing w:before="100" w:after="300"/>
    </w:pPr>
    <w:rPr>
      <w:sz w:val="20"/>
      <w:szCs w:val="20"/>
    </w:rPr>
  </w:style>
  <w:style w:type="paragraph" w:styleId="Literaturverzeichnis">
    <w:name w:val="Bibliography"/>
    <w:basedOn w:val="Standard"/>
    <w:qFormat/>
  </w:style>
  <w:style w:type="paragraph" w:styleId="Blocktext">
    <w:name w:val="Block Text"/>
    <w:basedOn w:val="Textkrper"/>
    <w:next w:val="Textkrper"/>
    <w:uiPriority w:val="9"/>
    <w:unhideWhenUsed/>
    <w:qFormat/>
    <w:pPr>
      <w:spacing w:before="100" w:after="100"/>
      <w:ind w:left="480" w:right="480"/>
    </w:pPr>
  </w:style>
  <w:style w:type="paragraph" w:styleId="Funotentext">
    <w:name w:val="footnote text"/>
    <w:basedOn w:val="Standard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rd"/>
  </w:style>
  <w:style w:type="paragraph" w:styleId="Beschriftung">
    <w:name w:val="caption"/>
    <w:basedOn w:val="Standard"/>
    <w:link w:val="BeschriftungZchn"/>
    <w:pPr>
      <w:spacing w:after="120"/>
    </w:pPr>
    <w:rPr>
      <w:i/>
    </w:rPr>
  </w:style>
  <w:style w:type="paragraph" w:customStyle="1" w:styleId="TableCaption">
    <w:name w:val="Table Caption"/>
    <w:basedOn w:val="Beschriftung"/>
    <w:pPr>
      <w:keepNext/>
    </w:pPr>
  </w:style>
  <w:style w:type="paragraph" w:customStyle="1" w:styleId="ImageCaption">
    <w:name w:val="Image Caption"/>
    <w:basedOn w:val="Beschriftung"/>
  </w:style>
  <w:style w:type="paragraph" w:customStyle="1" w:styleId="Figure">
    <w:name w:val="Figure"/>
    <w:basedOn w:val="Stand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eschriftungZchn">
    <w:name w:val="Beschriftung Zchn"/>
    <w:basedOn w:val="Absatz-Standardschriftart"/>
    <w:link w:val="Beschriftung"/>
  </w:style>
  <w:style w:type="character" w:customStyle="1" w:styleId="VerbatimChar">
    <w:name w:val="Verbatim Char"/>
    <w:basedOn w:val="BeschriftungZchn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eschriftungZchn"/>
  </w:style>
  <w:style w:type="character" w:styleId="Funotenzeichen">
    <w:name w:val="footnote reference"/>
    <w:basedOn w:val="BeschriftungZchn"/>
    <w:rPr>
      <w:vertAlign w:val="superscript"/>
    </w:rPr>
  </w:style>
  <w:style w:type="character" w:styleId="Hyperlink">
    <w:name w:val="Hyperlink"/>
    <w:basedOn w:val="BeschriftungZchn"/>
    <w:rPr>
      <w:color w:val="4F81BD" w:themeColor="accent1"/>
    </w:rPr>
  </w:style>
  <w:style w:type="paragraph" w:styleId="Inhaltsverzeichnisberschrift">
    <w:name w:val="TOC Heading"/>
    <w:basedOn w:val="berschrift1"/>
    <w:next w:val="Textkrper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Stand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7168</Words>
  <Characters>45160</Characters>
  <Application>Microsoft Office Word</Application>
  <DocSecurity>0</DocSecurity>
  <Lines>376</Lines>
  <Paragraphs>104</Paragraphs>
  <ScaleCrop>false</ScaleCrop>
  <Company/>
  <LinksUpToDate>false</LinksUpToDate>
  <CharactersWithSpaces>52224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Diagnostic Value of EZH2 in Distinguishing NET G3 from NEC: An Immunohistochemical Study of 1618 Neuroendocrine Neoplasms of Various Origins and Grades</dc:title>
  <dc:creator/>
  <cp:keywords/>
  <cp:lastModifiedBy>Hanibal Bohnenberger</cp:lastModifiedBy>
  <cp:revision>4</cp:revision>
  <dcterms:created xsi:type="dcterms:W3CDTF">2026-09-27T11:57:00Z</dcterms:created>
  <dcterms:modified xsi:type="dcterms:W3CDTF">2026-09-27T12:12:00Z</dcterms:modified>
</cp:coreProperties>
</file>