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E1716" w14:textId="77777777" w:rsidR="004E57DA" w:rsidRDefault="004E57DA" w:rsidP="004E57DA">
      <w:pPr>
        <w:spacing w:line="480" w:lineRule="auto"/>
        <w:rPr>
          <w:rFonts w:ascii="Arial" w:hAnsi="Arial" w:cs="Arial"/>
          <w:b/>
          <w:bCs/>
          <w:sz w:val="32"/>
          <w:szCs w:val="32"/>
        </w:rPr>
      </w:pPr>
      <w:r>
        <w:rPr>
          <w:rFonts w:ascii="Arial" w:hAnsi="Arial" w:cs="Arial"/>
          <w:b/>
          <w:bCs/>
          <w:sz w:val="32"/>
          <w:szCs w:val="32"/>
        </w:rPr>
        <w:t>Supplementary Materials and Methods</w:t>
      </w:r>
    </w:p>
    <w:p w14:paraId="2F78688E" w14:textId="77777777" w:rsidR="004E57DA" w:rsidRDefault="004E57DA" w:rsidP="004E57DA">
      <w:pPr>
        <w:numPr>
          <w:ilvl w:val="0"/>
          <w:numId w:val="1"/>
        </w:numPr>
        <w:spacing w:line="480" w:lineRule="auto"/>
        <w:rPr>
          <w:rFonts w:ascii="Arial" w:hAnsi="Arial" w:cs="Arial"/>
          <w:b/>
          <w:bCs/>
          <w:sz w:val="22"/>
        </w:rPr>
      </w:pPr>
      <w:r>
        <w:rPr>
          <w:rFonts w:ascii="Arial" w:hAnsi="Arial" w:cs="Arial"/>
          <w:b/>
          <w:bCs/>
          <w:sz w:val="22"/>
        </w:rPr>
        <w:t>RNA Sequencing Data Quality Control</w:t>
      </w:r>
    </w:p>
    <w:p w14:paraId="394FE6F4" w14:textId="77777777" w:rsidR="004E57DA" w:rsidRDefault="004E57DA" w:rsidP="004E57DA">
      <w:pPr>
        <w:spacing w:line="480" w:lineRule="auto"/>
        <w:ind w:firstLineChars="200" w:firstLine="440"/>
        <w:rPr>
          <w:rFonts w:ascii="Arial" w:hAnsi="Arial" w:cs="Arial"/>
          <w:b/>
          <w:bCs/>
          <w:sz w:val="22"/>
        </w:rPr>
      </w:pPr>
      <w:r>
        <w:rPr>
          <w:rFonts w:ascii="Arial" w:hAnsi="Arial" w:cs="Arial"/>
          <w:sz w:val="22"/>
        </w:rPr>
        <w:t>To minimize the impact of technical and biological variability on RNA sequencing data, this study systematically evaluated data quality in terms of biological replicate consistency, inter-group heterogeneity, and expression profile distribution characteristics. First, expression similarity among biological replicates was assessed using the squared Pearson correlation coefficient (R2). The R2 values for all replicates exceeded 0.85, indicating highly consistent expression patterns among samples and good data reproducibility (Fig. S1A). Principal component analysis (PCA) further showed that samples from different treatment groups were clearly separated in the reduced-dimensional space, with no evident overlap or crossover between groups, indicating significant inter-group differences and reasonable sample grouping (Fig. S1B). In addition, violin plots and density distribution plots showed that the overall expression abundance ranges, median expression levels, and density distribution curves were highly consistent across all samples, with no significant shifts in curve peaks or trends (Fig. S1C). These results indicate that no systematic bias was introduced during sequencing, that the overall expression distribution among samples was balanced, and that the data quality meets the requirements for subsequent differential analysis.</w:t>
      </w:r>
    </w:p>
    <w:p w14:paraId="495BF089" w14:textId="77777777" w:rsidR="004E57DA" w:rsidRDefault="004E57DA" w:rsidP="004E57DA">
      <w:pPr>
        <w:spacing w:line="480" w:lineRule="auto"/>
        <w:rPr>
          <w:rFonts w:ascii="Arial" w:hAnsi="Arial" w:cs="Arial"/>
          <w:b/>
          <w:bCs/>
        </w:rPr>
      </w:pPr>
      <w:r>
        <w:rPr>
          <w:rFonts w:ascii="Arial" w:hAnsi="Arial" w:cs="Arial"/>
          <w:b/>
          <w:bCs/>
          <w:noProof/>
        </w:rPr>
        <w:lastRenderedPageBreak/>
        <w:drawing>
          <wp:inline distT="0" distB="0" distL="0" distR="0" wp14:anchorId="771A9C09" wp14:editId="52E0F882">
            <wp:extent cx="5274310" cy="5267960"/>
            <wp:effectExtent l="0" t="0" r="2540" b="8890"/>
            <wp:docPr id="100563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3162" name="图片 25"/>
                    <pic:cNvPicPr>
                      <a:picLocks noChangeAspect="1"/>
                    </pic:cNvPicPr>
                  </pic:nvPicPr>
                  <pic:blipFill>
                    <a:blip r:embed="rId5"/>
                    <a:srcRect b="29366"/>
                    <a:stretch>
                      <a:fillRect/>
                    </a:stretch>
                  </pic:blipFill>
                  <pic:spPr>
                    <a:xfrm>
                      <a:off x="0" y="0"/>
                      <a:ext cx="5274310" cy="5267960"/>
                    </a:xfrm>
                    <a:prstGeom prst="rect">
                      <a:avLst/>
                    </a:prstGeom>
                    <a:ln>
                      <a:noFill/>
                    </a:ln>
                  </pic:spPr>
                </pic:pic>
              </a:graphicData>
            </a:graphic>
          </wp:inline>
        </w:drawing>
      </w:r>
      <w:r>
        <w:rPr>
          <w:rFonts w:ascii="Arial" w:hAnsi="Arial" w:cs="Arial"/>
          <w:b/>
          <w:bCs/>
        </w:rPr>
        <w:t xml:space="preserve"> </w:t>
      </w:r>
    </w:p>
    <w:p w14:paraId="6727A610" w14:textId="77777777" w:rsidR="004E57DA" w:rsidRDefault="004E57DA" w:rsidP="004E57DA">
      <w:pPr>
        <w:spacing w:line="480" w:lineRule="auto"/>
        <w:rPr>
          <w:rFonts w:ascii="Arial" w:hAnsi="Arial" w:cs="Arial"/>
          <w:b/>
          <w:bCs/>
          <w:sz w:val="22"/>
        </w:rPr>
      </w:pPr>
      <w:r>
        <w:rPr>
          <w:rFonts w:ascii="Arial" w:hAnsi="Arial" w:cs="Arial"/>
          <w:b/>
          <w:bCs/>
          <w:sz w:val="22"/>
        </w:rPr>
        <w:t>Figure S1. Data quality control of RNA sequencing data.</w:t>
      </w:r>
      <w:r>
        <w:rPr>
          <w:rFonts w:ascii="Arial" w:hAnsi="Arial" w:cs="Arial"/>
          <w:sz w:val="22"/>
        </w:rPr>
        <w:t xml:space="preserve"> Mice were orally inoculated with or without 2,000 </w:t>
      </w:r>
      <w:r>
        <w:rPr>
          <w:rFonts w:ascii="Arial" w:hAnsi="Arial" w:cs="Arial"/>
          <w:i/>
          <w:iCs/>
          <w:sz w:val="22"/>
        </w:rPr>
        <w:t>H. nana</w:t>
      </w:r>
      <w:r>
        <w:rPr>
          <w:rFonts w:ascii="Arial" w:hAnsi="Arial" w:cs="Arial"/>
          <w:sz w:val="22"/>
        </w:rPr>
        <w:t xml:space="preserve"> eggs daily for 2 consecutive days, and ileal tissues were collected on day 14 post-infection for RNA sequencing (</w:t>
      </w:r>
      <w:r>
        <w:rPr>
          <w:rFonts w:ascii="Arial" w:hAnsi="Arial" w:cs="Arial"/>
          <w:i/>
          <w:iCs/>
          <w:sz w:val="22"/>
        </w:rPr>
        <w:t>n</w:t>
      </w:r>
      <w:r>
        <w:rPr>
          <w:rFonts w:ascii="Arial" w:hAnsi="Arial" w:cs="Arial"/>
          <w:sz w:val="22"/>
        </w:rPr>
        <w:t xml:space="preserve"> = 3). (</w:t>
      </w:r>
      <w:r>
        <w:rPr>
          <w:rFonts w:ascii="Arial" w:hAnsi="Arial" w:cs="Arial"/>
          <w:b/>
          <w:bCs/>
          <w:sz w:val="22"/>
        </w:rPr>
        <w:t>A</w:t>
      </w:r>
      <w:r>
        <w:rPr>
          <w:rFonts w:ascii="Arial" w:hAnsi="Arial" w:cs="Arial"/>
          <w:sz w:val="22"/>
        </w:rPr>
        <w:t>) Pearson correlation heatmap of biological replicates. (</w:t>
      </w:r>
      <w:r>
        <w:rPr>
          <w:rFonts w:ascii="Arial" w:hAnsi="Arial" w:cs="Arial"/>
          <w:b/>
          <w:bCs/>
          <w:sz w:val="22"/>
        </w:rPr>
        <w:t>B</w:t>
      </w:r>
      <w:r>
        <w:rPr>
          <w:rFonts w:ascii="Arial" w:hAnsi="Arial" w:cs="Arial"/>
          <w:sz w:val="22"/>
        </w:rPr>
        <w:t xml:space="preserve">) Principal component analysis (PCA) score plot showing sample distribution between the control and </w:t>
      </w:r>
      <w:r>
        <w:rPr>
          <w:rFonts w:ascii="Arial" w:hAnsi="Arial" w:cs="Arial"/>
          <w:i/>
          <w:iCs/>
          <w:sz w:val="22"/>
        </w:rPr>
        <w:t>H. nana</w:t>
      </w:r>
      <w:r>
        <w:rPr>
          <w:rFonts w:ascii="Arial" w:hAnsi="Arial" w:cs="Arial"/>
          <w:sz w:val="22"/>
        </w:rPr>
        <w:t>-infected groups. (</w:t>
      </w:r>
      <w:r>
        <w:rPr>
          <w:rFonts w:ascii="Arial" w:hAnsi="Arial" w:cs="Arial"/>
          <w:b/>
          <w:bCs/>
          <w:sz w:val="22"/>
        </w:rPr>
        <w:t>C</w:t>
      </w:r>
      <w:r>
        <w:rPr>
          <w:rFonts w:ascii="Arial" w:hAnsi="Arial" w:cs="Arial"/>
          <w:sz w:val="22"/>
        </w:rPr>
        <w:t>) Violin plots and density distribution curves showing overall transcript abundance profiles across all samples.</w:t>
      </w:r>
    </w:p>
    <w:p w14:paraId="7E476B5D"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B85"/>
    <w:multiLevelType w:val="multilevel"/>
    <w:tmpl w:val="15115B85"/>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100714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7DA"/>
    <w:rsid w:val="00195413"/>
    <w:rsid w:val="003A03A7"/>
    <w:rsid w:val="003D0186"/>
    <w:rsid w:val="004E57DA"/>
    <w:rsid w:val="007278E4"/>
    <w:rsid w:val="00A3738C"/>
    <w:rsid w:val="00B91ABC"/>
    <w:rsid w:val="00BC6C35"/>
    <w:rsid w:val="00CB270D"/>
    <w:rsid w:val="00CF7583"/>
    <w:rsid w:val="00DE6AE2"/>
    <w:rsid w:val="00E12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2A4C"/>
  <w15:chartTrackingRefBased/>
  <w15:docId w15:val="{6A3FF67D-EE55-4159-ADEA-3D36EF06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7DA"/>
    <w:pPr>
      <w:widowControl w:val="0"/>
      <w:spacing w:after="0" w:line="240" w:lineRule="auto"/>
      <w:jc w:val="both"/>
    </w:pPr>
    <w:rPr>
      <w:rFonts w:eastAsiaTheme="minorEastAsia"/>
      <w:sz w:val="21"/>
      <w:szCs w:val="22"/>
      <w:lang w:eastAsia="zh-CN"/>
      <w14:ligatures w14:val="none"/>
    </w:rPr>
  </w:style>
  <w:style w:type="paragraph" w:styleId="Heading1">
    <w:name w:val="heading 1"/>
    <w:basedOn w:val="Normal"/>
    <w:next w:val="Normal"/>
    <w:link w:val="Heading1Char"/>
    <w:uiPriority w:val="9"/>
    <w:qFormat/>
    <w:rsid w:val="004E5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7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7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7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7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7DA"/>
    <w:rPr>
      <w:rFonts w:eastAsiaTheme="majorEastAsia" w:cstheme="majorBidi"/>
      <w:color w:val="272727" w:themeColor="text1" w:themeTint="D8"/>
    </w:rPr>
  </w:style>
  <w:style w:type="paragraph" w:styleId="Title">
    <w:name w:val="Title"/>
    <w:basedOn w:val="Normal"/>
    <w:next w:val="Normal"/>
    <w:link w:val="TitleChar"/>
    <w:uiPriority w:val="10"/>
    <w:qFormat/>
    <w:rsid w:val="004E57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7DA"/>
    <w:pPr>
      <w:spacing w:before="160"/>
      <w:jc w:val="center"/>
    </w:pPr>
    <w:rPr>
      <w:i/>
      <w:iCs/>
      <w:color w:val="404040" w:themeColor="text1" w:themeTint="BF"/>
    </w:rPr>
  </w:style>
  <w:style w:type="character" w:customStyle="1" w:styleId="QuoteChar">
    <w:name w:val="Quote Char"/>
    <w:basedOn w:val="DefaultParagraphFont"/>
    <w:link w:val="Quote"/>
    <w:uiPriority w:val="29"/>
    <w:rsid w:val="004E57DA"/>
    <w:rPr>
      <w:i/>
      <w:iCs/>
      <w:color w:val="404040" w:themeColor="text1" w:themeTint="BF"/>
    </w:rPr>
  </w:style>
  <w:style w:type="paragraph" w:styleId="ListParagraph">
    <w:name w:val="List Paragraph"/>
    <w:basedOn w:val="Normal"/>
    <w:uiPriority w:val="34"/>
    <w:qFormat/>
    <w:rsid w:val="004E57DA"/>
    <w:pPr>
      <w:ind w:left="720"/>
      <w:contextualSpacing/>
    </w:pPr>
  </w:style>
  <w:style w:type="character" w:styleId="IntenseEmphasis">
    <w:name w:val="Intense Emphasis"/>
    <w:basedOn w:val="DefaultParagraphFont"/>
    <w:uiPriority w:val="21"/>
    <w:qFormat/>
    <w:rsid w:val="004E57DA"/>
    <w:rPr>
      <w:i/>
      <w:iCs/>
      <w:color w:val="0F4761" w:themeColor="accent1" w:themeShade="BF"/>
    </w:rPr>
  </w:style>
  <w:style w:type="paragraph" w:styleId="IntenseQuote">
    <w:name w:val="Intense Quote"/>
    <w:basedOn w:val="Normal"/>
    <w:next w:val="Normal"/>
    <w:link w:val="IntenseQuoteChar"/>
    <w:uiPriority w:val="30"/>
    <w:qFormat/>
    <w:rsid w:val="004E5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7DA"/>
    <w:rPr>
      <w:i/>
      <w:iCs/>
      <w:color w:val="0F4761" w:themeColor="accent1" w:themeShade="BF"/>
    </w:rPr>
  </w:style>
  <w:style w:type="character" w:styleId="IntenseReference">
    <w:name w:val="Intense Reference"/>
    <w:basedOn w:val="DefaultParagraphFont"/>
    <w:uiPriority w:val="32"/>
    <w:qFormat/>
    <w:rsid w:val="004E57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1667</Characters>
  <Application>Microsoft Office Word</Application>
  <DocSecurity>0</DocSecurity>
  <Lines>13</Lines>
  <Paragraphs>3</Paragraphs>
  <ScaleCrop>false</ScaleCrop>
  <Company>Springer Nature</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2026-10-21T08:29:00Z</dcterms:created>
  <dcterms:modified xsi:type="dcterms:W3CDTF">2026-10-21T08:29:00Z</dcterms:modified>
</cp:coreProperties>
</file>