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60624">
      <w:pPr>
        <w:rPr>
          <w:rFonts w:hint="default" w:ascii="Times New Roman" w:hAnsi="Times New Roman" w:eastAsia="宋体" w:cs="Times New Roman"/>
          <w:b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Table 1. Clinical background and selected antimicrobial susceptibility characteristics of LS01, AB5075 and XH386.</w:t>
      </w:r>
    </w:p>
    <w:tbl>
      <w:tblPr>
        <w:tblW w:w="5000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30"/>
        <w:gridCol w:w="4435"/>
        <w:gridCol w:w="4244"/>
        <w:gridCol w:w="3039"/>
      </w:tblGrid>
      <w:tr w14:paraId="51F16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813" w:type="pct"/>
            <w:shd w:val="clear"/>
            <w:vAlign w:val="center"/>
          </w:tcPr>
          <w:p w14:paraId="777776C6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Characteristic</w:t>
            </w:r>
          </w:p>
        </w:tc>
        <w:tc>
          <w:tcPr>
            <w:tcW w:w="1567" w:type="pct"/>
            <w:shd w:val="clear"/>
            <w:vAlign w:val="center"/>
          </w:tcPr>
          <w:p w14:paraId="2C578F17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LS01</w:t>
            </w:r>
          </w:p>
        </w:tc>
        <w:tc>
          <w:tcPr>
            <w:tcW w:w="1499" w:type="pct"/>
            <w:shd w:val="clear"/>
            <w:vAlign w:val="center"/>
          </w:tcPr>
          <w:p w14:paraId="581E0BA5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AB5075</w:t>
            </w:r>
          </w:p>
        </w:tc>
        <w:tc>
          <w:tcPr>
            <w:tcW w:w="1065" w:type="pct"/>
            <w:shd w:val="clear"/>
            <w:vAlign w:val="center"/>
          </w:tcPr>
          <w:p w14:paraId="3150014D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XH386</w:t>
            </w:r>
          </w:p>
        </w:tc>
      </w:tr>
      <w:tr w14:paraId="7AFA0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813" w:type="pct"/>
            <w:shd w:val="clear"/>
            <w:vAlign w:val="center"/>
          </w:tcPr>
          <w:p w14:paraId="27A83793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Strain background</w:t>
            </w:r>
          </w:p>
        </w:tc>
        <w:tc>
          <w:tcPr>
            <w:tcW w:w="1567" w:type="pct"/>
            <w:shd w:val="clear"/>
            <w:vAlign w:val="center"/>
          </w:tcPr>
          <w:p w14:paraId="3394EFD7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Community-acquired pneumonia bloodstream isolate</w:t>
            </w:r>
          </w:p>
        </w:tc>
        <w:tc>
          <w:tcPr>
            <w:tcW w:w="1499" w:type="pct"/>
            <w:shd w:val="clear"/>
            <w:vAlign w:val="center"/>
          </w:tcPr>
          <w:p w14:paraId="3679CEA9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MDR clinical isolate and experimental reference strain</w:t>
            </w:r>
          </w:p>
        </w:tc>
        <w:tc>
          <w:tcPr>
            <w:tcW w:w="1065" w:type="pct"/>
            <w:shd w:val="clear"/>
            <w:vAlign w:val="center"/>
          </w:tcPr>
          <w:p w14:paraId="0DC7318F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ST208 MDR pediatric clinical isolate</w:t>
            </w:r>
          </w:p>
        </w:tc>
      </w:tr>
      <w:tr w14:paraId="558C1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813" w:type="pct"/>
            <w:shd w:val="clear"/>
            <w:vAlign w:val="center"/>
          </w:tcPr>
          <w:p w14:paraId="1F96E6FD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Clinical context</w:t>
            </w:r>
          </w:p>
        </w:tc>
        <w:tc>
          <w:tcPr>
            <w:tcW w:w="1567" w:type="pct"/>
            <w:shd w:val="clear"/>
            <w:vAlign w:val="center"/>
          </w:tcPr>
          <w:p w14:paraId="2BD13547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Severe community-acquired pneumonia</w:t>
            </w:r>
          </w:p>
        </w:tc>
        <w:tc>
          <w:tcPr>
            <w:tcW w:w="1499" w:type="pct"/>
            <w:shd w:val="clear"/>
            <w:vAlign w:val="center"/>
          </w:tcPr>
          <w:p w14:paraId="4F51A56D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Tibial osteomyelitis</w:t>
            </w:r>
          </w:p>
        </w:tc>
        <w:tc>
          <w:tcPr>
            <w:tcW w:w="1065" w:type="pct"/>
            <w:shd w:val="clear"/>
            <w:vAlign w:val="center"/>
          </w:tcPr>
          <w:p w14:paraId="52D38CD4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Acute bronchopneumonia</w:t>
            </w:r>
          </w:p>
        </w:tc>
      </w:tr>
      <w:tr w14:paraId="6A7C4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813" w:type="pct"/>
            <w:shd w:val="clear"/>
            <w:vAlign w:val="center"/>
          </w:tcPr>
          <w:p w14:paraId="5788939E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Antimicrobial phenotype</w:t>
            </w:r>
          </w:p>
        </w:tc>
        <w:tc>
          <w:tcPr>
            <w:tcW w:w="1567" w:type="pct"/>
            <w:shd w:val="clear"/>
            <w:vAlign w:val="center"/>
          </w:tcPr>
          <w:p w14:paraId="040D6449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Broadly susceptible</w:t>
            </w:r>
          </w:p>
        </w:tc>
        <w:tc>
          <w:tcPr>
            <w:tcW w:w="1499" w:type="pct"/>
            <w:shd w:val="clear"/>
            <w:vAlign w:val="center"/>
          </w:tcPr>
          <w:p w14:paraId="03B18DB6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MDR/CRAB</w:t>
            </w:r>
          </w:p>
        </w:tc>
        <w:tc>
          <w:tcPr>
            <w:tcW w:w="1065" w:type="pct"/>
            <w:shd w:val="clear"/>
            <w:vAlign w:val="center"/>
          </w:tcPr>
          <w:p w14:paraId="78EA0067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MDR/CRAB</w:t>
            </w:r>
          </w:p>
        </w:tc>
      </w:tr>
      <w:tr w14:paraId="58E92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813" w:type="pct"/>
            <w:shd w:val="clear"/>
            <w:vAlign w:val="center"/>
          </w:tcPr>
          <w:p w14:paraId="41A87CD6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Meropenem MIC, mg/L</w:t>
            </w:r>
          </w:p>
        </w:tc>
        <w:tc>
          <w:tcPr>
            <w:tcW w:w="1567" w:type="pct"/>
            <w:shd w:val="clear"/>
            <w:vAlign w:val="center"/>
          </w:tcPr>
          <w:p w14:paraId="7F58AF6B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0.25</w:t>
            </w:r>
          </w:p>
        </w:tc>
        <w:tc>
          <w:tcPr>
            <w:tcW w:w="1499" w:type="pct"/>
            <w:shd w:val="clear"/>
            <w:vAlign w:val="center"/>
          </w:tcPr>
          <w:p w14:paraId="14DED35D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64</w:t>
            </w:r>
          </w:p>
        </w:tc>
        <w:tc>
          <w:tcPr>
            <w:tcW w:w="1065" w:type="pct"/>
            <w:shd w:val="clear"/>
            <w:vAlign w:val="center"/>
          </w:tcPr>
          <w:p w14:paraId="27C90929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≥16</w:t>
            </w:r>
          </w:p>
        </w:tc>
      </w:tr>
      <w:tr w14:paraId="3109F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813" w:type="pct"/>
            <w:shd w:val="clear"/>
            <w:vAlign w:val="center"/>
          </w:tcPr>
          <w:p w14:paraId="60D3EEE5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Imipenem MIC, mg/L</w:t>
            </w:r>
          </w:p>
        </w:tc>
        <w:tc>
          <w:tcPr>
            <w:tcW w:w="1567" w:type="pct"/>
            <w:shd w:val="clear"/>
            <w:vAlign w:val="center"/>
          </w:tcPr>
          <w:p w14:paraId="49F72577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0.25</w:t>
            </w:r>
          </w:p>
        </w:tc>
        <w:tc>
          <w:tcPr>
            <w:tcW w:w="1499" w:type="pct"/>
            <w:shd w:val="clear"/>
            <w:vAlign w:val="center"/>
          </w:tcPr>
          <w:p w14:paraId="03D17232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32</w:t>
            </w:r>
          </w:p>
        </w:tc>
        <w:tc>
          <w:tcPr>
            <w:tcW w:w="1065" w:type="pct"/>
            <w:shd w:val="clear"/>
            <w:vAlign w:val="center"/>
          </w:tcPr>
          <w:p w14:paraId="7DEDC36B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≥16</w:t>
            </w:r>
          </w:p>
        </w:tc>
      </w:tr>
      <w:tr w14:paraId="78077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813" w:type="pct"/>
            <w:shd w:val="clear"/>
            <w:vAlign w:val="center"/>
          </w:tcPr>
          <w:p w14:paraId="15CD5D55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Colistin MIC, mg/L</w:t>
            </w:r>
          </w:p>
        </w:tc>
        <w:tc>
          <w:tcPr>
            <w:tcW w:w="1567" w:type="pct"/>
            <w:shd w:val="clear"/>
            <w:vAlign w:val="center"/>
          </w:tcPr>
          <w:p w14:paraId="2D2691EE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0.25</w:t>
            </w:r>
          </w:p>
        </w:tc>
        <w:tc>
          <w:tcPr>
            <w:tcW w:w="1499" w:type="pct"/>
            <w:shd w:val="clear"/>
            <w:vAlign w:val="center"/>
          </w:tcPr>
          <w:p w14:paraId="1B97909C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0.50</w:t>
            </w:r>
          </w:p>
        </w:tc>
        <w:tc>
          <w:tcPr>
            <w:tcW w:w="1065" w:type="pct"/>
            <w:shd w:val="clear"/>
            <w:vAlign w:val="center"/>
          </w:tcPr>
          <w:p w14:paraId="22034F91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0.25</w:t>
            </w:r>
          </w:p>
        </w:tc>
      </w:tr>
      <w:tr w14:paraId="75D8D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813" w:type="pct"/>
            <w:shd w:val="clear"/>
            <w:vAlign w:val="center"/>
          </w:tcPr>
          <w:p w14:paraId="34C92E97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Genome sequence accession</w:t>
            </w:r>
          </w:p>
        </w:tc>
        <w:tc>
          <w:tcPr>
            <w:tcW w:w="1567" w:type="pct"/>
            <w:shd w:val="clear"/>
            <w:vAlign w:val="center"/>
          </w:tcPr>
          <w:p w14:paraId="043B8167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Newly generated in this study; public accession pending</w:t>
            </w:r>
          </w:p>
        </w:tc>
        <w:tc>
          <w:tcPr>
            <w:tcW w:w="1499" w:type="pct"/>
            <w:shd w:val="clear"/>
            <w:vAlign w:val="center"/>
          </w:tcPr>
          <w:p w14:paraId="6DEA0820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CP008706.1</w:t>
            </w:r>
          </w:p>
        </w:tc>
        <w:tc>
          <w:tcPr>
            <w:tcW w:w="1065" w:type="pct"/>
            <w:shd w:val="clear"/>
            <w:vAlign w:val="center"/>
          </w:tcPr>
          <w:p w14:paraId="018585A0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CP010779.1; CP010780.1</w:t>
            </w:r>
          </w:p>
        </w:tc>
      </w:tr>
      <w:tr w14:paraId="29F95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813" w:type="pct"/>
            <w:shd w:val="clear"/>
            <w:vAlign w:val="center"/>
          </w:tcPr>
          <w:p w14:paraId="0DFA8CBA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Reference</w:t>
            </w:r>
          </w:p>
        </w:tc>
        <w:tc>
          <w:tcPr>
            <w:tcW w:w="1567" w:type="pct"/>
            <w:shd w:val="clear"/>
            <w:vAlign w:val="center"/>
          </w:tcPr>
          <w:p w14:paraId="2F1C8BC4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[26]</w:t>
            </w:r>
          </w:p>
        </w:tc>
        <w:tc>
          <w:tcPr>
            <w:tcW w:w="1499" w:type="pct"/>
            <w:shd w:val="clear"/>
            <w:vAlign w:val="center"/>
          </w:tcPr>
          <w:p w14:paraId="2291A2ED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[27]</w:t>
            </w:r>
          </w:p>
        </w:tc>
        <w:tc>
          <w:tcPr>
            <w:tcW w:w="1065" w:type="pct"/>
            <w:shd w:val="clear"/>
            <w:vAlign w:val="center"/>
          </w:tcPr>
          <w:p w14:paraId="72E2E105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[28]</w:t>
            </w:r>
          </w:p>
        </w:tc>
      </w:tr>
    </w:tbl>
    <w:p w14:paraId="53BECA85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Style w:val="6"/>
          <w:rFonts w:hint="default" w:ascii="Times New Roman" w:hAnsi="Times New Roman" w:eastAsia="宋体" w:cs="Times New Roman"/>
          <w:sz w:val="21"/>
          <w:szCs w:val="21"/>
        </w:rPr>
        <w:t>Complete MIC profiles are provided in Supplementary Table S1. Tigecycline MICs are reported without categorical interpretation because species-specific CLSI or FDA susceptibility breakpoints have not been established for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A. baumannii. </w:t>
      </w:r>
      <w:r>
        <w:rPr>
          <w:rStyle w:val="6"/>
          <w:rFonts w:hint="default" w:ascii="Times New Roman" w:hAnsi="Times New Roman" w:eastAsia="宋体" w:cs="Times New Roman"/>
          <w:sz w:val="21"/>
          <w:szCs w:val="21"/>
        </w:rPr>
        <w:t>MDR, multidrug resistant; CRAB, carbapenem-resistant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A. baumannii.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1B63E4"/>
    <w:rsid w:val="1D1B63E4"/>
    <w:rsid w:val="31F414A9"/>
    <w:rsid w:val="33880C9F"/>
    <w:rsid w:val="3E2E7DF4"/>
    <w:rsid w:val="418F0A4C"/>
    <w:rsid w:val="489F7B45"/>
    <w:rsid w:val="509F13D7"/>
    <w:rsid w:val="673E3D35"/>
    <w:rsid w:val="6A07763B"/>
    <w:rsid w:val="6F6A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809</Characters>
  <Lines>0</Lines>
  <Paragraphs>0</Paragraphs>
  <TotalTime>9</TotalTime>
  <ScaleCrop>false</ScaleCrop>
  <LinksUpToDate>false</LinksUpToDate>
  <CharactersWithSpaces>887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2026-09-21T12:24:00Z</dcterms:created>
  <dc:creator>朱悦</dc:creator>
  <cp:lastModifiedBy>朱悦</cp:lastModifiedBy>
  <dcterms:modified xsi:type="dcterms:W3CDTF">2026-10-04T16:07:30Z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3557735D161F4E16AD9030F0C164E043_11</vt:lpwstr>
  </property>
  <property fmtid="{D5CDD505-2E9C-101B-9397-08002B2CF9AE}" pid="4" name="KSOTemplateDocerSaveRecord">
    <vt:lpwstr>eyJoZGlkIjoiOWZkOWUzYjBiYTU2NzhiNTFmODQxZDRjM2UwYmYyMDEiLCJ1c2VySWQiOiIxNjQwMjYxMjgxIn0=</vt:lpwstr>
  </property>
</Properties>
</file>