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S1. Frozen cohort, marker, phenotype, endpoint, and validation definitions.</w:t>
      </w:r>
    </w:p>
    <w:tbl xmlns:a="http://schemas.openxmlformats.org/drawingml/2006/main" xmlns:pic="http://schemas.openxmlformats.org/drawingml/2006/picture">
      <w:tblPr>
        <w:tblLayout w:type="fixed"/>
        <w:jc w:val="center"/>
        <w:tblLook w:firstRow="1" w:lastRow="0" w:firstColumn="0" w:lastColumn="0" w:noHBand="0" w:noVBand="1"/>
      </w:tblPr>
      <w:tblGrid>
        <w:gridCol w:w="2232"/>
        <w:gridCol w:w="2952"/>
        <w:gridCol w:w="2808"/>
        <w:gridCol w:w="7128"/>
      </w:tblGrid>
      <w:tr>
        <w:trPr>
          <w:trHeight w:val="427"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Domain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Source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Window</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Operational definition</w:t>
            </w:r>
          </w:p>
        </w:tc>
      </w:tr>
      <w:tr>
        <w:trPr>
          <w:trHeight w:val="387"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Acute pancreatitis eligibility</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MIMIC-IV diagnoses_icd</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Hospital admission</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ICD-9 5770 or ICD-10 K85* on the linked admission; primary-diagnosis sensitivity retained seq_num=1.</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Index ICU stay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MIMIC-IV icustays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First eligible AP ICU stay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First AP ICU hospitalization per patient, adult, ICU admission within 0–24 h of hospital admission.</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24-hour landmark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timestamps/death linkage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 h after ICU admission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Patient alive and still in the ICU at 24 h; early ICU death/discharge excluded from the landmark estimand.</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Cumulative fluid burden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inputevents + outputevents + dialysis output audit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0–24 h in four 6-h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Cumulative measured input minus audited output, including dialysis output, divided by admission weight (mL/kg).</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Vasopressor intensity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inputevents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0–24 h in four 6-h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Time-weighted norepinephrine-equivalent dose: norepinephrine + epinephrine + phenylephrine/10 + dopamine/100 + vasopressin (U/min)×2.5; no vasopressor event coded 0 after interface verification.</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response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labevents item 50813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0–24 h in four 6-h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Median mmol/L within each bin; unmeasured bins retained as missing and modeled through observation likelihood.</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Trajectory model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Three-marker 2-part joint finite mixture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0–24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Gaussian fluid and observed-lactate components plus Bernoulli pressor use and conditional Gaussian positive-dose component; K=3 linear model frozen before outcomes.</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P1 phenotype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Frozen K3 class 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Frozen after outcome-blind modeling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Low cumulative fluid burden, low lactate, and low vasopressor burden.</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phenotype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Frozen K3 class 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Frozen after outcome-blind modeling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Predominantly rising cumulative fluid burden with declining lactate and little vasopressor exposure.</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phenotype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Frozen K3 class 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Frozen after outcome-blind modeling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High cumulative fluid burden, persistent vasopressor exposure/intensity, and high lactate.</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Organ-support states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Vasopressors, invasive ventilation, and RRT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 h to ICU discharge/death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 single, or multiple concurrent supports; alive ICU discharge and ICU death were absorbing states.</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Escalation/de-escalation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6-hour state episodes after landmark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 h to ICU discharge/death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Movement to a higher/lower concurrent-support count; exact transitions stratified in Cox models.</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outtime/status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After 24-h landmark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discharge without death at/before outtime.</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Death before or at ICU outtime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After 24-h landmark</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Death occurring before or at ICU outtime.</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adjustment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Baseline/prior encounter variables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Before/at ICU admission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Age, sex, prior Charlson score, primary AP diagnosis, emergency/urgent admission, initial MAP, baseline BUN, ICU delay, and the actual MIMIC-IV calendar-period group.</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Missing covariates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MAP and BUN only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Patient-level MI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Twenty chained-equation imputations using predictive mean matching; complete-case analysis was prespecified.</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Temporal validation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MIMIC-III CareVue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Same 0–24 h definition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Frozen MIMIC-IV parameters applied to CareVue; interpreted as same-center historical/temporal transport.</w:t>
            </w:r>
          </w:p>
        </w:tc>
      </w:tr>
      <w:tr>
        <w:trPr>
          <w:trHeight w:val="402"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Multicenter transportability</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eICU-CRD screened hospitals</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Same 0–24 h definition where quantifiable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Hospitals screened for infusion-interface completeness; unrecoverable mL/h drug rates were not converted to NEE; interpreted as partial structural transport only.</w:t>
            </w:r>
          </w:p>
        </w:tc>
      </w:tr>
      <w:tr>
        <w:trPr>
          <w:trHeight w:val="360" w:hRule="auto"/>
        </w:trPr>
        <w:tc>
          <w:tcPr>
            <w:gridSpan w:val="4"/>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NEE, norepinephrine-equivalent dose; MI, multiple imputation; RRT, renal replacement therapy.</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S2A. Candidate trajectory-model fit and classification quality.</w:t>
      </w:r>
    </w:p>
    <w:tbl xmlns:a="http://schemas.openxmlformats.org/drawingml/2006/main" xmlns:pic="http://schemas.openxmlformats.org/drawingml/2006/picture">
      <w:tblPr>
        <w:tblLayout w:type="fixed"/>
        <w:jc w:val="center"/>
        <w:tblLook w:firstRow="1" w:lastRow="0" w:firstColumn="0" w:lastColumn="0" w:noHBand="0" w:noVBand="1"/>
      </w:tblPr>
      <w:tblGrid>
        <w:gridCol w:w="1235"/>
        <w:gridCol w:w="1051"/>
        <w:gridCol w:w="1091"/>
        <w:gridCol w:w="1720"/>
        <w:gridCol w:w="1264"/>
        <w:gridCol w:w="1222"/>
        <w:gridCol w:w="1036"/>
      </w:tblGrid>
      <w:tr>
        <w:trPr>
          <w:trHeight w:val="436"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Model</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BIC</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Entropy</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Minimum class,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Mean APPA</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Admissible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Selected</w:t>
            </w:r>
          </w:p>
        </w:tc>
      </w:tr>
      <w:tr>
        <w:trPr>
          <w:trHeight w:val="397"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K4, degree 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11,661.24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0.9344897</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9.913043</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0.9638238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False</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w:t>
            </w:r>
          </w:p>
        </w:tc>
      </w:tr>
      <w:tr>
        <w:trPr>
          <w:trHeight w:val="39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K4, degree 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11,687.93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0.9371793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10.260870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0.9647137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True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w:t>
            </w:r>
          </w:p>
        </w:tc>
      </w:tr>
      <w:tr>
        <w:trPr>
          <w:trHeight w:val="39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K3, degree 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12,024.17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0.9294355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24.000000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0.9699974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True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Yes</w:t>
            </w:r>
          </w:p>
        </w:tc>
      </w:tr>
      <w:tr>
        <w:trPr>
          <w:trHeight w:val="39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K3, degree 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12,036.42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0.9296031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26.956522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0.9685922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True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w:t>
            </w:r>
          </w:p>
        </w:tc>
      </w:tr>
      <w:tr>
        <w:trPr>
          <w:trHeight w:val="39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K2, degree 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13,129.06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0.9531240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29.217391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0.9862796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True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w:t>
            </w:r>
          </w:p>
        </w:tc>
      </w:tr>
      <w:tr>
        <w:trPr>
          <w:trHeight w:val="412"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K2, degree 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13,144.26</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0.9621469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29.391304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0.9903050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True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w:t>
            </w:r>
          </w:p>
        </w:tc>
      </w:tr>
      <w:tr>
        <w:trPr>
          <w:trHeight w:val="360" w:hRule="auto"/>
        </w:trPr>
        <w:tc>
          <w:tcPr>
            <w:gridSpan w:val="7"/>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Lower BIC is favored, but admissibility, minimum class size, stability, and interpretability were prespecified co-criteria.</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S2B. Patient-level bootstrap and lactate-density stability.</w:t>
      </w:r>
    </w:p>
    <w:tbl xmlns:a="http://schemas.openxmlformats.org/drawingml/2006/main" xmlns:pic="http://schemas.openxmlformats.org/drawingml/2006/picture">
      <w:tblPr>
        <w:tblLayout w:type="fixed"/>
        <w:jc w:val="center"/>
        <w:tblLook w:firstRow="1" w:lastRow="0" w:firstColumn="0" w:lastColumn="0" w:noHBand="0" w:noVBand="1"/>
      </w:tblPr>
      <w:tblGrid>
        <w:gridCol w:w="838"/>
        <w:gridCol w:w="1949"/>
        <w:gridCol w:w="1595"/>
        <w:gridCol w:w="2047"/>
        <w:gridCol w:w="2640"/>
        <w:gridCol w:w="1628"/>
        <w:gridCol w:w="1669"/>
        <w:gridCol w:w="1332"/>
      </w:tblGrid>
      <w:tr>
        <w:trPr>
          <w:trHeight w:val="432"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Model</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Bootstrap success,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Median OOB ARI</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5th percentile OOB ARI</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Median minimum-class Jaccard</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Serial-lactate ARI</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Dense-lactate ARI</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Stability gate</w:t>
            </w:r>
          </w:p>
        </w:tc>
      </w:tr>
      <w:tr>
        <w:trPr>
          <w:trHeight w:val="392"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K3_d1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0.8737405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0.6610424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0.9144361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0.8141267</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0.7173992</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PASS</w:t>
            </w:r>
          </w:p>
        </w:tc>
      </w:tr>
      <w:tr>
        <w:trPr>
          <w:trHeight w:val="407"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K4_d2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0.7655575</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0.4379099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0.6478537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0.7086472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0.5832690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FAIL</w:t>
            </w:r>
          </w:p>
        </w:tc>
      </w:tr>
      <w:tr>
        <w:trPr>
          <w:trHeight w:val="360" w:hRule="auto"/>
        </w:trPr>
        <w:tc>
          <w:tcPr>
            <w:gridSpan w:val="8"/>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ARI, adjusted Rand index; APPA, average posterior probability of assignment; OOB, out-of-bag.</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S3A. Time-bin marker completeness across lactate-density cohorts.</w:t>
      </w:r>
    </w:p>
    <w:tbl xmlns:a="http://schemas.openxmlformats.org/drawingml/2006/main" xmlns:pic="http://schemas.openxmlformats.org/drawingml/2006/picture">
      <w:tblPr>
        <w:tblLayout w:type="fixed"/>
        <w:jc w:val="center"/>
        <w:tblLook w:firstRow="1" w:lastRow="0" w:firstColumn="0" w:lastColumn="0" w:noHBand="0" w:noVBand="1"/>
      </w:tblPr>
      <w:tblGrid>
        <w:gridCol w:w="1857"/>
        <w:gridCol w:w="2099"/>
        <w:gridCol w:w="986"/>
        <w:gridCol w:w="1414"/>
        <w:gridCol w:w="1093"/>
        <w:gridCol w:w="962"/>
        <w:gridCol w:w="1175"/>
        <w:gridCol w:w="921"/>
        <w:gridCol w:w="761"/>
        <w:gridCol w:w="761"/>
      </w:tblGrid>
      <w:tr>
        <w:trPr>
          <w:trHeight w:val="432"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Cohort</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Marker</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Patients</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Time-bin rows</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Observed</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Missing</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Missing,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Median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Q1</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Q3</w:t>
            </w:r>
          </w:p>
        </w:tc>
      </w:tr>
      <w:tr>
        <w:trPr>
          <w:trHeight w:val="392"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(≥1 lactate bin)</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Cumulative net fluid, mL/kg</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575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2,300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2,300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22.78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6.18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48.50</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(≥1 lactate bin)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NEE, µg/kg/min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0.03</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(≥1 lactate bin)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mmol/L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3.30</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Serial lactate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Cumulative net fluid, mL/kg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29.92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59.01</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Serial lactate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NEE, µg/kg/min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0.08</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Serial lactate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mmol/L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1,488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3.55</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Dense lactate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Cumulative net fluid, mL/kg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38.71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69.80</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Dense lactate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NEE, µg/kg/min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0.15</w:t>
            </w:r>
          </w:p>
        </w:tc>
      </w:tr>
      <w:tr>
        <w:trPr>
          <w:trHeight w:val="407"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Dense lactate (≥3 bins)</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mmol/L</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223</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892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791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11.3</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2.60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1.60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4.10</w:t>
            </w:r>
          </w:p>
        </w:tc>
      </w:tr>
      <w:tr>
        <w:trPr>
          <w:trHeight w:val="360" w:hRule="auto"/>
        </w:trPr>
        <w:tc>
          <w:tcPr>
            <w:gridSpan w:val="10"/>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Lactate missingness was retained; unmeasured bins were not imputed as normal.</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S3B. Informative lactate measurement intensity and severity markers.</w:t>
      </w:r>
    </w:p>
    <w:tbl xmlns:a="http://schemas.openxmlformats.org/drawingml/2006/main" xmlns:pic="http://schemas.openxmlformats.org/drawingml/2006/picture">
      <w:tblPr>
        <w:tblLayout w:type="fixed"/>
        <w:jc w:val="center"/>
        <w:tblLook w:firstRow="1" w:lastRow="0" w:firstColumn="0" w:lastColumn="0" w:noHBand="0" w:noVBand="1"/>
      </w:tblPr>
      <w:tblGrid>
        <w:gridCol w:w="1949"/>
        <w:gridCol w:w="644"/>
        <w:gridCol w:w="1751"/>
        <w:gridCol w:w="2516"/>
        <w:gridCol w:w="1545"/>
        <w:gridCol w:w="1874"/>
        <w:gridCol w:w="2163"/>
      </w:tblGrid>
      <w:tr>
        <w:trPr>
          <w:trHeight w:val="432"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Observed lactate bins</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Vasopressor,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Multiple support at 24 h,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ICU death,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Hospital death,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Median maximum lactate</w:t>
            </w:r>
          </w:p>
        </w:tc>
      </w:tr>
      <w:tr>
        <w:trPr>
          <w:trHeight w:val="392"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203</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36 (17.7%)</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16 (7.9%)</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 (2.0%)</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 (7.4%)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51 (34.2%)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 (13.4%)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7 (4.7%)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 (7.4%)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47 (46.5%)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32 (31.7%)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 (11.9%)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17 (16.8%)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2.7</w:t>
            </w:r>
          </w:p>
        </w:tc>
      </w:tr>
      <w:tr>
        <w:trPr>
          <w:trHeight w:val="407"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84 (68.9%)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64 (52.5%)</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25 (20.5%)</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32 (26.2%)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4.4</w:t>
            </w:r>
          </w:p>
        </w:tc>
      </w:tr>
      <w:tr>
        <w:trPr>
          <w:trHeight w:val="360" w:hRule="auto"/>
        </w:trPr>
        <w:tc>
          <w:tcPr>
            <w:gridSpan w:val="7"/>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Observed lactate-bin count is associated with severity and outcomes, supporting explicit missingness sensitivity analyses.</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S4. Complete primary and sensitivity estimates for grouped post-landmark transitions.</w:t>
      </w:r>
    </w:p>
    <w:tbl xmlns:a="http://schemas.openxmlformats.org/drawingml/2006/main" xmlns:pic="http://schemas.openxmlformats.org/drawingml/2006/picture">
      <w:tblPr>
        <w:tblLayout w:type="fixed"/>
        <w:jc w:val="center"/>
        <w:tblLook w:firstRow="1" w:lastRow="0" w:firstColumn="0" w:lastColumn="0" w:noHBand="0" w:noVBand="1"/>
      </w:tblPr>
      <w:tblGrid>
        <w:gridCol w:w="2376"/>
        <w:gridCol w:w="1080"/>
        <w:gridCol w:w="2520"/>
        <w:gridCol w:w="1584"/>
        <w:gridCol w:w="936"/>
        <w:gridCol w:w="1800"/>
        <w:gridCol w:w="4680"/>
      </w:tblGrid>
      <w:tr>
        <w:trPr>
          <w:trHeight w:val="427"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Analysis</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Contrast</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Outcome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HR (95% CI)</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P value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Exposed/reference events</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Note</w:t>
            </w:r>
          </w:p>
        </w:tc>
      </w:tr>
      <w:tr>
        <w:trPr>
          <w:trHeight w:val="387"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adjusted MI</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0.86 (0.57–1.32)</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0.499</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adjusted MI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1.80 (1.22–2.65)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adjusted MI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0.78 (0.57–1.06)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adjusted MI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1.01 (0.77–1.31)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adjusted MI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0.91 (0.75–1.11)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adjusted MI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 (0.55–0.84)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adjusted MI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1.81 (0.73–4.51)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adjusted MI</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1.95 (0.86–4.42)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Unadjusted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0.82 (0.54–1.24)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Unadjusted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1.79 (1.22–2.64)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Unadjusted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0.75 (0.56–1.01)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Unadjusted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0.98 (0.75–1.29)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Unadjusted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0.89 (0.74–1.07)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Unadjusted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0.70 (0.58–0.86)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Unadjusted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1.75 (0.71–4.31)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Unadjusted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1.91 (0.85–4.29)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Complete case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0.86 (0.55–1.33)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Complete case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1.74 (1.16–2.61)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Complete case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0.77 (0.57–1.05)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Complete case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1.00 (0.76–1.32)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Complete case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0.94 (0.77–1.16)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Complete case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0.71 (0.56–0.90)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Complete case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1.47 (0.59–3.70)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Complete case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1.96 (0.86–4.49)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Time-varying age/Charlson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0.86 (0.56–1.31)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Time-varying age/Charlson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1.81 (1.24–2.67)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Time-varying age/Charlson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0.78 (0.57–1.07)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Time-varying age/Charlson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1.02 (0.78–1.32)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Time-varying age/Charlson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0.92 (0.76–1.11)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Time-varying age/Charlson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 (0.55–0.84)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Time-varying age/Charlson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1.81 (0.72–4.56)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Time-varying age/Charlson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1.97 (0.86–4.48)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pseudo-class (100 draws)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0.89 (0.58–1.38)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pseudo-class (100 draws)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1.84 (1.24–2.75)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pseudo-class (100 draws)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0.79 (0.58–1.08)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pseudo-class (100 draws)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1.04 (0.79–1.36)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pseudo-class (100 draws)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0.90 (0.74–1.10)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pseudo-class (100 draws)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 (0.55–0.85)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pseudo-class (100 draws)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1.83 (0.73–4.60)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pseudo-class (100 draws)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2.02 (0.88–4.60)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Early circulatory dysfunction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0.38 (0.20–0.70)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34/78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Early circulatory dysfunction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1.03 (0.67–1.59)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245/78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Early circulatory dysfunction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0.62 (0.41–0.93)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60/131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Early circulatory dysfunction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0.89 (0.65–1.22)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399/131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Early circulatory dysfunction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0.89 (0.62–1.28)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63/63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Early circulatory dysfunction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0.75 (0.55–1.01)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106/63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Early circulatory dysfunction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2.58 (0.61–10.85)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Sparse: &lt;5 events in ≥1 group</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Early circulatory dysfunction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2.95 (1.04–8.41)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Sparse: &lt;5 events in ≥1 group</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Strict shock-like subgroup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0.33 (0.12–0.94)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7/24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Strict shock-like subgroup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0.97 (0.55–1.71)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199/24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Strict shock-like subgroup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1.00 (0.52–1.89)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Strict shock-like subgroup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0.99 (0.65–1.49)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319/38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Strict shock-like subgroup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0.88 (0.38–2.06)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Strict shock-like subgroup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0.77 (0.41–1.43)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79/9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Strict shock-like subgroup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NE: zero events in one comparison group</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Strict shock-like subgroup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3.25 (0.50–21.14)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Sparse: &lt;5 events in ≥1 group</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Primary-diagnosis AP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1.00 (0.45–2.22)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52/23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Primary-diagnosis AP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2.75 (1.17–6.46)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54/23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Primary-diagnosis AP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0.51 (0.28–0.92)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Primary-diagnosis AP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0.65 (0.38–1.11)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77/38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Primary-diagnosis AP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0.85 (0.60–1.20)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94/64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Primary-diagnosis AP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0.70 (0.43–1.14)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Primary-diagnosis AP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1.26 (0.10–15.44)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Sparse: &lt;5 events in ≥1 group</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Primary-diagnosis AP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0.48 (0.01–15.40)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0.678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Sparse: &lt;5 events in ≥1 group</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0.96 (0.59–1.54)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101/82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1.88 (1.23–2.87)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230/82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0.82 (0.57–1.16)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135/136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1.09 (0.81–1.46)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375/136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1.03 (0.79–1.33)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0.847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144/83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0.78 (0.61–1.01)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101/83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1.58 (0.61–4.14)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0.349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≥2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1.56 (0.68–3.58)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0.81 (0.40–1.68)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78/37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1.53 (0.80–2.92)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207/37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0.72 (0.41–1.24)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0.238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93/57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1.22 (0.78–1.91)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328/57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0.92 (0.61–1.39)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80/25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 (0.47–0.98)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81/25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0.99 (0.30–3.26)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Sparse: &lt;5 events in ≥1 group</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Lactate observed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1.28 (0.46–3.53)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Sparse: &lt;5 events in ≥1 group</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delay ≤12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0.85 (0.55–1.31)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106/120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delay ≤12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1.82 (1.23–2.71)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226/120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delay ≤12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0.79 (0.58–1.07)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147/201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delay ≤12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1.00 (0.76–1.30)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365/201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delay ≤12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0.91 (0.75–1.11)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214/180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delay ≤12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 (0.54–0.84)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98/180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delay ≤12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1.63 (0.65–4.12)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delay ≤12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2.08 (0.92–4.70)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documented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0.93 (0.60–1.43)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110/112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documented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1.88 (1.26–2.81)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236/112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documented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0.81 (0.59–1.10)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151/192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documented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1.04 (0.80–1.36)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386/192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documented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0.91 (0.74–1.10)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218/184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documented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0.67 (0.54–0.83)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103/184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documented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1.49 (0.58–3.82)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documented in ≥3 bins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1.84 (0.80–4.23)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 RRT during 0–24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0.98 (0.63–1.53)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106/92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 RRT during 0–24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2.20 (1.42–3.40)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217/92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 RRT during 0–24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0.79 (0.57–1.10)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148/157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 RRT during 0–24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1.05 (0.77–1.43)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354/157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 RRT during 0–24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0.91 (0.75–1.11)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226/176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 RRT during 0–24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0.73 (0.59–0.92)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97/176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 RRT during 0–24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1.27 (0.48–3.36)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No RRT during 0–24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1.51 (0.59–3.87)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0.396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0.91 (0.59–1.40)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109/110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1.91 (1.28–2.86)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239/110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0.79 (0.58–1.09)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146/190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1.04 (0.80–1.37)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0.757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389/190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0.90 (0.73–1.09)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212/176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 (0.54–0.84)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102/176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1.81 (0.72–4.53)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≥0.80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1.96 (0.86–4.45)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0.87 (0.57–1.34)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0.534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103/110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1.88 (1.25–2.83)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231/110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0.77 (0.55–1.06)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136/189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1.07 (0.82–1.39)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0.633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380/189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0.89 (0.73–1.09)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0.262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202/171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0.69 (0.55–0.86)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102/171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1.92 (0.77–4.79)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Posterior probability ≥0.90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2.05 (0.89–4.73)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Input-only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0.77 (0.51–1.17)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105/123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Input-only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1.71 (1.15–2.55)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249/123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Input-only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0.80 (0.59–1.09)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0.154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145/209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Input-only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1.06 (0.80–1.39)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403/209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Input-only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0.88 (0.72–1.07)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209/202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Input-only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0.74 (0.60–0.92)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116/202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Input-only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0.96 (0.39–2.32)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0.922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Input-only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1.34 (0.67–2.69)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29/11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events-only net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0.99 (0.64–1.51)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111/104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events-only net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2.14 (1.44–3.17)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262/104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events-only net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0.73 (0.53–1.01)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150/185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events-only net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0.93 (0.69–1.25)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422/185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events-only net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0.87 (0.72–1.05)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219/197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events-only net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 (0.54–0.84)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111/197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events-only net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1.75 (0.66–4.64)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0.263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Output events-only net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1.80 (0.72–4.50)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Interval rather than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0.53 (0.37–0.77)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160/116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Interval rather than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1.75 (1.20–2.56)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201/116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Interval rather than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0.78 (0.58–1.04)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241/223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Interval rather than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0.89 (0.67–1.18)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293/223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Interval rather than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1.15 (0.92–1.44)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375/87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Interval rather than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0.87 (0.66–1.14)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65/87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Interval rather than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1.54 (0.59–3.99)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0.375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Interval rather than cumulative fluid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3.00 (1.49–6.05)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Last rather than median lactate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0.86 (0.57–1.31)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0.493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111/121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Last rather than median lactate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1.80 (1.22–2.67)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245/121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Last rather than median lactate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0.77 (0.57–1.05)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0.095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152/206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Last rather than median lactate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1.00 (0.77–1.30)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0.990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399/206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Last rather than median lactate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0.90 (0.74–1.10)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0.306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228/192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Last rather than median lactate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 (0.55–0.84)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107/192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Last rather than median lactate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1.81 (0.72–4.51)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Last rather than median lactate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1.95 (0.86–4.42)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0.109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Semi-Markov clock-reset model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0.90 (0.63–1.28)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0.542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111/121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Semi-Markov clock-reset model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Escalation to higher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1.64 (1.23–2.20)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245/121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Semi-Markov clock-reset model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0.80 (0.63–1.01)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0.064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153/205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Semi-Markov clock-reset model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De-escalation to lower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0.95 (0.79–1.14)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399/205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Semi-Markov clock-reset model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0.98 (0.78–1.23)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0.868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228/191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Semi-Markov clock-reset model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0.54 (0.41–0.70)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108/191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Semi-Markov clock-reset model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1.80 (0.67–4.83)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0.246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402"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Semi-Markov clock-reset model</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death</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2.28 (0.97–5.37)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0.059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30/7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20" w:before="2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
            </w:r>
          </w:p>
        </w:tc>
      </w:tr>
      <w:tr>
        <w:trPr>
          <w:trHeight w:val="360" w:hRule="auto"/>
        </w:trPr>
        <w:tc>
          <w:tcPr>
            <w:gridSpan w:val="7"/>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 w:before="10" w:line="240"/>
              <w:ind w:left="100" w:right="100" w:firstLine="0" w:firstLineChars="0"/>
              <w:rPr>
                <w:rFonts w:ascii="Arial" w:hAnsi="Arial" w:eastAsia="Arial" w:cs="Arial"/>
                <w:i w:val="false"/>
                <w:b w:val="false"/>
                <w:u w:val="none"/>
                <w:strike w:val="false"/>
                <w:sz w:val="13"/>
                <w:szCs w:val="13"/>
                <w:color w:val="000000"/>
              </w:rPr>
            </w:pPr>
            <w:r>
              <w:rPr>
                <w:rFonts w:ascii="Arial" w:hAnsi="Arial" w:eastAsia="Arial" w:cs="Arial"/>
                <w:i w:val="false"/>
                <w:b w:val="false"/>
                <w:u w:val="none"/>
                <w:strike w:val="false"/>
                <w:sz w:val="13"/>
                <w:szCs w:val="13"/>
                <w:color w:val="000000"/>
              </w:rPr>
              <w:t xml:space="preserve">Sparse estimates (&lt;5 events in either comparison group) and ICU-death estimates are descriptive rather than confirmatory.</w:t>
            </w:r>
          </w:p>
        </w:tc>
      </w:tr>
      <w:tr>
        <w:trPr>
          <w:trHeight w:val="360" w:hRule="auto"/>
        </w:trPr>
        <w:tc>
          <w:tcPr>
            <w:gridSpan w:val="7"/>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 w:before="10" w:line="240"/>
              <w:ind w:left="100" w:right="100" w:firstLine="0" w:firstLineChars="0"/>
              <w:rPr>
                <w:rFonts w:ascii="Arial" w:hAnsi="Arial" w:eastAsia="Arial" w:cs="Arial"/>
                <w:i w:val="false"/>
                <w:b w:val="false"/>
                <w:u w:val="none"/>
                <w:strike w:val="false"/>
                <w:sz w:val="13"/>
                <w:szCs w:val="13"/>
                <w:color w:val="000000"/>
              </w:rPr>
            </w:pPr>
            <w:r>
              <w:rPr>
                <w:rFonts w:ascii="Arial" w:hAnsi="Arial" w:eastAsia="Arial" w:cs="Arial"/>
                <w:i w:val="false"/>
                <w:b w:val="false"/>
                <w:u w:val="none"/>
                <w:strike w:val="false"/>
                <w:sz w:val="13"/>
                <w:szCs w:val="13"/>
                <w:color w:val="000000"/>
              </w:rPr>
              <w:t xml:space="preserve">Exposed/reference events are shown where recorded by the sensitivity pipeline. NE denotes structurally non-estimable because one comparison group had zero events; no infinite or arbitrary HR was substituted.</w:t>
            </w:r>
          </w:p>
        </w:tc>
      </w:tr>
      <w:tr>
        <w:trPr>
          <w:trHeight w:val="360" w:hRule="auto"/>
        </w:trPr>
        <w:tc>
          <w:tcPr>
            <w:gridSpan w:val="7"/>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 w:before="10" w:line="240"/>
              <w:ind w:left="100" w:right="100" w:firstLine="0" w:firstLineChars="0"/>
              <w:rPr>
                <w:rFonts w:ascii="Arial" w:hAnsi="Arial" w:eastAsia="Arial" w:cs="Arial"/>
                <w:i w:val="false"/>
                <w:b w:val="false"/>
                <w:u w:val="none"/>
                <w:strike w:val="false"/>
                <w:sz w:val="13"/>
                <w:szCs w:val="13"/>
                <w:color w:val="000000"/>
              </w:rPr>
            </w:pPr>
            <w:r>
              <w:rPr>
                <w:rFonts w:ascii="Arial" w:hAnsi="Arial" w:eastAsia="Arial" w:cs="Arial"/>
                <w:i w:val="false"/>
                <w:b w:val="false"/>
                <w:u w:val="none"/>
                <w:strike w:val="false"/>
                <w:sz w:val="13"/>
                <w:szCs w:val="13"/>
                <w:color w:val="000000"/>
              </w:rPr>
              <w:t xml:space="preserve">HRs are grouped-transition cause-specific estimates with stay-level cluster-robust standard errors. The primary adjusted model used 20 imputations and adjusted for age, sex, prior Charlson score, primary AP diagnosis, emergency/urgent admission, initial MAP, baseline BUN, ICU admission delay, and the actual MIMIC-IV calendar-period group.</w:t>
            </w:r>
          </w:p>
        </w:tc>
      </w:tr>
      <w:tr>
        <w:trPr>
          <w:trHeight w:val="360" w:hRule="auto"/>
        </w:trPr>
        <w:tc>
          <w:tcPr>
            <w:gridSpan w:val="7"/>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 w:before="10" w:line="240"/>
              <w:ind w:left="100" w:right="100" w:firstLine="0" w:firstLineChars="0"/>
              <w:rPr>
                <w:rFonts w:ascii="Arial" w:hAnsi="Arial" w:eastAsia="Arial" w:cs="Arial"/>
                <w:i w:val="false"/>
                <w:b w:val="false"/>
                <w:u w:val="none"/>
                <w:strike w:val="false"/>
                <w:sz w:val="13"/>
                <w:szCs w:val="13"/>
                <w:color w:val="000000"/>
              </w:rPr>
            </w:pPr>
            <w:r>
              <w:rPr>
                <w:rFonts w:ascii="Arial" w:hAnsi="Arial" w:eastAsia="Arial" w:cs="Arial"/>
                <w:i w:val="false"/>
                <w:b w:val="false"/>
                <w:u w:val="none"/>
                <w:strike w:val="false"/>
                <w:sz w:val="13"/>
                <w:szCs w:val="13"/>
                <w:color w:val="000000"/>
              </w:rPr>
              <w:t xml:space="preserve">P1 was the reference phenotype. Phenotype labels were frozen; alternative-marker models were aligned outcome-blind.</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S5. Alternative landmark and hospital-to-ICU entry-window analyses.</w:t>
      </w:r>
    </w:p>
    <w:tbl xmlns:a="http://schemas.openxmlformats.org/drawingml/2006/main" xmlns:pic="http://schemas.openxmlformats.org/drawingml/2006/picture">
      <w:tblPr>
        <w:tblLayout w:type="fixed"/>
        <w:jc w:val="center"/>
        <w:tblLook w:firstRow="1" w:lastRow="0" w:firstColumn="0" w:lastColumn="0" w:noHBand="0" w:noVBand="1"/>
      </w:tblPr>
      <w:tblGrid>
        <w:gridCol w:w="2980"/>
        <w:gridCol w:w="3571"/>
        <w:gridCol w:w="1011"/>
        <w:gridCol w:w="1003"/>
        <w:gridCol w:w="1636"/>
        <w:gridCol w:w="922"/>
        <w:gridCol w:w="641"/>
        <w:gridCol w:w="889"/>
      </w:tblGrid>
      <w:tr>
        <w:trPr>
          <w:trHeight w:val="429"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Sensitivity</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Outcome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Contrast</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Measure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Estimate (95% CI)</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P value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Events</w:t>
            </w:r>
          </w:p>
        </w:tc>
      </w:tr>
      <w:tr>
        <w:trPr>
          <w:trHeight w:val="390"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12-hour landmark, partial frozen likelihood</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12h landmark hospital mortality logistic</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OR</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1.35 (0.67–2.76)</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0.403</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589</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87</w:t>
            </w:r>
          </w:p>
        </w:tc>
      </w:tr>
      <w:tr>
        <w:trPr>
          <w:trHeight w:val="39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12-hour landmark, partial frozen likelihood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12h landmark hospital mortality logistic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6.53 (3.42–12.44)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87</w:t>
            </w:r>
          </w:p>
        </w:tc>
      </w:tr>
      <w:tr>
        <w:trPr>
          <w:trHeight w:val="39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12-hour landmark, partial frozen likelihood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12h landmark cause-specific 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0.97 (0.80–1.19)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0.779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530</w:t>
            </w:r>
          </w:p>
        </w:tc>
      </w:tr>
      <w:tr>
        <w:trPr>
          <w:trHeight w:val="39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12-hour landmark, partial frozen likelihood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12h landmark cause-specific 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0.43 (0.34–0.55)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530</w:t>
            </w:r>
          </w:p>
        </w:tc>
      </w:tr>
      <w:tr>
        <w:trPr>
          <w:trHeight w:val="39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Hospital-to-ICU interval expanded to 48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entry &lt;=48h hospital mortality logistic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1.30 (0.65–2.61)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0.461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83</w:t>
            </w:r>
          </w:p>
        </w:tc>
      </w:tr>
      <w:tr>
        <w:trPr>
          <w:trHeight w:val="39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Hospital-to-ICU interval expanded to 48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entry &lt;=48h hospital mortality logistic</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5.33 (2.79–10.17)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83</w:t>
            </w:r>
          </w:p>
        </w:tc>
      </w:tr>
      <w:tr>
        <w:trPr>
          <w:trHeight w:val="39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Hospital-to-ICU interval expanded to 48 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entry &lt;=48h cause-specific alive ICU discharge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 vs P1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1.04 (0.86–1.26)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0.687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607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552</w:t>
            </w:r>
          </w:p>
        </w:tc>
      </w:tr>
      <w:tr>
        <w:trPr>
          <w:trHeight w:val="405"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Hospital-to-ICU interval expanded to 48 h</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ICU entry &lt;=48h cause-specific alive ICU discharge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 vs P1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HR</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0.40 (0.31–0.50)</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&lt;0.001</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607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552</w:t>
            </w:r>
          </w:p>
        </w:tc>
      </w:tr>
      <w:tr>
        <w:trPr>
          <w:trHeight w:val="360" w:hRule="auto"/>
        </w:trPr>
        <w:tc>
          <w:tcPr>
            <w:gridSpan w:val="8"/>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The 12-hour model used only the first two bins of the frozen 24-hour likelihood; the 48-hour-entry analysis retained the 24-hour exposure and landmark.</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S6A. MIMIC-III CareVue phenotype distribution and descriptive outcomes.</w:t>
      </w:r>
    </w:p>
    <w:tbl xmlns:a="http://schemas.openxmlformats.org/drawingml/2006/main" xmlns:pic="http://schemas.openxmlformats.org/drawingml/2006/picture">
      <w:tblPr>
        <w:tblLayout w:type="fixed"/>
        <w:jc w:val="center"/>
        <w:tblLook w:firstRow="1" w:lastRow="0" w:firstColumn="0" w:lastColumn="0" w:noHBand="0" w:noVBand="1"/>
      </w:tblPr>
      <w:tblGrid>
        <w:gridCol w:w="1157"/>
        <w:gridCol w:w="564"/>
        <w:gridCol w:w="1149"/>
        <w:gridCol w:w="1352"/>
        <w:gridCol w:w="1636"/>
        <w:gridCol w:w="1854"/>
        <w:gridCol w:w="1530"/>
        <w:gridCol w:w="2772"/>
        <w:gridCol w:w="1457"/>
      </w:tblGrid>
      <w:tr>
        <w:trPr>
          <w:trHeight w:val="429"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Phenotype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Age, mean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Female,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Primary AP,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Hospital death,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ICU death,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Post-landmark ICU stay, median d</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Mean posterior</w:t>
            </w:r>
          </w:p>
        </w:tc>
      </w:tr>
      <w:tr>
        <w:trPr>
          <w:trHeight w:val="390"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56.5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19 (37.3%)</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 (25.5%)</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 (11.8%)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 (11.8%)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4.09</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0.955</w:t>
            </w:r>
          </w:p>
        </w:tc>
      </w:tr>
      <w:tr>
        <w:trPr>
          <w:trHeight w:val="39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58.9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51 (60.0%)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30 (35.3%)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 (15.3%)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 (11.8%)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6.72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0.948</w:t>
            </w:r>
          </w:p>
        </w:tc>
      </w:tr>
      <w:tr>
        <w:trPr>
          <w:trHeight w:val="405"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45</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61.5</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16 (35.6%)</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 (22.2%)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 (44.4%)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 (28.9%)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10.96</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0.965</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S6B. MIMIC-III adjusted temporal-validation associations.</w:t>
      </w:r>
    </w:p>
    <w:tbl xmlns:a="http://schemas.openxmlformats.org/drawingml/2006/main" xmlns:pic="http://schemas.openxmlformats.org/drawingml/2006/picture">
      <w:tblPr>
        <w:tblLayout w:type="fixed"/>
        <w:jc w:val="center"/>
        <w:tblLook w:firstRow="1" w:lastRow="0" w:firstColumn="0" w:lastColumn="0" w:noHBand="0" w:noVBand="1"/>
      </w:tblPr>
      <w:tblGrid>
        <w:gridCol w:w="1658"/>
        <w:gridCol w:w="1019"/>
        <w:gridCol w:w="1136"/>
        <w:gridCol w:w="1661"/>
        <w:gridCol w:w="1261"/>
        <w:gridCol w:w="1661"/>
        <w:gridCol w:w="1261"/>
      </w:tblGrid>
      <w:tr>
        <w:trPr>
          <w:trHeight w:val="434"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Outcome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Measure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N (events)</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P2 vs P1 (95% CI)</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P value (P2)</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P3 vs P1 (95% CI)</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P value (P3)</w:t>
            </w:r>
          </w:p>
        </w:tc>
      </w:tr>
      <w:tr>
        <w:trPr>
          <w:trHeight w:val="394"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In-hospital mortality</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OR</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181 (39)</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1.34 (0.45–3.98)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0.594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5.74 (1.96–16.76)</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0.001</w:t>
            </w:r>
          </w:p>
        </w:tc>
      </w:tr>
      <w:tr>
        <w:trPr>
          <w:trHeight w:val="409"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Alive ICU discharge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HR</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181 (152)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0.94 (0.64–1.38)</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0.757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0.55 (0.35–0.87)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0.011</w:t>
            </w:r>
          </w:p>
        </w:tc>
      </w:tr>
      <w:tr>
        <w:trPr>
          <w:trHeight w:val="360" w:hRule="auto"/>
        </w:trPr>
        <w:tc>
          <w:tcPr>
            <w:gridSpan w:val="7"/>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OR, odds ratio; HR, cause-specific hazard ratio.</w:t>
            </w:r>
          </w:p>
        </w:tc>
      </w:tr>
      <w:tr>
        <w:trPr>
          <w:trHeight w:val="360" w:hRule="auto"/>
        </w:trPr>
        <w:tc>
          <w:tcPr>
            <w:gridSpan w:val="7"/>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Models were adjusted for age, sex, and primary AP diagnosis. The three phenotype groups contained 51, 85, and 45 patients; mean posterior probabilities were 0.955, 0.948, and 0.965, respectively.</w:t>
            </w:r>
          </w:p>
        </w:tc>
      </w:tr>
      <w:tr>
        <w:trPr>
          <w:trHeight w:val="360" w:hRule="auto"/>
        </w:trPr>
        <w:tc>
          <w:tcPr>
            <w:gridSpan w:val="7"/>
            <w:tcBorders>
              <w:bottom w:val="none" w:sz="0" w:space="0" w:color="FFFFFF"/>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MIMIC-III CareVue is a same-center historical/temporal validation cohort, not an independent external cohort. P1 is the reference.</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S7A. Descriptive outcomes in the screened eICU structural-transport cohort.</w:t>
      </w:r>
    </w:p>
    <w:tbl xmlns:a="http://schemas.openxmlformats.org/drawingml/2006/main" xmlns:pic="http://schemas.openxmlformats.org/drawingml/2006/picture">
      <w:tblPr>
        <w:tblLayout w:type="fixed"/>
        <w:jc w:val="center"/>
        <w:tblLook w:firstRow="1" w:lastRow="0" w:firstColumn="0" w:lastColumn="0" w:noHBand="0" w:noVBand="1"/>
      </w:tblPr>
      <w:tblGrid>
        <w:gridCol w:w="1147"/>
        <w:gridCol w:w="638"/>
        <w:gridCol w:w="1059"/>
        <w:gridCol w:w="1139"/>
        <w:gridCol w:w="1339"/>
        <w:gridCol w:w="1715"/>
        <w:gridCol w:w="1835"/>
        <w:gridCol w:w="2755"/>
        <w:gridCol w:w="1443"/>
      </w:tblGrid>
      <w:tr>
        <w:trPr>
          <w:trHeight w:val="427"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Phenotype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Hospitals</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Age, mean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Female,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Vasopressor,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Hospital death, n (%)</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Post-landmark unit stay, median d</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4"/>
                <w:szCs w:val="14"/>
                <w:color w:val="1F1F1F"/>
              </w:rPr>
            </w:pPr>
            <w:r>
              <w:rPr>
                <w:rFonts w:ascii="Arial" w:hAnsi="Arial" w:eastAsia="Arial" w:cs="Arial"/>
                <w:i w:val="false"/>
                <w:b w:val="true"/>
                <w:u w:val="none"/>
                <w:strike w:val="false"/>
                <w:sz w:val="14"/>
                <w:szCs w:val="14"/>
                <w:color w:val="1F1F1F"/>
              </w:rPr>
              <w:t xml:space="preserve">Mean posterior</w:t>
            </w:r>
          </w:p>
        </w:tc>
      </w:tr>
      <w:tr>
        <w:trPr>
          <w:trHeight w:val="387"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123</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54.7</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49 (39.8%)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 (11.4%)</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 (8.1%)</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2.72</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0.983</w:t>
            </w:r>
          </w:p>
        </w:tc>
      </w:tr>
      <w:tr>
        <w:trPr>
          <w:trHeight w:val="387"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48.4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 (55.0%)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 (10.0%)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 (0.0%)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2.20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0.951</w:t>
            </w:r>
          </w:p>
        </w:tc>
      </w:tr>
      <w:tr>
        <w:trPr>
          <w:trHeight w:val="402"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P3</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9</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51.7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 (44.4%)</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6 (66.7%)</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 (22.2%)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3.72</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0.925</w:t>
            </w:r>
          </w:p>
        </w:tc>
      </w:tr>
      <w:tr>
        <w:trPr>
          <w:trHeight w:val="360" w:hRule="auto"/>
        </w:trPr>
        <w:tc>
          <w:tcPr>
            <w:gridSpan w:val="9"/>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P3 and mortality events were sparse; no high-dimensional adjusted external-effect model was claimed.</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S7B. eICU hospital infusion-interface screening.</w:t>
      </w:r>
    </w:p>
    <w:tbl xmlns:a="http://schemas.openxmlformats.org/drawingml/2006/main" xmlns:pic="http://schemas.openxmlformats.org/drawingml/2006/picture">
      <w:tblPr>
        <w:tblLayout w:type="fixed"/>
        <w:jc w:val="center"/>
        <w:tblLook w:firstRow="1" w:lastRow="0" w:firstColumn="0" w:lastColumn="0" w:noHBand="0" w:noVBand="1"/>
      </w:tblPr>
      <w:tblGrid>
        <w:gridCol w:w="7200"/>
        <w:gridCol w:w="2880"/>
        <w:gridCol w:w="3456"/>
      </w:tblGrid>
      <w:tr>
        <w:trPr>
          <w:trHeight w:val="432"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Screen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Hospitals, n</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ICU stays represented, n</w:t>
            </w:r>
          </w:p>
        </w:tc>
      </w:tr>
      <w:tr>
        <w:trPr>
          <w:trHeight w:val="392"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All hospitals</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208</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200,859</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Liberal infusion-interface screen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115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140,319</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Primary infusion-interface screen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131,931</w:t>
            </w:r>
          </w:p>
        </w:tc>
      </w:tr>
      <w:tr>
        <w:trPr>
          <w:trHeight w:val="392"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Strict infusion-interface screen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83</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125,023</w:t>
            </w:r>
          </w:p>
        </w:tc>
      </w:tr>
      <w:tr>
        <w:trPr>
          <w:trHeight w:val="407"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Unit-complete vasopressor quantification</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48</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4"/>
                <w:szCs w:val="14"/>
                <w:color w:val="1F1F1F"/>
              </w:rPr>
            </w:pPr>
            <w:r>
              <w:rPr>
                <w:rFonts w:ascii="Arial" w:hAnsi="Arial" w:eastAsia="Arial" w:cs="Arial"/>
                <w:i w:val="false"/>
                <w:b w:val="false"/>
                <w:u w:val="none"/>
                <w:strike w:val="false"/>
                <w:sz w:val="14"/>
                <w:szCs w:val="14"/>
                <w:color w:val="1F1F1F"/>
              </w:rPr>
              <w:t xml:space="preserve">50,780</w:t>
            </w:r>
          </w:p>
        </w:tc>
      </w:tr>
      <w:tr>
        <w:trPr>
          <w:trHeight w:val="360" w:hRule="auto"/>
        </w:trPr>
        <w:tc>
          <w:tcPr>
            <w:gridSpan w:val="3"/>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Only hospitals passing interface screens could support interpreting absence of a vasopressor record as approximate zero. Unrecoverable mL/h rates were not converted without concentration information.</w:t>
            </w:r>
          </w:p>
        </w:tc>
      </w:tr>
    </w:tbl>
    <w:p>
      <w:pPr/>
      <w:r>
        <w:br w:type="page"/>
      </w:r>
    </w:p>
    <w:p>
      <w:pPr>
        <w:pStyle w:val="TableCaption"/>
        <w:jc w:val="center"/>
        <w:keepNext/>
        <w:pBdr>
          <w:bottom w:val="none" w:sz="0" w:space="0" w:color="000000"/>
          <w:top w:val="none" w:sz="0" w:space="0" w:color="000000"/>
          <w:left w:val="none" w:sz="0" w:space="0" w:color="000000"/>
          <w:right w:val="none" w:sz="0" w:space="0" w:color="000000"/>
        </w:pBdr>
        <w:spacing w:after="60" w:before="60" w:line="240"/>
        <w:ind w:left="60" w:right="60" w:firstLine="0" w:firstLineChars="0"/>
      </w:pPr>
      <w:r>
        <w:t xml:space="preserve">Supplementary Table S8. Observed exact post-landmark state transitions in the full landmark cohort.</w:t>
      </w:r>
    </w:p>
    <w:tbl xmlns:a="http://schemas.openxmlformats.org/drawingml/2006/main" xmlns:pic="http://schemas.openxmlformats.org/drawingml/2006/picture">
      <w:tblPr>
        <w:tblLayout w:type="fixed"/>
        <w:jc w:val="center"/>
        <w:tblLook w:firstRow="1" w:lastRow="0" w:firstColumn="0" w:lastColumn="0" w:noHBand="0" w:noVBand="1"/>
      </w:tblPr>
      <w:tblGrid>
        <w:gridCol w:w="4752"/>
        <w:gridCol w:w="4752"/>
        <w:gridCol w:w="3456"/>
      </w:tblGrid>
      <w:tr>
        <w:trPr>
          <w:trHeight w:val="439" w:hRule="auto"/>
          <w:tblHeader/>
        </w:trPr>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From state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To state</w:t>
            </w:r>
          </w:p>
        </w:tc>
        <w:tc>
          <w:tcPr>
            <w:tcBorders>
              <w:bottom w:val="single" w:sz="12" w:space="0" w:color="666666"/>
              <w:top w:val="single" w:sz="12" w:space="0" w:color="666666"/>
              <w:left w:val="none" w:sz="0" w:space="0" w:color="000000"/>
              <w:right w:val="none" w:sz="0" w:space="0" w:color="000000"/>
            </w:tcBorders>
            <w:shd w:val="clear" w:color="auto" w:fill="DCE6F1"/>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true"/>
                <w:u w:val="none"/>
                <w:strike w:val="false"/>
                <w:sz w:val="15"/>
                <w:szCs w:val="15"/>
                <w:color w:val="1F1F1F"/>
              </w:rPr>
            </w:pPr>
            <w:r>
              <w:rPr>
                <w:rFonts w:ascii="Arial" w:hAnsi="Arial" w:eastAsia="Arial" w:cs="Arial"/>
                <w:i w:val="false"/>
                <w:b w:val="true"/>
                <w:u w:val="none"/>
                <w:strike w:val="false"/>
                <w:sz w:val="15"/>
                <w:szCs w:val="15"/>
                <w:color w:val="1F1F1F"/>
              </w:rPr>
              <w:t xml:space="preserve">Observed transitions, n</w:t>
            </w:r>
          </w:p>
        </w:tc>
      </w:tr>
      <w:tr>
        <w:trPr>
          <w:trHeight w:val="399" w:hRule="auto"/>
        </w:trPr>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Multiple support</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ICU death</w:t>
            </w:r>
          </w:p>
        </w:tc>
        <w:tc>
          <w:tcPr>
            <w:tcBorders>
              <w:bottom w:val="none" w:sz="0" w:space="0" w:color="000000"/>
              <w:top w:val="single" w:sz="12" w:space="0" w:color="666666"/>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38</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Multiple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ICU discharge alive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7</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Multiple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No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36</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Multiple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Single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464</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No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12</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No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ICU discharge alive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717</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No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Multiple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31</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No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Single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200</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Single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ICU death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16</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Single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ICU discharge alive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54</w:t>
            </w:r>
          </w:p>
        </w:tc>
      </w:tr>
      <w:tr>
        <w:trPr>
          <w:trHeight w:val="399"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Single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Multiple support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370</w:t>
            </w:r>
          </w:p>
        </w:tc>
      </w:tr>
      <w:tr>
        <w:trPr>
          <w:trHeight w:val="414"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Single support</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No support</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40" w:before="40" w:line="240"/>
              <w:ind w:left="100" w:right="100" w:firstLine="0" w:firstLineChars="0"/>
              <w:rPr>
                <w:rFonts w:ascii="Arial" w:hAnsi="Arial" w:eastAsia="Arial" w:cs="Arial"/>
                <w:i w:val="false"/>
                <w:b w:val="false"/>
                <w:u w:val="none"/>
                <w:strike w:val="false"/>
                <w:sz w:val="15"/>
                <w:szCs w:val="15"/>
                <w:color w:val="1F1F1F"/>
              </w:rPr>
            </w:pPr>
            <w:r>
              <w:rPr>
                <w:rFonts w:ascii="Arial" w:hAnsi="Arial" w:eastAsia="Arial" w:cs="Arial"/>
                <w:i w:val="false"/>
                <w:b w:val="false"/>
                <w:u w:val="none"/>
                <w:strike w:val="false"/>
                <w:sz w:val="15"/>
                <w:szCs w:val="15"/>
                <w:color w:val="1F1F1F"/>
              </w:rPr>
              <w:t xml:space="preserve">430</w:t>
            </w:r>
          </w:p>
        </w:tc>
      </w:tr>
      <w:tr>
        <w:trPr>
          <w:trHeight w:val="360" w:hRule="auto"/>
        </w:trPr>
        <w:tc>
          <w:tcPr>
            <w:gridSpan w:val="3"/>
            <w:tcBorders>
              <w:bottom w:val="none" w:sz="0" w:space="0" w:color="FFFFFF"/>
              <w:top w:val="single" w:sz="12" w:space="0" w:color="666666"/>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Arial" w:hAnsi="Arial" w:eastAsia="Arial" w:cs="Arial"/>
                <w:i w:val="false"/>
                <w:b w:val="false"/>
                <w:u w:val="none"/>
                <w:strike w:val="false"/>
                <w:sz w:val="14"/>
                <w:szCs w:val="14"/>
                <w:color w:val="000000"/>
              </w:rPr>
            </w:pPr>
            <w:r>
              <w:rPr>
                <w:rFonts w:ascii="Arial" w:hAnsi="Arial" w:eastAsia="Arial" w:cs="Arial"/>
                <w:i w:val="false"/>
                <w:b w:val="false"/>
                <w:u w:val="none"/>
                <w:strike w:val="false"/>
                <w:sz w:val="14"/>
                <w:szCs w:val="14"/>
                <w:color w:val="000000"/>
              </w:rPr>
              <w:t xml:space="preserve">Counts represent 2,375 observed transitions among 844 patients in the full 24-hour landmark support-state cohort; this is distinct from the N=575 phenotype-association cohort. Patients could contribute repeated nonfatal transitions before alive ICU discharge or ICU death.</w:t>
            </w:r>
          </w:p>
        </w:tc>
      </w:tr>
    </w:tbl>
    <w:p>
      <w:r>
        <w:br w:type="page"/>
      </w:r>
    </w:p>
    <w:p>
      <w:pPr>
        <w:jc w:val="center"/>
      </w:pPr>
      <w:r>
        <w:rPr>
          <w:rFonts w:ascii="Arial" w:hAnsi="Arial"/>
          <w:b/>
          <w:sz w:val="30"/>
        </w:rPr>
        <w:t>Supplementary figures</w:t>
      </w:r>
    </w:p>
    <w:p>
      <w:pPr>
        <w:jc w:val="center"/>
      </w:pPr>
      <w:r>
        <w:rPr>
          <w:rFonts w:ascii="Arial" w:hAnsi="Arial"/>
          <w:b/>
          <w:sz w:val="22"/>
        </w:rPr>
        <w:t>Figure S1. Candidate-model selection and stability</w:t>
      </w:r>
    </w:p>
    <w:p>
      <w:pPr>
        <w:jc w:val="center"/>
      </w:pPr>
      <w:r>
        <w:drawing>
          <wp:inline xmlns:a="http://schemas.openxmlformats.org/drawingml/2006/main" xmlns:pic="http://schemas.openxmlformats.org/drawingml/2006/picture">
            <wp:extent cx="6951465" cy="4937760"/>
            <wp:docPr id="1" name="Picture 1"/>
            <wp:cNvGraphicFramePr>
              <a:graphicFrameLocks noChangeAspect="1"/>
            </wp:cNvGraphicFramePr>
            <a:graphic>
              <a:graphicData uri="http://schemas.openxmlformats.org/drawingml/2006/picture">
                <pic:pic>
                  <pic:nvPicPr>
                    <pic:cNvPr id="0" name="FigureS1_Model_Selection_and_Stability_v1_preview.png"/>
                    <pic:cNvPicPr/>
                  </pic:nvPicPr>
                  <pic:blipFill>
                    <a:blip r:embed="rId7"/>
                    <a:stretch>
                      <a:fillRect/>
                    </a:stretch>
                  </pic:blipFill>
                  <pic:spPr>
                    <a:xfrm>
                      <a:off x="0" y="0"/>
                      <a:ext cx="6951465" cy="4937760"/>
                    </a:xfrm>
                    <a:prstGeom prst="rect"/>
                  </pic:spPr>
                </pic:pic>
              </a:graphicData>
            </a:graphic>
          </wp:inline>
        </w:drawing>
      </w:r>
    </w:p>
    <w:p>
      <w:pPr>
        <w:spacing w:before="60" w:after="0"/>
      </w:pPr>
      <w:r>
        <w:rPr>
          <w:rFonts w:ascii="Arial" w:hAnsi="Arial"/>
          <w:sz w:val="16"/>
        </w:rPr>
        <w:t>(a) Bayesian information criterion across candidate class-number and polynomial-degree combinations, with the frozen three-class linear model highlighted. (b) Patient-level bootstrap out-of-bag adjusted Rand index and (c) bootstrap minimum-class proportion for the selected K3 linear model and the lower-BIC K4 quadratic comparator. The dashed line in panel c marks the prespecified 10% minimum-class threshold. (d) Agreement between full-cohort assignments and refits restricted to patients with at least two or at least three observed lactate bins; the dashed line marks an adjusted Rand index of 0.70. Model selection jointly considered fit, class size, stability, and interpretability rather than BIC alone. ARI, adjusted Rand index; BIC, Bayesian information criterion.</w:t>
      </w:r>
    </w:p>
    <w:p>
      <w:r>
        <w:br w:type="page"/>
      </w:r>
    </w:p>
    <w:p>
      <w:pPr>
        <w:jc w:val="center"/>
      </w:pPr>
      <w:r>
        <w:rPr>
          <w:rFonts w:ascii="Arial" w:hAnsi="Arial"/>
          <w:b/>
          <w:sz w:val="22"/>
        </w:rPr>
        <w:t>Figure S2. Lactate missingness and measurement process</w:t>
      </w:r>
    </w:p>
    <w:p>
      <w:pPr>
        <w:jc w:val="center"/>
      </w:pPr>
      <w:r>
        <w:drawing>
          <wp:inline xmlns:a="http://schemas.openxmlformats.org/drawingml/2006/main" xmlns:pic="http://schemas.openxmlformats.org/drawingml/2006/picture">
            <wp:extent cx="9235440" cy="4538656"/>
            <wp:docPr id="2" name="Picture 2"/>
            <wp:cNvGraphicFramePr>
              <a:graphicFrameLocks noChangeAspect="1"/>
            </wp:cNvGraphicFramePr>
            <a:graphic>
              <a:graphicData uri="http://schemas.openxmlformats.org/drawingml/2006/picture">
                <pic:pic>
                  <pic:nvPicPr>
                    <pic:cNvPr id="0" name="FigureS2_Lactate_Missingness_Process_v1_preview.png"/>
                    <pic:cNvPicPr/>
                  </pic:nvPicPr>
                  <pic:blipFill>
                    <a:blip r:embed="rId8"/>
                    <a:stretch>
                      <a:fillRect/>
                    </a:stretch>
                  </pic:blipFill>
                  <pic:spPr>
                    <a:xfrm>
                      <a:off x="0" y="0"/>
                      <a:ext cx="9235440" cy="4538656"/>
                    </a:xfrm>
                    <a:prstGeom prst="rect"/>
                  </pic:spPr>
                </pic:pic>
              </a:graphicData>
            </a:graphic>
          </wp:inline>
        </w:drawing>
      </w:r>
    </w:p>
    <w:p>
      <w:pPr>
        <w:spacing w:before="60" w:after="0"/>
      </w:pPr>
      <w:r>
        <w:rPr>
          <w:rFonts w:ascii="Arial" w:hAnsi="Arial"/>
          <w:sz w:val="16"/>
        </w:rPr>
        <w:t>(a) Percentage of missing time-bin rows for cumulative net fluid, NEE, and lactate in the primary, serial-lactate, and dense-lactate cohorts. (b) Prevalence of vasopressor exposure, multiple support at the 24-hour landmark, ICU death, and hospital death according to the number of observed lactate 6-hour bins. The association between lactate measurement density and severity supports treating missing lactate as informative rather than as a normal measurement. NEE, norepinephrine-equivalent dose.</w:t>
      </w:r>
    </w:p>
    <w:p>
      <w:r>
        <w:br w:type="page"/>
      </w:r>
    </w:p>
    <w:p>
      <w:pPr>
        <w:jc w:val="center"/>
      </w:pPr>
      <w:r>
        <w:rPr>
          <w:rFonts w:ascii="Arial" w:hAnsi="Arial"/>
          <w:b/>
          <w:sz w:val="22"/>
        </w:rPr>
        <w:t>Figure S3. Sensitivity analyses for the P3 phenotype</w:t>
      </w:r>
    </w:p>
    <w:p>
      <w:pPr>
        <w:jc w:val="center"/>
      </w:pPr>
      <w:r>
        <w:drawing>
          <wp:inline xmlns:a="http://schemas.openxmlformats.org/drawingml/2006/main" xmlns:pic="http://schemas.openxmlformats.org/drawingml/2006/picture">
            <wp:extent cx="5830873" cy="4937760"/>
            <wp:docPr id="3" name="Picture 3"/>
            <wp:cNvGraphicFramePr>
              <a:graphicFrameLocks noChangeAspect="1"/>
            </wp:cNvGraphicFramePr>
            <a:graphic>
              <a:graphicData uri="http://schemas.openxmlformats.org/drawingml/2006/picture">
                <pic:pic>
                  <pic:nvPicPr>
                    <pic:cNvPr id="0" name="FigureS3_Sensitivity_Forest_v1_preview.png"/>
                    <pic:cNvPicPr/>
                  </pic:nvPicPr>
                  <pic:blipFill>
                    <a:blip r:embed="rId9"/>
                    <a:stretch>
                      <a:fillRect/>
                    </a:stretch>
                  </pic:blipFill>
                  <pic:spPr>
                    <a:xfrm>
                      <a:off x="0" y="0"/>
                      <a:ext cx="5830873" cy="4937760"/>
                    </a:xfrm>
                    <a:prstGeom prst="rect"/>
                  </pic:spPr>
                </pic:pic>
              </a:graphicData>
            </a:graphic>
          </wp:inline>
        </w:drawing>
      </w:r>
    </w:p>
    <w:p>
      <w:pPr>
        <w:spacing w:before="60" w:after="0"/>
      </w:pPr>
      <w:r>
        <w:rPr>
          <w:rFonts w:ascii="Arial" w:hAnsi="Arial"/>
          <w:sz w:val="16"/>
        </w:rPr>
        <w:t>Hazard ratios for P3 versus P1 for escalation to higher support and alive ICU discharge across the primary model and prespecified model, population, classification-certainty, and marker-definition analyses. Points denote hazard ratios and horizontal lines 95% confidence intervals. Restricted subgroups and marker redefinitions are sensitivity analyses and do not replace the frozen primary estimand.</w:t>
      </w:r>
    </w:p>
    <w:p>
      <w:r>
        <w:br w:type="page"/>
      </w:r>
    </w:p>
    <w:p>
      <w:pPr>
        <w:jc w:val="center"/>
      </w:pPr>
      <w:r>
        <w:rPr>
          <w:rFonts w:ascii="Arial" w:hAnsi="Arial"/>
          <w:b/>
          <w:sz w:val="22"/>
        </w:rPr>
        <w:t>Figure S4. Cross-cohort phenotype profiles</w:t>
      </w:r>
    </w:p>
    <w:p>
      <w:pPr>
        <w:jc w:val="center"/>
      </w:pPr>
      <w:r>
        <w:drawing>
          <wp:inline xmlns:a="http://schemas.openxmlformats.org/drawingml/2006/main" xmlns:pic="http://schemas.openxmlformats.org/drawingml/2006/picture">
            <wp:extent cx="6025126" cy="4937760"/>
            <wp:docPr id="4" name="Picture 4"/>
            <wp:cNvGraphicFramePr>
              <a:graphicFrameLocks noChangeAspect="1"/>
            </wp:cNvGraphicFramePr>
            <a:graphic>
              <a:graphicData uri="http://schemas.openxmlformats.org/drawingml/2006/picture">
                <pic:pic>
                  <pic:nvPicPr>
                    <pic:cNvPr id="0" name="FigureS4_CrossCohort_Phenotype_Profiles_v1_preview.png"/>
                    <pic:cNvPicPr/>
                  </pic:nvPicPr>
                  <pic:blipFill>
                    <a:blip r:embed="rId10"/>
                    <a:stretch>
                      <a:fillRect/>
                    </a:stretch>
                  </pic:blipFill>
                  <pic:spPr>
                    <a:xfrm>
                      <a:off x="0" y="0"/>
                      <a:ext cx="6025126" cy="4937760"/>
                    </a:xfrm>
                    <a:prstGeom prst="rect"/>
                  </pic:spPr>
                </pic:pic>
              </a:graphicData>
            </a:graphic>
          </wp:inline>
        </w:drawing>
      </w:r>
    </w:p>
    <w:p>
      <w:pPr>
        <w:spacing w:before="60" w:after="0"/>
      </w:pPr>
      <w:r>
        <w:rPr>
          <w:rFonts w:ascii="Arial" w:hAnsi="Arial"/>
          <w:sz w:val="16"/>
        </w:rPr>
        <w:t>Mean marker profiles for the frozen P1, P2, and P3 phenotypes in MIMIC-IV discovery, MIMIC-III temporal validation, and screened eICU structural-transport cohorts. Rows show cumulative net fluid balance, vasopressor exposure probability, and lactate across the four 6-hour bins. Within each marker, all phenotypes share the same y-axis scale. eICU comparisons are constrained by hospital-level infusion-interface completeness and sparse P2/P3 groups.</w:t>
      </w:r>
    </w:p>
    <w:p>
      <w:r>
        <w:br w:type="page"/>
      </w:r>
    </w:p>
    <w:p>
      <w:pPr>
        <w:jc w:val="center"/>
      </w:pPr>
      <w:r>
        <w:rPr>
          <w:rFonts w:ascii="Arial" w:hAnsi="Arial"/>
          <w:b/>
          <w:sz w:val="22"/>
        </w:rPr>
        <w:t>Figure S5. Marker operationalization sensitivity</w:t>
      </w:r>
    </w:p>
    <w:p>
      <w:pPr>
        <w:jc w:val="center"/>
      </w:pPr>
      <w:r>
        <w:drawing>
          <wp:inline xmlns:a="http://schemas.openxmlformats.org/drawingml/2006/main" xmlns:pic="http://schemas.openxmlformats.org/drawingml/2006/picture">
            <wp:extent cx="9235440" cy="4795078"/>
            <wp:docPr id="5" name="Picture 5"/>
            <wp:cNvGraphicFramePr>
              <a:graphicFrameLocks noChangeAspect="1"/>
            </wp:cNvGraphicFramePr>
            <a:graphic>
              <a:graphicData uri="http://schemas.openxmlformats.org/drawingml/2006/picture">
                <pic:pic>
                  <pic:nvPicPr>
                    <pic:cNvPr id="0" name="FigureS5_Marker_Operationalization_v1_preview.png"/>
                    <pic:cNvPicPr/>
                  </pic:nvPicPr>
                  <pic:blipFill>
                    <a:blip r:embed="rId11"/>
                    <a:stretch>
                      <a:fillRect/>
                    </a:stretch>
                  </pic:blipFill>
                  <pic:spPr>
                    <a:xfrm>
                      <a:off x="0" y="0"/>
                      <a:ext cx="9235440" cy="4795078"/>
                    </a:xfrm>
                    <a:prstGeom prst="rect"/>
                  </pic:spPr>
                </pic:pic>
              </a:graphicData>
            </a:graphic>
          </wp:inline>
        </w:drawing>
      </w:r>
    </w:p>
    <w:p>
      <w:pPr>
        <w:spacing w:before="60" w:after="0"/>
      </w:pPr>
      <w:r>
        <w:rPr>
          <w:rFonts w:ascii="Arial" w:hAnsi="Arial"/>
          <w:sz w:val="16"/>
        </w:rPr>
        <w:t>(a) Outcome-blind agreement of phenotype assignments after replacing the primary marker definitions with input-only cumulative fluid, output-events-only net fluid, interval net fluid, or last rather than median lactate within each bin. Agreement is shown using the adjusted Rand index multiplied by 100 and the percentage of unchanged assignments. (b) P3-versus-P1 hazard ratios for support escalation and alive ICU discharge after each marker redefinition. The interval-fluid analysis changes the construct from cumulative burden to interval balance and is therefore interpreted as construct sensitivity rather than simple measurement noise.</w:t>
      </w:r>
    </w:p>
    <w:sectPr>
      <w:pgMar w:header="708" w:bottom="720" w:top="720" w:right="720" w:left="720" w:footer="708" w:gutter="0"/>
      <w:pgSz w:h="11906" w:w="16838" w:orient="landscape"/>
      <w:footerReference w:type="default" r:id="rId12"/>
      <w:type w:val="continuous"/>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rFonts w:ascii="Arial" w:hAnsi="Arial"/>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7" Type="http://schemas.openxmlformats.org/officeDocument/2006/relationships/image" Target="media/image1.png"/><Relationship Id="rId8" Type="http://schemas.openxmlformats.org/officeDocument/2006/relationships/image" Target="media/image2.png"/><Relationship Id="rId9" Type="http://schemas.openxmlformats.org/officeDocument/2006/relationships/image" Target="media/image3.png"/><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footer" Target="footer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
  <cp:revision>9</cp:revision>
  <dcterms:created xsi:type="dcterms:W3CDTF">2017-02-28T11:18:00Z</dcterms:created>
  <dcterms:modified xsi:type="dcterms:W3CDTF">2026-09-27T19:18:37Z</dcterms:modified>
  <cp:category/>
</cp:coreProperties>
</file>