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65F467" w14:textId="77777777" w:rsidR="00A93CB4" w:rsidRPr="00FA6DDD" w:rsidRDefault="00000000">
      <w:pPr>
        <w:spacing w:after="80"/>
        <w:rPr>
          <w:lang w:val="en-US"/>
        </w:rPr>
      </w:pPr>
      <w:r>
        <w:rPr>
          <w:b/>
          <w:bCs/>
          <w:sz w:val="24"/>
          <w:szCs w:val="24"/>
          <w:lang w:val="en-US"/>
        </w:rPr>
        <w:t>STROBE Statement—checklist of items that should be included in reports of observational studies</w:t>
      </w:r>
    </w:p>
    <w:p w14:paraId="385DFC05" w14:textId="77777777" w:rsidR="00A93CB4" w:rsidRPr="00FA6DDD" w:rsidRDefault="00000000">
      <w:pPr>
        <w:spacing w:after="160"/>
        <w:rPr>
          <w:lang w:val="en-US"/>
        </w:rPr>
      </w:pPr>
      <w:r>
        <w:rPr>
          <w:lang w:val="en-US"/>
        </w:rPr>
        <w:t>Manuscript: Marginal Bone Loss and Peri-Implant Health Around One-Piece and Two-Piece Tissue-Level Zirconia Implants: A Multicenter Retrospective Cohort Study With 5 to 11 Years of Follow-Up (Version V10). Study design: retrospective cohort study.</w:t>
      </w:r>
    </w:p>
    <w:tbl>
      <w:tblPr>
        <w:tblW w:w="1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00"/>
        <w:gridCol w:w="6970"/>
        <w:gridCol w:w="4700"/>
      </w:tblGrid>
      <w:tr w:rsidR="00A93CB4" w:rsidRPr="00FA6DDD" w14:paraId="421A8FAD" w14:textId="77777777">
        <w:trPr>
          <w:tblHeader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9A152D" w14:textId="77777777" w:rsidR="00A93CB4" w:rsidRPr="00FA6DDD" w:rsidRDefault="00A93CB4">
            <w:pPr>
              <w:spacing w:after="40"/>
              <w:rPr>
                <w:lang w:val="en-US"/>
              </w:rPr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2B0C28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Item No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7E25D7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Recommendation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7E4B47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Reported on page / section (Manuscript V10)</w:t>
            </w:r>
          </w:p>
        </w:tc>
      </w:tr>
      <w:tr w:rsidR="00A93CB4" w:rsidRPr="00FA6DDD" w14:paraId="21A8BC0F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06BD9F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Title and abstract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A538DA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82F6F5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(</w:t>
            </w:r>
            <w:r>
              <w:rPr>
                <w:i/>
                <w:iCs/>
                <w:lang w:val="en-US"/>
              </w:rPr>
              <w:t>a</w:t>
            </w:r>
            <w:r>
              <w:rPr>
                <w:lang w:val="en-US"/>
              </w:rPr>
              <w:t>) Indicate the study’s design with a commonly used term in the title or the abstract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490746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Title, p. 1 (“Multicenter Retrospective Cohort Study”); Abstract, p. 3 (“retrospective multicenter cohort”)</w:t>
            </w:r>
          </w:p>
        </w:tc>
      </w:tr>
      <w:tr w:rsidR="00A93CB4" w:rsidRPr="00FA6DDD" w14:paraId="03AB6237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4344B1" w14:textId="77777777" w:rsidR="00A93CB4" w:rsidRPr="00FA6DDD" w:rsidRDefault="00A93CB4">
            <w:pPr>
              <w:spacing w:after="40"/>
              <w:rPr>
                <w:lang w:val="en-US"/>
              </w:rPr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AF31CF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16C78A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(</w:t>
            </w:r>
            <w:r>
              <w:rPr>
                <w:i/>
                <w:iCs/>
                <w:lang w:val="en-US"/>
              </w:rPr>
              <w:t>b</w:t>
            </w:r>
            <w:r>
              <w:rPr>
                <w:lang w:val="en-US"/>
              </w:rPr>
              <w:t>) Provide in the abstract an informative and balanced summary of what was done and what was found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0CD09A" w14:textId="462B704E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Abstract, p. 3</w:t>
            </w:r>
          </w:p>
        </w:tc>
      </w:tr>
      <w:tr w:rsidR="00A93CB4" w:rsidRPr="00FA6DDD" w14:paraId="14167CEE" w14:textId="77777777">
        <w:tc>
          <w:tcPr>
            <w:tcW w:w="1457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E38948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Introduction</w:t>
            </w:r>
          </w:p>
        </w:tc>
      </w:tr>
      <w:tr w:rsidR="00A93CB4" w:rsidRPr="00FA6DDD" w14:paraId="41C9F231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C36DE9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Background/rationale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5C4702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1CD685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Explain the scientific background and rationale for the investigation being reported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5E6808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Background, Section 1, p. 4–5</w:t>
            </w:r>
          </w:p>
        </w:tc>
      </w:tr>
      <w:tr w:rsidR="00A93CB4" w:rsidRPr="00FA6DDD" w14:paraId="4379FB9A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B5D223B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Objectives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F728DF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E7BB05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State specific objectives, including any prespecified hypotheses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40E410" w14:textId="4FF73105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Background, Section 1, last paragraph, p. 5 (implant design, immediate vs delayed placement and loading)</w:t>
            </w:r>
          </w:p>
        </w:tc>
      </w:tr>
      <w:tr w:rsidR="00A93CB4" w:rsidRPr="00FA6DDD" w14:paraId="177E7F18" w14:textId="77777777">
        <w:tc>
          <w:tcPr>
            <w:tcW w:w="1457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9B608DB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Methods</w:t>
            </w:r>
          </w:p>
        </w:tc>
      </w:tr>
      <w:tr w:rsidR="00A93CB4" w:rsidRPr="00FA6DDD" w14:paraId="02DF5EBD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DE84C6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Study design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987D96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16E5A4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Present key elements of study design early in the paper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74B20C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Abstract, p. 3; Section 2.1, p. 6</w:t>
            </w:r>
          </w:p>
        </w:tc>
      </w:tr>
      <w:tr w:rsidR="00A93CB4" w:rsidRPr="00FA6DDD" w14:paraId="6D881970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422D1C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Setting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C96AB5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0F82EF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985881" w14:textId="6B13E06D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Section 2.1, p. 6 (three private practices; placement June 2014 to November 2020; documentation cut-off 1 November 2025); Section 2.3.1, p. 7 (record screening from cut-off date); follow-up duration: Section 3.1 and Table 1, p. 12</w:t>
            </w:r>
          </w:p>
        </w:tc>
      </w:tr>
      <w:tr w:rsidR="00A93CB4" w:rsidRPr="00FA6DDD" w14:paraId="2AF46261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44CFF5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Participants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FEA9DA0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AE0918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(</w:t>
            </w:r>
            <w:r>
              <w:rPr>
                <w:i/>
                <w:iCs/>
                <w:lang w:val="en-US"/>
              </w:rPr>
              <w:t>a</w:t>
            </w:r>
            <w:r>
              <w:rPr>
                <w:lang w:val="en-US"/>
              </w:rPr>
              <w:t xml:space="preserve">) </w:t>
            </w:r>
            <w:r>
              <w:rPr>
                <w:i/>
                <w:iCs/>
                <w:lang w:val="en-US"/>
              </w:rPr>
              <w:t>Cohort study</w:t>
            </w:r>
            <w:r>
              <w:rPr>
                <w:lang w:val="en-US"/>
              </w:rPr>
              <w:t>—Give the eligibility criteria, and the sources and methods of selection of participants. Describe methods of follow-up</w:t>
            </w:r>
          </w:p>
          <w:p w14:paraId="3D9FD53B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i/>
                <w:iCs/>
                <w:lang w:val="en-US"/>
              </w:rPr>
              <w:t>Case-control study</w:t>
            </w:r>
            <w:r>
              <w:rPr>
                <w:lang w:val="en-US"/>
              </w:rPr>
              <w:t>—Give the eligibility criteria, and the sources and methods of case ascertainment and control selection. Give the rationale for the choice of cases and controls</w:t>
            </w:r>
          </w:p>
          <w:p w14:paraId="37C40769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i/>
                <w:iCs/>
                <w:lang w:val="en-US"/>
              </w:rPr>
              <w:t>Cross-sectional study</w:t>
            </w:r>
            <w:r>
              <w:rPr>
                <w:lang w:val="en-US"/>
              </w:rPr>
              <w:t>—Give the eligibility criteria, and the sources and methods of selection of participants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676758" w14:textId="2E6F7AE5" w:rsidR="00A93CB4" w:rsidRPr="00FA6DDD" w:rsidRDefault="00491CB4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Eligibility and selection: Sections 2.3.1–2.3.2, p. 7; follow-up from existing records, no recall: Section 2.3.1, p. 7</w:t>
            </w:r>
          </w:p>
        </w:tc>
      </w:tr>
      <w:tr w:rsidR="00A93CB4" w:rsidRPr="00FA6DDD" w14:paraId="441A4FAC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6EDAAF" w14:textId="77777777" w:rsidR="00A93CB4" w:rsidRPr="00FA6DDD" w:rsidRDefault="00A93CB4">
            <w:pPr>
              <w:spacing w:after="40"/>
              <w:rPr>
                <w:lang w:val="en-US"/>
              </w:rPr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C8554C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7D29D6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(</w:t>
            </w:r>
            <w:r>
              <w:rPr>
                <w:i/>
                <w:iCs/>
                <w:lang w:val="en-US"/>
              </w:rPr>
              <w:t>b</w:t>
            </w:r>
            <w:r>
              <w:rPr>
                <w:lang w:val="en-US"/>
              </w:rPr>
              <w:t xml:space="preserve">) </w:t>
            </w:r>
            <w:r>
              <w:rPr>
                <w:i/>
                <w:iCs/>
                <w:lang w:val="en-US"/>
              </w:rPr>
              <w:t>Cohort study</w:t>
            </w:r>
            <w:r>
              <w:rPr>
                <w:lang w:val="en-US"/>
              </w:rPr>
              <w:t>—For matched studies, give matching criteria and number of exposed and unexposed</w:t>
            </w:r>
          </w:p>
          <w:p w14:paraId="17BADFCB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i/>
                <w:iCs/>
                <w:lang w:val="en-US"/>
              </w:rPr>
              <w:t>Case-control study</w:t>
            </w:r>
            <w:r>
              <w:rPr>
                <w:lang w:val="en-US"/>
              </w:rPr>
              <w:t>—For matched studies, give matching criteria and the number of controls per case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283B8B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n/a (unmatched cohort)</w:t>
            </w:r>
          </w:p>
          <w:p w14:paraId="5D814AAA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n/a</w:t>
            </w:r>
          </w:p>
        </w:tc>
      </w:tr>
      <w:tr w:rsidR="00A93CB4" w:rsidRPr="00FA6DDD" w14:paraId="32A3A9CF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6F5340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lastRenderedPageBreak/>
              <w:t>Variables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D988F5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67D626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8F6405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Outcomes: Section 2.8, p. 10; peri-implant disease case definitions: Section 2.7, p. 9; exposure (implant system): Section 2.2, p. 6; definitions of immediate placement/loading: Section 2.4, p. 7; covariates: Section 2.9, p. 10–11</w:t>
            </w:r>
          </w:p>
          <w:p w14:paraId="5AFCE32A" w14:textId="306D740D" w:rsidR="00A93CB4" w:rsidRPr="00FA6DDD" w:rsidRDefault="00A93CB4">
            <w:pPr>
              <w:spacing w:after="40"/>
              <w:rPr>
                <w:lang w:val="en-US"/>
              </w:rPr>
            </w:pPr>
          </w:p>
        </w:tc>
      </w:tr>
      <w:tr w:rsidR="00A93CB4" w:rsidRPr="00FA6DDD" w14:paraId="0D73F308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B64516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Data sources/ measurement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A85437F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8*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7B2532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i/>
                <w:iCs/>
                <w:lang w:val="en-US"/>
              </w:rPr>
              <w:t xml:space="preserve"> </w:t>
            </w:r>
            <w:r>
              <w:rPr>
                <w:lang w:val="en-US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8DA808" w14:textId="2ACEB4DD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Radiographic MBL: Section 2.6, p. 8–9; soft tissue parameters: Section 2.7, p. 9</w:t>
            </w:r>
          </w:p>
        </w:tc>
      </w:tr>
      <w:tr w:rsidR="00A93CB4" w:rsidRPr="00FA6DDD" w14:paraId="6DC57964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3F2F42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Bias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04B70A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EEE017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Describe any efforts to address potential sources of bias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1FD1EE" w14:textId="7E170B56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Calibrated examiner not involved in treatment, inter-examiner reliability (ICC = 0.92), non-blinding to design stated: Section 2.6, p. 8–9; center as fixed effect, implant- and patient-level random effects, patient-clustered GEE and Cox models: Section 2.9, p. 10–11; confounding by indication and selection bias discussed: Section 4.6, p. 28</w:t>
            </w:r>
          </w:p>
        </w:tc>
      </w:tr>
      <w:tr w:rsidR="00A93CB4" w:rsidRPr="00FA6DDD" w14:paraId="75EBB972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CEDAAD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Study size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A80785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357001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Explain how the study size was arrived at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D49F30" w14:textId="2FDB4391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Target of approximately 120 consecutive implants per center: Section 2.3.1, p. 7; a priori precision-based sample size calculation (minimum 184 implants, precision ±0.15 mm; achieved ±0.093 mm with 470 implants): Section 2.9, p. 11</w:t>
            </w:r>
          </w:p>
        </w:tc>
      </w:tr>
      <w:tr w:rsidR="00A93CB4" w:rsidRPr="00FA6DDD" w14:paraId="3A5D9617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36466B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Quantitative variables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0386864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097EFF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D0691F" w14:textId="0A5BBDEE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Piecewise linear time (first year / thereafter): Section 2.9, p. 10; continuous predictors per unit (mm, years): Table 4, p. 17; MBL thresholds 1, 2 and 3 mm: Section 2.8.1, p. 10 and Table 3, p. 15–16</w:t>
            </w:r>
          </w:p>
        </w:tc>
      </w:tr>
      <w:tr w:rsidR="00A93CB4" w:rsidRPr="00FA6DDD" w14:paraId="6B891991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53C34D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Statistical methods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783DBC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E52A31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(</w:t>
            </w:r>
            <w:r>
              <w:rPr>
                <w:i/>
                <w:iCs/>
                <w:lang w:val="en-US"/>
              </w:rPr>
              <w:t>a</w:t>
            </w:r>
            <w:r>
              <w:rPr>
                <w:lang w:val="en-US"/>
              </w:rPr>
              <w:t>) Describe all statistical methods, including those used to control for confounding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906BED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Linear mixed-effects models (piecewise time, implant- and patient-level random effects, BIC-based selection), GEE, Firth penalized logistic regression, Kaplan–Meier/log-rank and Cox models; center adjustment and covariates: Section 2.9, p. 10–11</w:t>
            </w:r>
          </w:p>
        </w:tc>
      </w:tr>
      <w:tr w:rsidR="00A93CB4" w:rsidRPr="00FA6DDD" w14:paraId="12BE435B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A6D1E8" w14:textId="77777777" w:rsidR="00A93CB4" w:rsidRPr="00FA6DDD" w:rsidRDefault="00A93CB4">
            <w:pPr>
              <w:spacing w:after="40"/>
              <w:rPr>
                <w:lang w:val="en-US"/>
              </w:rPr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CF58EA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C930C96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(</w:t>
            </w:r>
            <w:r>
              <w:rPr>
                <w:i/>
                <w:iCs/>
                <w:lang w:val="en-US"/>
              </w:rPr>
              <w:t>b</w:t>
            </w:r>
            <w:r>
              <w:rPr>
                <w:lang w:val="en-US"/>
              </w:rPr>
              <w:t>) Describe any methods used to examine subgroups and interactions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568879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Implant system × time and immediate placement × time interactions (placement interaction exploratory): Section 2.9, p. 10–11; Table 5, p. 18</w:t>
            </w:r>
          </w:p>
        </w:tc>
      </w:tr>
      <w:tr w:rsidR="00A93CB4" w:rsidRPr="00FA6DDD" w14:paraId="442FE958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2AB2C8" w14:textId="77777777" w:rsidR="00A93CB4" w:rsidRPr="00FA6DDD" w:rsidRDefault="00A93CB4">
            <w:pPr>
              <w:spacing w:after="40"/>
              <w:rPr>
                <w:lang w:val="en-US"/>
              </w:rPr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1977C2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141602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(</w:t>
            </w:r>
            <w:r>
              <w:rPr>
                <w:i/>
                <w:iCs/>
                <w:lang w:val="en-US"/>
              </w:rPr>
              <w:t>c</w:t>
            </w:r>
            <w:r>
              <w:rPr>
                <w:lang w:val="en-US"/>
              </w:rPr>
              <w:t>) Explain how missing data were addressed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9D1DF8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Complete-case analysis: Section 2.9, p. 11; “not recorded” categories reported: Tables 1–2, p. 12–14</w:t>
            </w:r>
          </w:p>
          <w:p w14:paraId="2893ABBB" w14:textId="06B412CC" w:rsidR="00A93CB4" w:rsidRPr="00FA6DDD" w:rsidRDefault="00A93CB4">
            <w:pPr>
              <w:spacing w:after="40"/>
              <w:rPr>
                <w:lang w:val="en-US"/>
              </w:rPr>
            </w:pPr>
          </w:p>
        </w:tc>
      </w:tr>
      <w:tr w:rsidR="00A93CB4" w:rsidRPr="00FA6DDD" w14:paraId="390BD095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17A896" w14:textId="77777777" w:rsidR="00A93CB4" w:rsidRPr="00FA6DDD" w:rsidRDefault="00A93CB4">
            <w:pPr>
              <w:spacing w:after="40"/>
              <w:rPr>
                <w:lang w:val="en-US"/>
              </w:rPr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AB779C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184B8D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(</w:t>
            </w:r>
            <w:r>
              <w:rPr>
                <w:i/>
                <w:iCs/>
                <w:lang w:val="en-US"/>
              </w:rPr>
              <w:t>d</w:t>
            </w:r>
            <w:r>
              <w:rPr>
                <w:lang w:val="en-US"/>
              </w:rPr>
              <w:t xml:space="preserve">) </w:t>
            </w:r>
            <w:r>
              <w:rPr>
                <w:i/>
                <w:iCs/>
                <w:lang w:val="en-US"/>
              </w:rPr>
              <w:t>Cohort study</w:t>
            </w:r>
            <w:r>
              <w:rPr>
                <w:lang w:val="en-US"/>
              </w:rPr>
              <w:t>—If applicable, explain how loss to follow-up was addressed</w:t>
            </w:r>
          </w:p>
          <w:p w14:paraId="7F173CAE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i/>
                <w:iCs/>
                <w:lang w:val="en-US"/>
              </w:rPr>
              <w:t>Case-control study</w:t>
            </w:r>
            <w:r>
              <w:rPr>
                <w:lang w:val="en-US"/>
              </w:rPr>
              <w:t>—If applicable, explain how matching of cases and controls was addressed</w:t>
            </w:r>
          </w:p>
          <w:p w14:paraId="397FE4F5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i/>
                <w:iCs/>
                <w:lang w:val="en-US"/>
              </w:rPr>
              <w:t>Cross-sectional study</w:t>
            </w:r>
            <w:r>
              <w:rPr>
                <w:lang w:val="en-US"/>
              </w:rPr>
              <w:t>—If applicable, describe analytical methods taking account of sampling strategy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EB0191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No loss to follow-up by design (≥ 5-year documentation required); implications discussed in Section 4.6, p. 28</w:t>
            </w:r>
          </w:p>
          <w:p w14:paraId="04A7EBC0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n/a</w:t>
            </w:r>
          </w:p>
        </w:tc>
      </w:tr>
      <w:tr w:rsidR="00A93CB4" w:rsidRPr="00FA6DDD" w14:paraId="38CB123E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54DC7F0" w14:textId="77777777" w:rsidR="00A93CB4" w:rsidRPr="00FA6DDD" w:rsidRDefault="00A93CB4">
            <w:pPr>
              <w:spacing w:after="40"/>
              <w:rPr>
                <w:lang w:val="en-US"/>
              </w:rPr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FBF390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BBD00D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(</w:t>
            </w:r>
            <w:r>
              <w:rPr>
                <w:i/>
                <w:iCs/>
                <w:lang w:val="en-US"/>
              </w:rPr>
              <w:t>e</w:t>
            </w:r>
            <w:r>
              <w:rPr>
                <w:lang w:val="en-US"/>
              </w:rPr>
              <w:t>) Describe any sensitivity analyses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295C69" w14:textId="06DC7C53" w:rsidR="00A93CB4" w:rsidRPr="00FA6DDD" w:rsidRDefault="00491CB4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Previous (linear time, patient-level random effects) and intermediate model specifications: Section 2.9, p. 11; Additional file 1, Table S1; alternative peri-implantitis definitions: Section 2.7, p. 9</w:t>
            </w:r>
          </w:p>
        </w:tc>
      </w:tr>
      <w:tr w:rsidR="00A93CB4" w:rsidRPr="00FA6DDD" w14:paraId="2E63EA02" w14:textId="77777777">
        <w:tc>
          <w:tcPr>
            <w:tcW w:w="1457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87B627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Results</w:t>
            </w:r>
          </w:p>
        </w:tc>
      </w:tr>
      <w:tr w:rsidR="00A93CB4" w:rsidRPr="00FA6DDD" w14:paraId="4ABE6E0A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152186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Participants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B3E082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13*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B89200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(a) 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7DAF65" w14:textId="6A5D98BD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Section 2.3.1, p. 7 (implants per center: C1, 133; C2, 247; C3, 90; number of records screened not documented); Section 3, p. 12 (470 implants in 137 patients included); analysed numbers per endpoint: Tables 3, 6 and 7</w:t>
            </w:r>
          </w:p>
        </w:tc>
      </w:tr>
      <w:tr w:rsidR="00A93CB4" w:rsidRPr="00FA6DDD" w14:paraId="557A077C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6903FE4" w14:textId="77777777" w:rsidR="00A93CB4" w:rsidRPr="00FA6DDD" w:rsidRDefault="00A93CB4">
            <w:pPr>
              <w:spacing w:after="40"/>
              <w:rPr>
                <w:lang w:val="en-US"/>
              </w:rPr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EFC187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13*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6E03E9F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(b) Give reasons for non-participation at each stage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0FE2BC" w14:textId="202AFC42" w:rsidR="00A93CB4" w:rsidRPr="00FA6DDD" w:rsidRDefault="006C378D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 xml:space="preserve">Reasons for non-inclusion were not documented (Section 2.3.1, p. 7); eligibility required radiographs at placement, loading and ≥ 5 years plus a probing chart ≥ 5 years after placement; limitation discussed in Section 4.6, p. 28 </w:t>
            </w:r>
          </w:p>
        </w:tc>
      </w:tr>
      <w:tr w:rsidR="00A93CB4" w:rsidRPr="00FA6DDD" w14:paraId="2760A8D9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7DFAEF" w14:textId="77777777" w:rsidR="00A93CB4" w:rsidRPr="00FA6DDD" w:rsidRDefault="00A93CB4">
            <w:pPr>
              <w:spacing w:after="40"/>
              <w:rPr>
                <w:lang w:val="en-US"/>
              </w:rPr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108954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13*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712193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(c) Consider use of a flow diagram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636D30" w14:textId="330AE138" w:rsidR="00A93CB4" w:rsidRPr="00FA6DDD" w:rsidRDefault="001C5DC4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Not provided; records screened and reasons for non-inclusion were not documented (Section 2.3.1, p. 7)</w:t>
            </w:r>
          </w:p>
        </w:tc>
      </w:tr>
      <w:tr w:rsidR="00A93CB4" w:rsidRPr="00FA6DDD" w14:paraId="3A182007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3A6193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Descriptive data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BE2EF3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14*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1C055C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(a) Give characteristics of study participants (eg demographic, clinical, social) and information on exposures and potential confounders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064F2D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Sections 3.1–3.2 and Tables 1–2, p. 12–14</w:t>
            </w:r>
          </w:p>
        </w:tc>
      </w:tr>
      <w:tr w:rsidR="00A93CB4" w:rsidRPr="00FA6DDD" w14:paraId="768906F6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918C9A" w14:textId="77777777" w:rsidR="00A93CB4" w:rsidRPr="00FA6DDD" w:rsidRDefault="00A93CB4">
            <w:pPr>
              <w:spacing w:after="40"/>
              <w:rPr>
                <w:lang w:val="en-US"/>
              </w:rPr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CBC48A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14*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3FBEBF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(b) Indicate number of participants with missing data for each variable of interest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9A4655" w14:textId="6EA8E1EE" w:rsidR="00A93CB4" w:rsidRPr="00FA6DDD" w:rsidRDefault="001C5DC4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Missing values reported as “not recorded” in Tables 1–2, p. 12–14; three implants without follow-up radiograph (Table 1 note); analysed n per endpoint in Tables 3, 6 and 7</w:t>
            </w:r>
          </w:p>
        </w:tc>
      </w:tr>
      <w:tr w:rsidR="00A93CB4" w:rsidRPr="00FA6DDD" w14:paraId="51817F48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DD14A4" w14:textId="77777777" w:rsidR="00A93CB4" w:rsidRPr="00FA6DDD" w:rsidRDefault="00A93CB4">
            <w:pPr>
              <w:spacing w:after="40"/>
              <w:rPr>
                <w:lang w:val="en-US"/>
              </w:rPr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6D8211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14*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237948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 xml:space="preserve">(c) </w:t>
            </w:r>
            <w:r>
              <w:rPr>
                <w:i/>
                <w:iCs/>
                <w:lang w:val="en-US"/>
              </w:rPr>
              <w:t>Cohort study</w:t>
            </w:r>
            <w:r>
              <w:rPr>
                <w:lang w:val="en-US"/>
              </w:rPr>
              <w:t>—Summarise follow-up time (eg, average and total amount)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2AC2D7" w14:textId="2310CA2A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Mean ± SD and range of follow-up overall and per center: Section 3.1 and Table 1, p. 12; per implant system: Table 3, p. 15</w:t>
            </w:r>
          </w:p>
        </w:tc>
      </w:tr>
      <w:tr w:rsidR="00A93CB4" w:rsidRPr="00FA6DDD" w14:paraId="1BD7029A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FCD5F1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Outcome data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A86C8B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15*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590336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i/>
                <w:iCs/>
                <w:lang w:val="en-US"/>
              </w:rPr>
              <w:t>Cohort study</w:t>
            </w:r>
            <w:r>
              <w:rPr>
                <w:lang w:val="en-US"/>
              </w:rPr>
              <w:t>—Report numbers of outcome events or summary measures over time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215C18" w14:textId="7B5AC699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MBL over time and threshold distribution: Section 3.3 and Table 3, p. 15–16; Figures 1–3, p. 19–20; hard complications (n = 8): Section 3.5 and Figure 4, p. 20–21; Table 7, p. 23</w:t>
            </w:r>
          </w:p>
        </w:tc>
      </w:tr>
      <w:tr w:rsidR="00A93CB4" w:rsidRPr="00FA6DDD" w14:paraId="7750284D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8B9E58" w14:textId="77777777" w:rsidR="00A93CB4" w:rsidRPr="00FA6DDD" w:rsidRDefault="00A93CB4">
            <w:pPr>
              <w:spacing w:after="40"/>
              <w:rPr>
                <w:lang w:val="en-US"/>
              </w:rPr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1466BFC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15*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A99077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i/>
                <w:iCs/>
                <w:lang w:val="en-US"/>
              </w:rPr>
              <w:t>Case-control study—</w:t>
            </w:r>
            <w:r>
              <w:rPr>
                <w:lang w:val="en-US"/>
              </w:rPr>
              <w:t>Report numbers in each exposure category, or summary measures of exposure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51810FA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n/a</w:t>
            </w:r>
          </w:p>
        </w:tc>
      </w:tr>
      <w:tr w:rsidR="00A93CB4" w:rsidRPr="00FA6DDD" w14:paraId="1F22F5FF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26F7E0" w14:textId="77777777" w:rsidR="00A93CB4" w:rsidRPr="00FA6DDD" w:rsidRDefault="00A93CB4">
            <w:pPr>
              <w:spacing w:after="40"/>
              <w:rPr>
                <w:lang w:val="en-US"/>
              </w:rPr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00276A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15*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F4DB95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i/>
                <w:iCs/>
                <w:lang w:val="en-US"/>
              </w:rPr>
              <w:t>Cross-sectional study—</w:t>
            </w:r>
            <w:r>
              <w:rPr>
                <w:lang w:val="en-US"/>
              </w:rPr>
              <w:t>Report numbers of outcome events or summary measures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98C74F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Soft tissue parameters and peri-implant disease categories (cross-sectional component): Section 3.6, p. 21–22; Table 6, p. 22; Table 7, p. 23</w:t>
            </w:r>
          </w:p>
        </w:tc>
      </w:tr>
      <w:tr w:rsidR="00A93CB4" w:rsidRPr="00FA6DDD" w14:paraId="35502D4B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43F861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Main results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9C5252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0EC64B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(</w:t>
            </w:r>
            <w:r>
              <w:rPr>
                <w:i/>
                <w:iCs/>
                <w:lang w:val="en-US"/>
              </w:rPr>
              <w:t>a</w:t>
            </w:r>
            <w:r>
              <w:rPr>
                <w:lang w:val="en-US"/>
              </w:rPr>
              <w:t>) 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B4D4AF" w14:textId="6CAF8A25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Unadjusted and adjusted estimates with 95% CI: Tables 4, 5 and 7, p. 17–23; covariates and rationale for center-only adjustment (Firth model) and exclusion of center-confounded variables: Section 2.9, p. 10–11; Section 3.2, p. 13</w:t>
            </w:r>
          </w:p>
        </w:tc>
      </w:tr>
      <w:tr w:rsidR="00A93CB4" w:rsidRPr="00FA6DDD" w14:paraId="7904A22F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E6697D" w14:textId="77777777" w:rsidR="00A93CB4" w:rsidRPr="00FA6DDD" w:rsidRDefault="00A93CB4">
            <w:pPr>
              <w:spacing w:after="40"/>
              <w:rPr>
                <w:lang w:val="en-US"/>
              </w:rPr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69D90C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B865C4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(</w:t>
            </w:r>
            <w:r>
              <w:rPr>
                <w:i/>
                <w:iCs/>
                <w:lang w:val="en-US"/>
              </w:rPr>
              <w:t>b</w:t>
            </w:r>
            <w:r>
              <w:rPr>
                <w:lang w:val="en-US"/>
              </w:rPr>
              <w:t>) Report category boundaries when continuous variables were categorized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250A31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n/a (no continuous exposure categorised)</w:t>
            </w:r>
          </w:p>
        </w:tc>
      </w:tr>
      <w:tr w:rsidR="00A93CB4" w:rsidRPr="00FA6DDD" w14:paraId="4813D595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CEE19B" w14:textId="77777777" w:rsidR="00A93CB4" w:rsidRPr="00FA6DDD" w:rsidRDefault="00A93CB4">
            <w:pPr>
              <w:spacing w:after="40"/>
              <w:rPr>
                <w:lang w:val="en-US"/>
              </w:rPr>
            </w:pP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B1CCCD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16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80AB7FB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(</w:t>
            </w:r>
            <w:r>
              <w:rPr>
                <w:i/>
                <w:iCs/>
                <w:lang w:val="en-US"/>
              </w:rPr>
              <w:t>c</w:t>
            </w:r>
            <w:r>
              <w:rPr>
                <w:lang w:val="en-US"/>
              </w:rPr>
              <w:t>) If relevant, consider translating estimates of relative risk into absolute risk for a meaningful time period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40D40C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5-year Kaplan–Meier estimates (98.4% vs. 98.2%): Section 3.5, p. 20; absolute proportions of implants/patients exceeding MBL thresholds: Table 3, p. 15–16</w:t>
            </w:r>
          </w:p>
        </w:tc>
      </w:tr>
      <w:tr w:rsidR="00A93CB4" w:rsidRPr="00FA6DDD" w14:paraId="69814D0C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F58D52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Other analyses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3B549C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29CC00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Report other analyses done—eg analyses of subgroups and interactions, and sensitivity analyses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83E1FD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Interactions: Section 3.4 and Table 5, p. 18; recession–MBL correlation: Section 3.6, p. 22; sensitivity analyses: alternative model specifications, Additional file 1, Table S1; alternative peri-implantitis definitions, Tables 6–7, p. 22–23</w:t>
            </w:r>
          </w:p>
        </w:tc>
      </w:tr>
      <w:tr w:rsidR="00A93CB4" w:rsidRPr="00FA6DDD" w14:paraId="5E06FB11" w14:textId="77777777">
        <w:tc>
          <w:tcPr>
            <w:tcW w:w="1457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75B0A9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Discussion</w:t>
            </w:r>
          </w:p>
        </w:tc>
      </w:tr>
      <w:tr w:rsidR="00A93CB4" w:rsidRPr="00FA6DDD" w14:paraId="657B5CAC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DA9371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Key results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572ED6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ACD150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Summarise key results with reference to study objectives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0AE837" w14:textId="27C25A6B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Sections 4.1–4.5, p. 23–28</w:t>
            </w:r>
          </w:p>
        </w:tc>
      </w:tr>
      <w:tr w:rsidR="00A93CB4" w:rsidRPr="00FA6DDD" w14:paraId="416F5D23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9F1264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Limitations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991735A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03022F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E6E86B" w14:textId="440FB9F0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Section 4.6, p. 28–29</w:t>
            </w:r>
          </w:p>
        </w:tc>
      </w:tr>
      <w:tr w:rsidR="00A93CB4" w:rsidRPr="00FA6DDD" w14:paraId="2C7D3C0C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54E2C0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Interpretation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8BD431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E58199D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2E0B89" w14:textId="7C4A0AA6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Sections 4.1–4.5, p. 23–28; Conclusions, Section 5, p. 29</w:t>
            </w:r>
          </w:p>
        </w:tc>
      </w:tr>
      <w:tr w:rsidR="00A93CB4" w:rsidRPr="00FA6DDD" w14:paraId="63796B15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755174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Generalisability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C2B8B7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351BB2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Discuss the generalisability (external validity) of the study results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7465FD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Section 4.6, p. 28–29 (single implant system, tissue-level designs only, one surgeon per center)</w:t>
            </w:r>
          </w:p>
        </w:tc>
      </w:tr>
      <w:tr w:rsidR="00A93CB4" w:rsidRPr="00FA6DDD" w14:paraId="65279BBA" w14:textId="77777777">
        <w:tc>
          <w:tcPr>
            <w:tcW w:w="14570" w:type="dxa"/>
            <w:gridSpan w:val="4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0DEC1B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>Other information</w:t>
            </w:r>
          </w:p>
        </w:tc>
      </w:tr>
      <w:tr w:rsidR="00A93CB4" w:rsidRPr="00FA6DDD" w14:paraId="07DF6542" w14:textId="77777777">
        <w:trPr>
          <w:cantSplit/>
        </w:trPr>
        <w:tc>
          <w:tcPr>
            <w:tcW w:w="22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B8E1932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Funding</w:t>
            </w:r>
          </w:p>
        </w:tc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6958D9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  <w:tc>
          <w:tcPr>
            <w:tcW w:w="697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8253D3" w14:textId="77777777" w:rsidR="00A93CB4" w:rsidRPr="00FA6DDD" w:rsidRDefault="00000000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4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07DE13" w14:textId="3EB7E8DE" w:rsidR="00A93CB4" w:rsidRPr="00FA6DDD" w:rsidRDefault="00BB280A">
            <w:pPr>
              <w:spacing w:after="40"/>
              <w:rPr>
                <w:lang w:val="en-US"/>
              </w:rPr>
            </w:pPr>
            <w:r>
              <w:rPr>
                <w:lang w:val="en-US"/>
              </w:rPr>
              <w:t xml:space="preserve">No external funding; self-funded by the first author (Declarations, Section 6, p. 29) </w:t>
            </w:r>
          </w:p>
        </w:tc>
      </w:tr>
    </w:tbl>
    <w:p w14:paraId="2E40B92D" w14:textId="3F876BA7" w:rsidR="00A93CB4" w:rsidRPr="00FA6DDD" w:rsidRDefault="00A93CB4">
      <w:pPr>
        <w:spacing w:before="120"/>
        <w:rPr>
          <w:lang w:val="en-US"/>
        </w:rPr>
      </w:pPr>
    </w:p>
    <w:sectPr w:rsidR="00A93CB4" w:rsidRPr="00FA6DDD">
      <w:pgSz w:w="16838" w:h="11906" w:orient="landscape"/>
      <w:pgMar w:top="1000" w:right="1134" w:bottom="100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B57E19"/>
    <w:multiLevelType w:val="hybridMultilevel"/>
    <w:tmpl w:val="C26A159C"/>
    <w:lvl w:ilvl="0" w:tplc="4F921D9C">
      <w:start w:val="1"/>
      <w:numFmt w:val="bullet"/>
      <w:lvlText w:val="●"/>
      <w:lvlJc w:val="left"/>
      <w:pPr>
        <w:ind w:left="720" w:hanging="360"/>
      </w:pPr>
    </w:lvl>
    <w:lvl w:ilvl="1" w:tplc="447A5906">
      <w:start w:val="1"/>
      <w:numFmt w:val="bullet"/>
      <w:lvlText w:val="○"/>
      <w:lvlJc w:val="left"/>
      <w:pPr>
        <w:ind w:left="1440" w:hanging="360"/>
      </w:pPr>
    </w:lvl>
    <w:lvl w:ilvl="2" w:tplc="B5D2B696">
      <w:start w:val="1"/>
      <w:numFmt w:val="bullet"/>
      <w:lvlText w:val="■"/>
      <w:lvlJc w:val="left"/>
      <w:pPr>
        <w:ind w:left="2160" w:hanging="360"/>
      </w:pPr>
    </w:lvl>
    <w:lvl w:ilvl="3" w:tplc="4014B3DC">
      <w:start w:val="1"/>
      <w:numFmt w:val="bullet"/>
      <w:lvlText w:val="●"/>
      <w:lvlJc w:val="left"/>
      <w:pPr>
        <w:ind w:left="2880" w:hanging="360"/>
      </w:pPr>
    </w:lvl>
    <w:lvl w:ilvl="4" w:tplc="7068A556">
      <w:start w:val="1"/>
      <w:numFmt w:val="bullet"/>
      <w:lvlText w:val="○"/>
      <w:lvlJc w:val="left"/>
      <w:pPr>
        <w:ind w:left="3600" w:hanging="360"/>
      </w:pPr>
    </w:lvl>
    <w:lvl w:ilvl="5" w:tplc="7E8E9968">
      <w:start w:val="1"/>
      <w:numFmt w:val="bullet"/>
      <w:lvlText w:val="■"/>
      <w:lvlJc w:val="left"/>
      <w:pPr>
        <w:ind w:left="4320" w:hanging="360"/>
      </w:pPr>
    </w:lvl>
    <w:lvl w:ilvl="6" w:tplc="CAAE26FE">
      <w:start w:val="1"/>
      <w:numFmt w:val="bullet"/>
      <w:lvlText w:val="●"/>
      <w:lvlJc w:val="left"/>
      <w:pPr>
        <w:ind w:left="5040" w:hanging="360"/>
      </w:pPr>
    </w:lvl>
    <w:lvl w:ilvl="7" w:tplc="632893DE">
      <w:start w:val="1"/>
      <w:numFmt w:val="bullet"/>
      <w:lvlText w:val="●"/>
      <w:lvlJc w:val="left"/>
      <w:pPr>
        <w:ind w:left="5760" w:hanging="360"/>
      </w:pPr>
    </w:lvl>
    <w:lvl w:ilvl="8" w:tplc="17EE6E8A">
      <w:start w:val="1"/>
      <w:numFmt w:val="bullet"/>
      <w:lvlText w:val="●"/>
      <w:lvlJc w:val="left"/>
      <w:pPr>
        <w:ind w:left="6480" w:hanging="360"/>
      </w:pPr>
    </w:lvl>
  </w:abstractNum>
  <w:num w:numId="1" w16cid:durableId="118948836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CB4"/>
    <w:rsid w:val="001C5DC4"/>
    <w:rsid w:val="002020B7"/>
    <w:rsid w:val="0027082F"/>
    <w:rsid w:val="004167D7"/>
    <w:rsid w:val="00423FD7"/>
    <w:rsid w:val="00491CB4"/>
    <w:rsid w:val="004B154D"/>
    <w:rsid w:val="006165F4"/>
    <w:rsid w:val="006C378D"/>
    <w:rsid w:val="008D412A"/>
    <w:rsid w:val="009A1012"/>
    <w:rsid w:val="00A93CB4"/>
    <w:rsid w:val="00AA6575"/>
    <w:rsid w:val="00AC6487"/>
    <w:rsid w:val="00BB280A"/>
    <w:rsid w:val="00CA5211"/>
    <w:rsid w:val="00FA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FDEE527"/>
  <w15:docId w15:val="{30D4F30F-098E-BF40-9E56-D5ED01CB1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18"/>
        <w:szCs w:val="18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erschrift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erschrift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1341</Words>
  <Characters>8453</Characters>
  <Application>Microsoft Office Word</Application>
  <DocSecurity>0</DocSecurity>
  <Lines>70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Paul Henn</cp:lastModifiedBy>
  <cp:revision>2</cp:revision>
  <dcterms:created xsi:type="dcterms:W3CDTF">2026-10-04T09:52:00Z</dcterms:created>
  <dcterms:modified xsi:type="dcterms:W3CDTF">2026-10-04T09:52:00Z</dcterms:modified>
</cp:coreProperties>
</file>