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4E" w:rsidRDefault="008D05E3">
      <w:pP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Additional file 7</w:t>
      </w:r>
      <w:bookmarkStart w:id="0" w:name="_GoBack"/>
      <w:bookmarkEnd w:id="0"/>
    </w:p>
    <w:p w:rsidR="009D5381" w:rsidRPr="00512E4E" w:rsidRDefault="00512E4E">
      <w:pPr>
        <w:rPr>
          <w:rStyle w:val="eop"/>
          <w:rFonts w:ascii="Times New Roman" w:hAnsi="Times New Roman" w:cs="Times New Roman"/>
          <w:sz w:val="24"/>
          <w:szCs w:val="24"/>
          <w:lang w:val="en-CA"/>
        </w:rPr>
      </w:pPr>
      <w:r w:rsidRPr="00A82AA4">
        <w:rPr>
          <w:rFonts w:ascii="Times New Roman" w:hAnsi="Times New Roman" w:cs="Times New Roman"/>
          <w:sz w:val="24"/>
          <w:szCs w:val="24"/>
          <w:lang w:val="en-CA"/>
        </w:rPr>
        <w:t>The most frequent S</w:t>
      </w:r>
      <w:r>
        <w:rPr>
          <w:rFonts w:ascii="Times New Roman" w:hAnsi="Times New Roman" w:cs="Times New Roman"/>
          <w:sz w:val="24"/>
          <w:szCs w:val="24"/>
          <w:lang w:val="en-CA"/>
        </w:rPr>
        <w:t>ERVQUAL dimensions, process factors,</w:t>
      </w:r>
      <w:r w:rsidRPr="00A82AA4">
        <w:rPr>
          <w:rFonts w:ascii="Times New Roman" w:hAnsi="Times New Roman" w:cs="Times New Roman"/>
          <w:sz w:val="24"/>
          <w:szCs w:val="24"/>
          <w:lang w:val="en-CA"/>
        </w:rPr>
        <w:t xml:space="preserve"> sub-themes </w:t>
      </w:r>
      <w:r>
        <w:rPr>
          <w:rFonts w:ascii="Times New Roman" w:hAnsi="Times New Roman" w:cs="Times New Roman"/>
          <w:sz w:val="24"/>
          <w:szCs w:val="24"/>
          <w:lang w:val="en-CA"/>
        </w:rPr>
        <w:t>and selected quotes among patients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1F6E" w:rsidRPr="00461F6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(N=101)</w:t>
      </w:r>
      <w:r w:rsidR="00461F6E" w:rsidRPr="00461F6E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800"/>
        <w:gridCol w:w="2250"/>
        <w:gridCol w:w="3495"/>
      </w:tblGrid>
      <w:tr w:rsidR="00461F6E" w:rsidRPr="00461F6E" w:rsidTr="00461F6E">
        <w:tc>
          <w:tcPr>
            <w:tcW w:w="17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Dimension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Most frequent process factors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Sub-themes </w:t>
            </w:r>
          </w:p>
        </w:tc>
        <w:tc>
          <w:tcPr>
            <w:tcW w:w="34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Selected quotes </w:t>
            </w:r>
          </w:p>
        </w:tc>
      </w:tr>
      <w:tr w:rsidR="00461F6E" w:rsidRPr="00461F6E" w:rsidTr="00461F6E">
        <w:trPr>
          <w:trHeight w:val="300"/>
        </w:trPr>
        <w:tc>
          <w:tcPr>
            <w:tcW w:w="178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Responsiveness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=33)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(The willingness to help customers and provide prompt service)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Address logistical needs (n=17)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Convenience (saving time, travel and cost)  </w:t>
            </w:r>
          </w:p>
        </w:tc>
        <w:tc>
          <w:tcPr>
            <w:tcW w:w="34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Participants considered no transport...no travel expense as advantage of TM appointment. (18_PT_36).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I didn’t have to drive there, find parking, and all the way to the office, wasting an hour plus if time. (9_PT_113).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Eighty-eight percent of patients agreed that their telehealth visit was more convenient for them than an in-person visit.(14_PT_127) </w:t>
            </w:r>
          </w:p>
        </w:tc>
      </w:tr>
      <w:tr w:rsidR="00461F6E" w:rsidRPr="00461F6E" w:rsidTr="00461F6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F6E" w:rsidRPr="00461F6E" w:rsidRDefault="00461F6E" w:rsidP="00461F6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Address medical needs (n=14)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Address communicative needs (e.g., understanding care plan, or disease, change medication regiments.) 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Regarding to the ease of ….understanding the plan-of-care, the most frequent response was “very satisfied" (average rating 5.5/6). (3_PT_33)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(About 88%) Majority of the participants stated that the TM appointment helped them as well as previous appointments onsite for the understanding of the illness, (18_PT_63)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61F6E" w:rsidRPr="00461F6E" w:rsidTr="00461F6E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Tangible 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=25)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(The equipment and personnel)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issue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(n=19)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Connectivity;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Usability;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Availability;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Family support.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A lag in audio (or visual) (3_PT_17)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We found that patients experienced </w:t>
            </w:r>
            <w:proofErr w:type="spellStart"/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MyChart</w:t>
            </w:r>
            <w:proofErr w:type="spellEnd"/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logistical challenges with synchronous TN, which resulted in switching to non-</w:t>
            </w:r>
            <w:proofErr w:type="spellStart"/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MyChart</w:t>
            </w:r>
            <w:proofErr w:type="spellEnd"/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platforms. (11_PT_178)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... </w:t>
            </w:r>
            <w:proofErr w:type="gramStart"/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proofErr w:type="gramEnd"/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lack of PC, tablet, or phone with Internet connection in 8 cases (23.5%) (2_PT_173)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Televisits</w:t>
            </w:r>
            <w:proofErr w:type="spellEnd"/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 performed in the presence of subjects of younger generation had a successful rate higher than the group without younger generation caregiver (2_PT_176) </w:t>
            </w:r>
          </w:p>
        </w:tc>
      </w:tr>
      <w:tr w:rsidR="00461F6E" w:rsidRPr="00461F6E" w:rsidTr="00461F6E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F6E" w:rsidRPr="00461F6E" w:rsidRDefault="00461F6E" w:rsidP="00461F6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Home environment (n=6)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Comfort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Participants considered...more comfort as advantage of TM appointment. (18_PT_37)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‘‘Comfort of being in your own home. (9_PT_101) </w:t>
            </w:r>
          </w:p>
        </w:tc>
      </w:tr>
      <w:tr w:rsidR="00461F6E" w:rsidRPr="00461F6E" w:rsidTr="00461F6E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Default="00461F6E" w:rsidP="00461F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Assurance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=23)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(The knowledge and courtesy of employees and their ability to inspire trust and confidence)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Default="00461F6E" w:rsidP="00461F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(n=12)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Default="00461F6E" w:rsidP="00461F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Situational effectiveness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Language barrier without gesture compensated communication (0.9%) (19_PT_79)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Sixty-four percent of patients agreed that they were able to adequately show their clinical signs to their provider, (14_PT_124) </w:t>
            </w:r>
          </w:p>
        </w:tc>
      </w:tr>
      <w:tr w:rsidR="00461F6E" w:rsidRPr="00461F6E" w:rsidTr="00461F6E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F6E" w:rsidRPr="00461F6E" w:rsidRDefault="00461F6E" w:rsidP="00461F6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Diagnosis (n=5)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Delay and uncertain 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Other disadvantages were the postponements of diagnostics or therapies (5.5%) (19_PT_77)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Patients who found virtual clinic to be “not as good” were more likely to have an underlying neurological disorder that would benefit from clinical examination, namely, a neuromuscular condition (66.7%) (2_PT_14) </w:t>
            </w:r>
          </w:p>
        </w:tc>
      </w:tr>
      <w:tr w:rsidR="00461F6E" w:rsidRPr="00461F6E" w:rsidTr="00461F6E"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=15)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(the ability to perform the promised service dependably and accurately)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Default="00461F6E" w:rsidP="00461F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Tests, prescriptions, Treatments 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78D4"/>
                <w:sz w:val="19"/>
                <w:szCs w:val="19"/>
                <w:vertAlign w:val="superscript"/>
              </w:rPr>
              <w:t xml:space="preserve"> </w:t>
            </w: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(n=8)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Delay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Lack of immediate prescription (9%) (18_PT_47).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A delay in performance of epilepsy-related tests occurred in 37 patients (14.5%). Routine EEG was the test most often delayed (n = 11; 29.7%), followed by MRI (n = 9; 24.3%) and video-EEG monitoring (n = 8; 21.6%). (8_PT_133) </w:t>
            </w:r>
          </w:p>
        </w:tc>
      </w:tr>
      <w:tr w:rsidR="00461F6E" w:rsidRPr="00461F6E" w:rsidTr="00461F6E"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Empathy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=5)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(The provision of individual care and attention to customers)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attention (n=3)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Present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24"/>
                <w:szCs w:val="24"/>
              </w:rPr>
              <w:t>Embarrassing 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Felt more present and focused (9_PT_103). </w:t>
            </w:r>
          </w:p>
          <w:p w:rsidR="00461F6E" w:rsidRPr="00461F6E" w:rsidRDefault="00461F6E" w:rsidP="00461F6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… </w:t>
            </w:r>
            <w:proofErr w:type="gramStart"/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>embarrassing</w:t>
            </w:r>
            <w:proofErr w:type="gramEnd"/>
            <w:r w:rsidRPr="00461F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nature of the teleconsultation ... were unfavorable to satisfaction of the patient (4_PT_183). </w:t>
            </w:r>
          </w:p>
        </w:tc>
      </w:tr>
    </w:tbl>
    <w:p w:rsidR="00461F6E" w:rsidRPr="00461F6E" w:rsidRDefault="00461F6E">
      <w:pPr>
        <w:rPr>
          <w:rFonts w:ascii="Times New Roman" w:hAnsi="Times New Roman" w:cs="Times New Roman"/>
          <w:sz w:val="24"/>
          <w:szCs w:val="24"/>
        </w:rPr>
      </w:pPr>
    </w:p>
    <w:sectPr w:rsidR="00461F6E" w:rsidRPr="00461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6E"/>
    <w:rsid w:val="0020619B"/>
    <w:rsid w:val="0042410A"/>
    <w:rsid w:val="00461F6E"/>
    <w:rsid w:val="004D0841"/>
    <w:rsid w:val="00512E4E"/>
    <w:rsid w:val="008D05E3"/>
    <w:rsid w:val="009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624A"/>
  <w15:chartTrackingRefBased/>
  <w15:docId w15:val="{DF1DE1FA-4886-4F5F-8885-E4C66D22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61F6E"/>
  </w:style>
  <w:style w:type="character" w:customStyle="1" w:styleId="eop">
    <w:name w:val="eop"/>
    <w:basedOn w:val="DefaultParagraphFont"/>
    <w:rsid w:val="00461F6E"/>
  </w:style>
  <w:style w:type="paragraph" w:customStyle="1" w:styleId="paragraph">
    <w:name w:val="paragraph"/>
    <w:basedOn w:val="Normal"/>
    <w:rsid w:val="0046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Southlake Regional Health Centre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Guangxia Meng</dc:creator>
  <cp:keywords/>
  <dc:description/>
  <cp:lastModifiedBy>Guangxia Meng</cp:lastModifiedBy>
  <cp:revision>5</cp:revision>
  <dcterms:created xsi:type="dcterms:W3CDTF">2021-11-29T16:43:00Z</dcterms:created>
  <dcterms:modified xsi:type="dcterms:W3CDTF">2021-11-29T18:20:00Z</dcterms:modified>
</cp:coreProperties>
</file>