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E0" w:rsidRPr="00EE1BE0" w:rsidRDefault="00EE1BE0">
      <w:pPr>
        <w:rPr>
          <w:rFonts w:ascii="Times New Roman" w:hAnsi="Times New Roman" w:cs="Times New Roman"/>
          <w:b/>
          <w:sz w:val="24"/>
          <w:szCs w:val="24"/>
          <w:lang w:val="en-CA"/>
        </w:rPr>
      </w:pPr>
      <w:r w:rsidRPr="00EE1BE0">
        <w:rPr>
          <w:rFonts w:ascii="Times New Roman" w:hAnsi="Times New Roman" w:cs="Times New Roman"/>
          <w:b/>
          <w:sz w:val="24"/>
          <w:szCs w:val="24"/>
          <w:lang w:val="en-CA"/>
        </w:rPr>
        <w:t>Additional</w:t>
      </w:r>
      <w:r w:rsidR="000D0DB7">
        <w:rPr>
          <w:rFonts w:ascii="Times New Roman" w:hAnsi="Times New Roman" w:cs="Times New Roman"/>
          <w:b/>
          <w:sz w:val="24"/>
          <w:szCs w:val="24"/>
          <w:lang w:val="en-CA"/>
        </w:rPr>
        <w:t xml:space="preserve"> file 6</w:t>
      </w:r>
      <w:r w:rsidRPr="00EE1BE0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</w:p>
    <w:p w:rsidR="00EE1BE0" w:rsidRDefault="00EE1BE0">
      <w:pPr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  <w:r w:rsidRPr="00EE1BE0">
        <w:rPr>
          <w:rFonts w:ascii="Times New Roman" w:hAnsi="Times New Roman" w:cs="Times New Roman"/>
          <w:sz w:val="24"/>
          <w:szCs w:val="24"/>
          <w:lang w:val="en-CA"/>
        </w:rPr>
        <w:t>The most frequent SERVQUAL dimensions, process factors, sub-themes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with selected quotes</w:t>
      </w:r>
      <w:r w:rsidRPr="00EE1BE0">
        <w:rPr>
          <w:rFonts w:ascii="Times New Roman" w:hAnsi="Times New Roman" w:cs="Times New Roman"/>
          <w:sz w:val="24"/>
          <w:szCs w:val="24"/>
          <w:lang w:val="en-CA"/>
        </w:rPr>
        <w:t xml:space="preserve"> (N=300)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055"/>
        <w:gridCol w:w="2638"/>
        <w:gridCol w:w="2865"/>
      </w:tblGrid>
      <w:tr w:rsidR="00EE1BE0" w:rsidRPr="00EE1BE0" w:rsidTr="00EE1BE0"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Dimension 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Most frequent process factors 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Sub-themes 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Selected quotes </w:t>
            </w:r>
          </w:p>
        </w:tc>
      </w:tr>
      <w:tr w:rsidR="00EE1BE0" w:rsidRPr="00EE1BE0" w:rsidTr="00EE1BE0">
        <w:trPr>
          <w:trHeight w:val="300"/>
        </w:trPr>
        <w:tc>
          <w:tcPr>
            <w:tcW w:w="180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Assurance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(n=113)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 knowledge and courtesy of employees and their ability to inspire trust and confidence)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activities (n=69):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PE (n=32) 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The positive role of video in PE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Limitation of remote PE;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Lacking utilization of remote assessment tools;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Availability of family support </w:t>
            </w:r>
          </w:p>
        </w:tc>
        <w:tc>
          <w:tcPr>
            <w:tcW w:w="286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Better interaction between clinicians and patients, and the use of video to enable a degree of examination led to an improved experience (6_PR</w:t>
            </w:r>
            <w:r w:rsidRPr="00EE1BE0">
              <w:rPr>
                <w:rFonts w:ascii="Times New Roman" w:eastAsia="Times New Roman" w:hAnsi="Times New Roman" w:cs="Times New Roman"/>
                <w:strike/>
                <w:color w:val="0078D4"/>
                <w:sz w:val="14"/>
                <w:szCs w:val="14"/>
                <w:vertAlign w:val="superscript"/>
              </w:rPr>
              <w:t>b</w:t>
            </w: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_59).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52% of providers disagreed that they were able to do the relevant neurological examination virtually (14_PR_310).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A significant implementation barrier was the limited nature of the remote neurologic examination (11_PR_371).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A majority of the responders (83.3%) reported not having administered any questionnaires (quality of life, adverse effects, depression, etc.) over the phone or by videoconference. (5_PR_271)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Occasionally required assistance from a caregiver to position the phone to properly observe the patient, perform certain physician-directed exams (16_PR_164) </w:t>
            </w:r>
          </w:p>
        </w:tc>
      </w:tr>
      <w:tr w:rsidR="00EE1BE0" w:rsidRPr="00EE1BE0" w:rsidTr="00EE1BE0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BE0" w:rsidRPr="00EE1BE0" w:rsidRDefault="00EE1BE0" w:rsidP="00EE1BE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Confidence in care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(n=23)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Video adding confidence;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Experiences and training adding confidence;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Perceptions of decreased standard care.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Unusual conditions (delivery bad news or sensitive information) lowing the confidence.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Compared with telephone (audio only), the use of videoconferencing technology was associated with increased confidence in the ability of telemedicine to formulate and communicate a treatment plan when compared to in-person visits (12_PR_296).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Those with neurosurgery training described increased confidence in telemedicine for imaging review and explanation (12_PR_301).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…the corresponding proportion that reported an overall reduced standard of care during the pandemic were, respectively, 9% and 30% in epilepsy, 3% and 42% in headache, 24% and 71% in multiple sclerosis, and 57% and 74% in movement disorders. (10_PR_253). </w:t>
            </w:r>
          </w:p>
        </w:tc>
      </w:tr>
      <w:tr w:rsidR="00EE1BE0" w:rsidRPr="00EE1BE0" w:rsidTr="00EE1BE0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BE0" w:rsidRPr="00EE1BE0" w:rsidRDefault="00EE1BE0" w:rsidP="00EE1BE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(n=17)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Perceived risk of misunderstanding.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Difficult recognizing emotion;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Difficult establishing trust relationship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Superiority of video visits in communication (enhance PE and diagnosis).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…only 62.5% felt the patient had understood the information correctly. (5_PR_270)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The difficulties recognizing when patients are upset(1_PR_3)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Clinicians reported that video visits were superior to a phone call, allowing them to gather more information than just a medical history. (16_PR_158). </w:t>
            </w:r>
          </w:p>
        </w:tc>
      </w:tr>
      <w:tr w:rsidR="00EE1BE0" w:rsidRPr="00EE1BE0" w:rsidTr="00EE1BE0">
        <w:trPr>
          <w:trHeight w:val="300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(n=96)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(the ability to perform the promised service dependably and accurately)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Appropriate triage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(n=55)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791FC7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Clinical factors:  </w:t>
            </w:r>
          </w:p>
          <w:p w:rsidR="00EE1BE0" w:rsidRPr="00791FC7" w:rsidRDefault="00EE1BE0" w:rsidP="00EE1BE0">
            <w:pPr>
              <w:numPr>
                <w:ilvl w:val="0"/>
                <w:numId w:val="3"/>
              </w:numPr>
              <w:tabs>
                <w:tab w:val="clear" w:pos="0"/>
                <w:tab w:val="num" w:pos="360"/>
              </w:tabs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Follow-up vs New</w:t>
            </w: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E1BE0" w:rsidRPr="00791FC7" w:rsidRDefault="00EE1BE0" w:rsidP="00EE1BE0">
            <w:pPr>
              <w:numPr>
                <w:ilvl w:val="0"/>
                <w:numId w:val="3"/>
              </w:numPr>
              <w:tabs>
                <w:tab w:val="clear" w:pos="0"/>
                <w:tab w:val="num" w:pos="360"/>
              </w:tabs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Screening or stratification</w:t>
            </w: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E1BE0" w:rsidRDefault="00EE1BE0" w:rsidP="00EE1BE0">
            <w:pPr>
              <w:numPr>
                <w:ilvl w:val="0"/>
                <w:numId w:val="3"/>
              </w:numPr>
              <w:tabs>
                <w:tab w:val="clear" w:pos="0"/>
                <w:tab w:val="num" w:pos="360"/>
              </w:tabs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Disease chara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cteristics </w:t>
            </w:r>
          </w:p>
          <w:p w:rsidR="00EE1BE0" w:rsidRPr="00791FC7" w:rsidRDefault="00EE1BE0" w:rsidP="00EE1BE0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(severity, stability, acuity, complexity)</w:t>
            </w: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EE1BE0" w:rsidRPr="00791FC7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Patient factors: </w:t>
            </w:r>
          </w:p>
          <w:p w:rsidR="00EE1BE0" w:rsidRPr="00791FC7" w:rsidRDefault="00EE1BE0" w:rsidP="00EE1BE0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Demographic; </w:t>
            </w:r>
          </w:p>
          <w:p w:rsidR="00EE1BE0" w:rsidRPr="00791FC7" w:rsidRDefault="00EE1BE0" w:rsidP="00EE1BE0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Physical or psychological   limitation; </w:t>
            </w:r>
          </w:p>
          <w:p w:rsidR="00EE1BE0" w:rsidRPr="00791FC7" w:rsidRDefault="00EE1BE0" w:rsidP="00EE1BE0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FC7">
              <w:rPr>
                <w:rFonts w:ascii="Times New Roman" w:eastAsia="Times New Roman" w:hAnsi="Times New Roman" w:cs="Times New Roman"/>
                <w:sz w:val="20"/>
                <w:szCs w:val="20"/>
              </w:rPr>
              <w:t>Caregiver support; </w:t>
            </w:r>
          </w:p>
          <w:p w:rsidR="00EE1BE0" w:rsidRDefault="00EE1BE0" w:rsidP="00EE1BE0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Access to technology;</w:t>
            </w:r>
          </w:p>
          <w:p w:rsidR="00EE1BE0" w:rsidRPr="00F929A6" w:rsidRDefault="00EE1BE0" w:rsidP="00EE1BE0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9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29A6">
              <w:rPr>
                <w:rFonts w:ascii="Times New Roman" w:eastAsia="Times New Roman" w:hAnsi="Times New Roman" w:cs="Times New Roman"/>
                <w:sz w:val="20"/>
                <w:szCs w:val="20"/>
              </w:rPr>
              <w:t>Experience in using technology.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When asked what type of visit telehealth was most suited for, 62% of </w:t>
            </w: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providers chose follow-up visits (14_PR_317).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Would want to conduct a traditional appointment if the patient had new or worsening symptoms. (3_PR_91).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Numerous clinicians mentioned that some patients, particularly older adults and lower-income patient populations (e.g., unhoused individuals or rural farm workers), lacked technological capability to support a video call. (16_PR_154)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 the absence of a supportive family member/caregiver, video visits with patients with cognitive, hearing, or visual impairment were also considered </w:t>
            </w:r>
            <w:proofErr w:type="spellStart"/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nonideal</w:t>
            </w:r>
            <w:proofErr w:type="spellEnd"/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. (16_PR_155) </w:t>
            </w:r>
          </w:p>
        </w:tc>
      </w:tr>
      <w:tr w:rsidR="00EE1BE0" w:rsidRPr="00EE1BE0" w:rsidTr="00EE1BE0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BE0" w:rsidRPr="00EE1BE0" w:rsidRDefault="00EE1BE0" w:rsidP="00EE1BE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support (n=19)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Change work flow: Scheduling and registration; 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Previsit</w:t>
            </w:r>
            <w:proofErr w:type="spellEnd"/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 preparation technically and medically;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Accurate patient information.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…administrative challenges in registration and scheduling (11_PR_346).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Patients were often unprepared (6_PR_37)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Lack of </w:t>
            </w:r>
            <w:proofErr w:type="spellStart"/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previsit</w:t>
            </w:r>
            <w:proofErr w:type="spellEnd"/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 charting and medication reconciliation (16_PR_134). </w:t>
            </w:r>
          </w:p>
        </w:tc>
      </w:tr>
      <w:tr w:rsidR="00EE1BE0" w:rsidRPr="00EE1BE0" w:rsidTr="00EE1BE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Tangible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(n=61)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(The equipment and personnel)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 issues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(n=44)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System availability;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System reliability;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System connectivity;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System flexibility;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Functionality limitation.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Barriers noted included access to technology, (16_PR_138)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…challenges in adapting platforms to meet the needs of patients and clinicians (11_PR_345) </w:t>
            </w:r>
          </w:p>
        </w:tc>
      </w:tr>
      <w:tr w:rsidR="00EE1BE0" w:rsidRPr="00EE1BE0" w:rsidTr="00EE1BE0"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Responsiveness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(n=23)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 willingness to help customers and provide prompt service)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Address patients’ logistical needs (n= 13) 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Convenience (save time, travel and decrease cost) 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Providers felt that </w:t>
            </w:r>
            <w:proofErr w:type="spellStart"/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televisits</w:t>
            </w:r>
            <w:proofErr w:type="spellEnd"/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 would reduce burden on patients related to transportation, behavior, and physical limitations. (3_PR_92)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… increased convenience for patients, less cost for patients…(15_PR_229) </w:t>
            </w:r>
          </w:p>
        </w:tc>
      </w:tr>
      <w:tr w:rsidR="00EE1BE0" w:rsidRPr="00EE1BE0" w:rsidTr="00EE1BE0"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 (n=7)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(The provision of individual care and attention to customers)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Human touch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4"/>
                <w:szCs w:val="24"/>
              </w:rPr>
              <w:t>(n=6)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Default="00EE1BE0" w:rsidP="00EE1B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Losing/missing relationship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20"/>
                <w:szCs w:val="20"/>
              </w:rPr>
              <w:t>Lacking empathy: business-like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38% of clinician Missing/losing (the in-person connection/) relationship with patients (16_PR_115).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…sense of empathy that is challenging to achieve remotely (15_PR_219). </w:t>
            </w:r>
          </w:p>
          <w:p w:rsidR="00EE1BE0" w:rsidRPr="00EE1BE0" w:rsidRDefault="00EE1BE0" w:rsidP="00EE1BE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EE1BE0">
              <w:rPr>
                <w:rFonts w:ascii="Times New Roman" w:eastAsia="Times New Roman" w:hAnsi="Times New Roman" w:cs="Times New Roman"/>
                <w:sz w:val="18"/>
                <w:szCs w:val="18"/>
              </w:rPr>
              <w:t>The perception that telephone consultations were of a different style, more ‘business-like’. (6_PR_22) </w:t>
            </w:r>
          </w:p>
        </w:tc>
      </w:tr>
    </w:tbl>
    <w:p w:rsidR="00EE1BE0" w:rsidRPr="00EE1BE0" w:rsidRDefault="00EE1BE0">
      <w:pPr>
        <w:rPr>
          <w:rFonts w:ascii="Times New Roman" w:hAnsi="Times New Roman" w:cs="Times New Roman"/>
          <w:sz w:val="24"/>
          <w:szCs w:val="24"/>
          <w:lang w:val="en-CA"/>
        </w:rPr>
      </w:pPr>
    </w:p>
    <w:sectPr w:rsidR="00EE1BE0" w:rsidRPr="00EE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4FA"/>
    <w:multiLevelType w:val="multilevel"/>
    <w:tmpl w:val="C9762C4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160" w:firstLine="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240" w:firstLine="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5040"/>
        </w:tabs>
        <w:ind w:left="4320" w:firstLine="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6120"/>
        </w:tabs>
        <w:ind w:left="5400" w:firstLine="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6480" w:firstLine="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8280"/>
        </w:tabs>
        <w:ind w:left="7560" w:firstLine="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9360"/>
        </w:tabs>
        <w:ind w:left="8640" w:firstLine="0"/>
      </w:pPr>
      <w:rPr>
        <w:rFonts w:ascii="Symbol" w:hAnsi="Symbol" w:hint="default"/>
        <w:sz w:val="20"/>
      </w:rPr>
    </w:lvl>
  </w:abstractNum>
  <w:abstractNum w:abstractNumId="1" w15:restartNumberingAfterBreak="0">
    <w:nsid w:val="15870886"/>
    <w:multiLevelType w:val="multilevel"/>
    <w:tmpl w:val="7CA8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5126E2"/>
    <w:multiLevelType w:val="multilevel"/>
    <w:tmpl w:val="CD84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1756BB"/>
    <w:multiLevelType w:val="multilevel"/>
    <w:tmpl w:val="1AC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E0"/>
    <w:rsid w:val="000214AC"/>
    <w:rsid w:val="000D0DB7"/>
    <w:rsid w:val="00EE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8F2EB"/>
  <w15:chartTrackingRefBased/>
  <w15:docId w15:val="{96AD7832-70C7-4EF5-B833-199AA27C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E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E1BE0"/>
  </w:style>
  <w:style w:type="character" w:customStyle="1" w:styleId="eop">
    <w:name w:val="eop"/>
    <w:basedOn w:val="DefaultParagraphFont"/>
    <w:rsid w:val="00EE1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3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Southlake Regional Health Centre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Guangxia Meng</dc:creator>
  <cp:keywords/>
  <dc:description/>
  <cp:lastModifiedBy>Guangxia Meng</cp:lastModifiedBy>
  <cp:revision>2</cp:revision>
  <dcterms:created xsi:type="dcterms:W3CDTF">2021-11-29T16:33:00Z</dcterms:created>
  <dcterms:modified xsi:type="dcterms:W3CDTF">2021-11-29T18:19:00Z</dcterms:modified>
</cp:coreProperties>
</file>