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1E077" w14:textId="263FC28B" w:rsidR="00F016CB" w:rsidRPr="006C2B88" w:rsidRDefault="00895860">
      <w:pPr>
        <w:rPr>
          <w:rFonts w:ascii="Arial" w:hAnsi="Arial" w:cs="Arial"/>
          <w:b/>
          <w:bCs/>
          <w:lang w:val="en-GB"/>
        </w:rPr>
      </w:pPr>
      <w:r w:rsidRPr="006C2B88">
        <w:rPr>
          <w:rFonts w:ascii="Arial" w:hAnsi="Arial" w:cs="Arial"/>
          <w:b/>
          <w:bCs/>
          <w:lang w:val="en-GB"/>
        </w:rPr>
        <w:t>Supplementary Files</w:t>
      </w:r>
    </w:p>
    <w:p w14:paraId="49B073BF" w14:textId="77777777" w:rsidR="00895860" w:rsidRPr="006C2B88" w:rsidRDefault="00895860">
      <w:pPr>
        <w:rPr>
          <w:lang w:val="en-GB"/>
        </w:rPr>
      </w:pPr>
    </w:p>
    <w:p w14:paraId="03E98600" w14:textId="30C6673F" w:rsidR="00895860" w:rsidRDefault="00895860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895860">
        <w:rPr>
          <w:rFonts w:ascii="Arial" w:hAnsi="Arial" w:cs="Arial"/>
          <w:b/>
          <w:bCs/>
          <w:sz w:val="24"/>
          <w:szCs w:val="24"/>
          <w:lang w:val="en-GB"/>
        </w:rPr>
        <w:t>Supplementary Table S1</w:t>
      </w:r>
      <w:r w:rsidRPr="00FC34C6">
        <w:rPr>
          <w:rFonts w:ascii="Arial" w:hAnsi="Arial" w:cs="Arial"/>
          <w:b/>
          <w:bCs/>
          <w:sz w:val="24"/>
          <w:szCs w:val="24"/>
          <w:lang w:val="en-GB"/>
        </w:rPr>
        <w:t>. Haemodynamic support profile during ICU mobilisation sessions: vasopressor and inotropic support and post-activity dose adjustments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3"/>
        <w:gridCol w:w="1282"/>
      </w:tblGrid>
      <w:tr w:rsidR="00895860" w:rsidRPr="00FC34C6" w14:paraId="7E8AD07A" w14:textId="77777777" w:rsidTr="007545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44F995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582780F3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</w:tr>
      <w:tr w:rsidR="00895860" w:rsidRPr="00FC34C6" w14:paraId="65071183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CCF3C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Vasopressor support, n (%)</w:t>
            </w:r>
          </w:p>
        </w:tc>
        <w:tc>
          <w:tcPr>
            <w:tcW w:w="0" w:type="auto"/>
            <w:vAlign w:val="center"/>
            <w:hideMark/>
          </w:tcPr>
          <w:p w14:paraId="1F56EE7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860" w:rsidRPr="00FC34C6" w14:paraId="6D4F4007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7B6F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372FC8C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232 (20.4)</w:t>
            </w:r>
          </w:p>
        </w:tc>
      </w:tr>
      <w:tr w:rsidR="00895860" w:rsidRPr="00FC34C6" w14:paraId="75DC1E6E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83D1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82C483E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904 (79.6)</w:t>
            </w:r>
          </w:p>
        </w:tc>
      </w:tr>
      <w:tr w:rsidR="00895860" w:rsidRPr="00FC34C6" w14:paraId="261134FE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84CBD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Norepinephrine use, n (%)</w:t>
            </w:r>
          </w:p>
        </w:tc>
        <w:tc>
          <w:tcPr>
            <w:tcW w:w="0" w:type="auto"/>
            <w:vAlign w:val="center"/>
            <w:hideMark/>
          </w:tcPr>
          <w:p w14:paraId="3FF49BFE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860" w:rsidRPr="00FC34C6" w14:paraId="42A3C62A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AC651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D070DA8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232 (20.4)</w:t>
            </w:r>
          </w:p>
        </w:tc>
      </w:tr>
      <w:tr w:rsidR="00895860" w:rsidRPr="00FC34C6" w14:paraId="2D63EDE1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614E6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E8C74A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904 (79.6)</w:t>
            </w:r>
          </w:p>
        </w:tc>
      </w:tr>
      <w:tr w:rsidR="00895860" w:rsidRPr="00F03F0D" w14:paraId="47C644FB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9A7F4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**Norepinephrine dose, µg/kg/min, n (</w:t>
            </w:r>
            <w:proofErr w:type="gramStart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%)*</w:t>
            </w:r>
            <w:proofErr w:type="gramEnd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</w:t>
            </w: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ᵃ</w:t>
            </w:r>
          </w:p>
        </w:tc>
        <w:tc>
          <w:tcPr>
            <w:tcW w:w="0" w:type="auto"/>
            <w:vAlign w:val="center"/>
            <w:hideMark/>
          </w:tcPr>
          <w:p w14:paraId="209D25F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895860" w:rsidRPr="00FC34C6" w14:paraId="1E9CBA80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11944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&lt;0.05</w:t>
            </w:r>
          </w:p>
        </w:tc>
        <w:tc>
          <w:tcPr>
            <w:tcW w:w="0" w:type="auto"/>
            <w:vAlign w:val="center"/>
            <w:hideMark/>
          </w:tcPr>
          <w:p w14:paraId="6E431580" w14:textId="7233DBBC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8</w:t>
            </w:r>
            <w:r w:rsidR="006C2B88">
              <w:rPr>
                <w:rFonts w:ascii="Arial" w:hAnsi="Arial" w:cs="Arial"/>
                <w:sz w:val="22"/>
                <w:szCs w:val="22"/>
              </w:rPr>
              <w:t>3</w:t>
            </w:r>
            <w:r w:rsidRPr="00FC34C6">
              <w:rPr>
                <w:rFonts w:ascii="Arial" w:hAnsi="Arial" w:cs="Arial"/>
                <w:sz w:val="22"/>
                <w:szCs w:val="22"/>
              </w:rPr>
              <w:t xml:space="preserve"> (35.</w:t>
            </w:r>
            <w:r w:rsidR="006C2B88">
              <w:rPr>
                <w:rFonts w:ascii="Arial" w:hAnsi="Arial" w:cs="Arial"/>
                <w:sz w:val="22"/>
                <w:szCs w:val="22"/>
              </w:rPr>
              <w:t>8</w:t>
            </w:r>
            <w:r w:rsidRPr="00FC34C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95860" w:rsidRPr="00FC34C6" w14:paraId="6D8140E1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B82A9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≥0.05 to 0.20</w:t>
            </w:r>
          </w:p>
        </w:tc>
        <w:tc>
          <w:tcPr>
            <w:tcW w:w="0" w:type="auto"/>
            <w:vAlign w:val="center"/>
            <w:hideMark/>
          </w:tcPr>
          <w:p w14:paraId="37C07625" w14:textId="219338CC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13</w:t>
            </w:r>
            <w:r w:rsidR="006C2B88">
              <w:rPr>
                <w:rFonts w:ascii="Arial" w:hAnsi="Arial" w:cs="Arial"/>
                <w:sz w:val="22"/>
                <w:szCs w:val="22"/>
              </w:rPr>
              <w:t>2</w:t>
            </w:r>
            <w:r w:rsidRPr="00FC34C6">
              <w:rPr>
                <w:rFonts w:ascii="Arial" w:hAnsi="Arial" w:cs="Arial"/>
                <w:sz w:val="22"/>
                <w:szCs w:val="22"/>
              </w:rPr>
              <w:t xml:space="preserve"> (5</w:t>
            </w:r>
            <w:r w:rsidR="006C2B88">
              <w:rPr>
                <w:rFonts w:ascii="Arial" w:hAnsi="Arial" w:cs="Arial"/>
                <w:sz w:val="22"/>
                <w:szCs w:val="22"/>
              </w:rPr>
              <w:t>6</w:t>
            </w:r>
            <w:r w:rsidRPr="00FC34C6">
              <w:rPr>
                <w:rFonts w:ascii="Arial" w:hAnsi="Arial" w:cs="Arial"/>
                <w:sz w:val="22"/>
                <w:szCs w:val="22"/>
              </w:rPr>
              <w:t>.</w:t>
            </w:r>
            <w:r w:rsidR="006C2B88">
              <w:rPr>
                <w:rFonts w:ascii="Arial" w:hAnsi="Arial" w:cs="Arial"/>
                <w:sz w:val="22"/>
                <w:szCs w:val="22"/>
              </w:rPr>
              <w:t>9</w:t>
            </w:r>
            <w:r w:rsidRPr="00FC34C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95860" w:rsidRPr="00FC34C6" w14:paraId="61178542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2F6F8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&gt;0.20</w:t>
            </w:r>
          </w:p>
        </w:tc>
        <w:tc>
          <w:tcPr>
            <w:tcW w:w="0" w:type="auto"/>
            <w:vAlign w:val="center"/>
            <w:hideMark/>
          </w:tcPr>
          <w:p w14:paraId="10E94C0F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17 (7.3)</w:t>
            </w:r>
          </w:p>
        </w:tc>
      </w:tr>
      <w:tr w:rsidR="00895860" w:rsidRPr="00FC34C6" w14:paraId="632EC412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01C73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Vasopressin</w:t>
            </w:r>
            <w:proofErr w:type="spellEnd"/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use, n (%)</w:t>
            </w:r>
          </w:p>
        </w:tc>
        <w:tc>
          <w:tcPr>
            <w:tcW w:w="0" w:type="auto"/>
            <w:vAlign w:val="center"/>
            <w:hideMark/>
          </w:tcPr>
          <w:p w14:paraId="28306210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860" w:rsidRPr="00FC34C6" w14:paraId="62ECB977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4D297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3AF9B7B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3 (0.3)</w:t>
            </w:r>
          </w:p>
        </w:tc>
      </w:tr>
      <w:tr w:rsidR="00895860" w:rsidRPr="00FC34C6" w14:paraId="1CA8CD13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3E6C5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B08D38D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1,133 (99.7)</w:t>
            </w:r>
          </w:p>
        </w:tc>
      </w:tr>
      <w:tr w:rsidR="00895860" w:rsidRPr="00FC34C6" w14:paraId="4AA72431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00754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Inotropic</w:t>
            </w:r>
            <w:proofErr w:type="spellEnd"/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support, n (%)</w:t>
            </w:r>
          </w:p>
        </w:tc>
        <w:tc>
          <w:tcPr>
            <w:tcW w:w="0" w:type="auto"/>
            <w:vAlign w:val="center"/>
            <w:hideMark/>
          </w:tcPr>
          <w:p w14:paraId="51B5E88C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860" w:rsidRPr="00FC34C6" w14:paraId="2F34F760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443C5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F48997C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19 (1.7)</w:t>
            </w:r>
          </w:p>
        </w:tc>
      </w:tr>
      <w:tr w:rsidR="00895860" w:rsidRPr="00FC34C6" w14:paraId="5E90552C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2E2BD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FC11D5C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1,117 (98.3)</w:t>
            </w:r>
          </w:p>
        </w:tc>
      </w:tr>
      <w:tr w:rsidR="00895860" w:rsidRPr="00F03F0D" w14:paraId="67D4E982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05179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**Type of inotropic support, n (</w:t>
            </w:r>
            <w:proofErr w:type="gramStart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%)*</w:t>
            </w:r>
            <w:proofErr w:type="gramEnd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</w:t>
            </w: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ᵇ</w:t>
            </w:r>
          </w:p>
        </w:tc>
        <w:tc>
          <w:tcPr>
            <w:tcW w:w="0" w:type="auto"/>
            <w:vAlign w:val="center"/>
            <w:hideMark/>
          </w:tcPr>
          <w:p w14:paraId="0CE27CA8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895860" w:rsidRPr="00FC34C6" w14:paraId="3954E21B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F0E12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C34C6">
              <w:rPr>
                <w:rFonts w:ascii="Arial" w:hAnsi="Arial" w:cs="Arial"/>
                <w:sz w:val="22"/>
                <w:szCs w:val="22"/>
              </w:rPr>
              <w:t>Milrinone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9BAD51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13 (68.4)</w:t>
            </w:r>
          </w:p>
        </w:tc>
      </w:tr>
      <w:tr w:rsidR="00895860" w:rsidRPr="00FC34C6" w14:paraId="0F600AF8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2EBF2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Dobutamine</w:t>
            </w:r>
          </w:p>
        </w:tc>
        <w:tc>
          <w:tcPr>
            <w:tcW w:w="0" w:type="auto"/>
            <w:vAlign w:val="center"/>
            <w:hideMark/>
          </w:tcPr>
          <w:p w14:paraId="3BD256FD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4 (21.1)</w:t>
            </w:r>
          </w:p>
        </w:tc>
      </w:tr>
      <w:tr w:rsidR="00895860" w:rsidRPr="00FC34C6" w14:paraId="2B55CD4B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18483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Levosimendan</w:t>
            </w:r>
          </w:p>
        </w:tc>
        <w:tc>
          <w:tcPr>
            <w:tcW w:w="0" w:type="auto"/>
            <w:vAlign w:val="center"/>
            <w:hideMark/>
          </w:tcPr>
          <w:p w14:paraId="53958D2D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2 (10.5)</w:t>
            </w:r>
          </w:p>
        </w:tc>
      </w:tr>
      <w:tr w:rsidR="00895860" w:rsidRPr="00F03F0D" w14:paraId="395786FF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176D6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**Vasopressor dose after mobilisation, n (</w:t>
            </w:r>
            <w:proofErr w:type="gramStart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%)*</w:t>
            </w:r>
            <w:proofErr w:type="gramEnd"/>
            <w:r w:rsidRPr="00FC34C6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*</w:t>
            </w:r>
            <w:r w:rsidRPr="00FC34C6">
              <w:rPr>
                <w:rFonts w:ascii="Arial" w:hAnsi="Arial" w:cs="Arial"/>
                <w:b/>
                <w:bCs/>
                <w:sz w:val="22"/>
                <w:szCs w:val="22"/>
              </w:rPr>
              <w:t>ᵃ</w:t>
            </w:r>
          </w:p>
        </w:tc>
        <w:tc>
          <w:tcPr>
            <w:tcW w:w="0" w:type="auto"/>
            <w:vAlign w:val="center"/>
            <w:hideMark/>
          </w:tcPr>
          <w:p w14:paraId="5428B93F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895860" w:rsidRPr="00FC34C6" w14:paraId="0EE46E0E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2A7B2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Unchanged</w:t>
            </w:r>
          </w:p>
        </w:tc>
        <w:tc>
          <w:tcPr>
            <w:tcW w:w="0" w:type="auto"/>
            <w:vAlign w:val="center"/>
            <w:hideMark/>
          </w:tcPr>
          <w:p w14:paraId="2B48474F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210 (90.5)</w:t>
            </w:r>
          </w:p>
        </w:tc>
      </w:tr>
      <w:tr w:rsidR="00895860" w:rsidRPr="00FC34C6" w14:paraId="1A3D10E0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EC615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Decreased</w:t>
            </w:r>
          </w:p>
        </w:tc>
        <w:tc>
          <w:tcPr>
            <w:tcW w:w="0" w:type="auto"/>
            <w:vAlign w:val="center"/>
            <w:hideMark/>
          </w:tcPr>
          <w:p w14:paraId="0AE1F9E9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19 (8.2)</w:t>
            </w:r>
          </w:p>
        </w:tc>
      </w:tr>
      <w:tr w:rsidR="00895860" w:rsidRPr="00FC34C6" w14:paraId="63EA6D1F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D21D0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Increased</w:t>
            </w:r>
          </w:p>
        </w:tc>
        <w:tc>
          <w:tcPr>
            <w:tcW w:w="0" w:type="auto"/>
            <w:vAlign w:val="center"/>
            <w:hideMark/>
          </w:tcPr>
          <w:p w14:paraId="79C70A7E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2 (0.9)</w:t>
            </w:r>
          </w:p>
        </w:tc>
      </w:tr>
      <w:tr w:rsidR="00895860" w:rsidRPr="00FC34C6" w14:paraId="6E8C656B" w14:textId="77777777" w:rsidTr="00754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92716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Initiated</w:t>
            </w:r>
          </w:p>
        </w:tc>
        <w:tc>
          <w:tcPr>
            <w:tcW w:w="0" w:type="auto"/>
            <w:vAlign w:val="center"/>
            <w:hideMark/>
          </w:tcPr>
          <w:p w14:paraId="640D5540" w14:textId="77777777" w:rsidR="00895860" w:rsidRPr="00FC34C6" w:rsidRDefault="00895860" w:rsidP="00754581">
            <w:pPr>
              <w:pStyle w:val="NormalWeb"/>
              <w:tabs>
                <w:tab w:val="left" w:pos="3510"/>
              </w:tabs>
              <w:spacing w:before="280" w:after="280"/>
              <w:rPr>
                <w:rFonts w:ascii="Arial" w:hAnsi="Arial" w:cs="Arial"/>
                <w:sz w:val="22"/>
                <w:szCs w:val="22"/>
              </w:rPr>
            </w:pPr>
            <w:r w:rsidRPr="00FC34C6">
              <w:rPr>
                <w:rFonts w:ascii="Arial" w:hAnsi="Arial" w:cs="Arial"/>
                <w:sz w:val="22"/>
                <w:szCs w:val="22"/>
              </w:rPr>
              <w:t>1 (0.4)</w:t>
            </w:r>
          </w:p>
        </w:tc>
      </w:tr>
    </w:tbl>
    <w:p w14:paraId="731152A2" w14:textId="77777777" w:rsidR="00895860" w:rsidRPr="00AA2F40" w:rsidRDefault="00895860" w:rsidP="00895860">
      <w:pPr>
        <w:pStyle w:val="NormalWeb"/>
        <w:tabs>
          <w:tab w:val="left" w:pos="3510"/>
        </w:tabs>
        <w:spacing w:before="280" w:after="280"/>
        <w:rPr>
          <w:rFonts w:ascii="Arial" w:hAnsi="Arial" w:cs="Arial"/>
          <w:sz w:val="22"/>
          <w:szCs w:val="22"/>
          <w:lang w:val="en-GB"/>
        </w:rPr>
      </w:pPr>
      <w:r w:rsidRPr="00AA2F40">
        <w:rPr>
          <w:rFonts w:ascii="Arial" w:hAnsi="Arial" w:cs="Arial"/>
          <w:sz w:val="22"/>
          <w:szCs w:val="22"/>
        </w:rPr>
        <w:t>ᵃ</w:t>
      </w:r>
      <w:r w:rsidRPr="00AA2F40">
        <w:rPr>
          <w:rFonts w:ascii="Arial" w:hAnsi="Arial" w:cs="Arial"/>
          <w:sz w:val="22"/>
          <w:szCs w:val="22"/>
          <w:lang w:val="en-GB"/>
        </w:rPr>
        <w:t xml:space="preserve"> Percentages calculated among the 232 sessions with vasopressor support.</w:t>
      </w:r>
      <w:r w:rsidRPr="00AA2F40">
        <w:rPr>
          <w:rFonts w:ascii="Arial" w:hAnsi="Arial" w:cs="Arial"/>
          <w:sz w:val="22"/>
          <w:szCs w:val="22"/>
          <w:lang w:val="en-GB"/>
        </w:rPr>
        <w:br/>
      </w:r>
      <w:r w:rsidRPr="00AA2F40">
        <w:rPr>
          <w:rFonts w:ascii="Arial" w:hAnsi="Arial" w:cs="Arial"/>
          <w:sz w:val="22"/>
          <w:szCs w:val="22"/>
        </w:rPr>
        <w:t>ᵇ</w:t>
      </w:r>
      <w:r w:rsidRPr="00AA2F40">
        <w:rPr>
          <w:rFonts w:ascii="Arial" w:hAnsi="Arial" w:cs="Arial"/>
          <w:sz w:val="22"/>
          <w:szCs w:val="22"/>
          <w:lang w:val="en-GB"/>
        </w:rPr>
        <w:t xml:space="preserve"> Percentages calculated among the 19 sessions with inotropic support.</w:t>
      </w:r>
    </w:p>
    <w:p w14:paraId="6D01D57D" w14:textId="7A9C09EF" w:rsidR="00895860" w:rsidRDefault="00895860" w:rsidP="00895860">
      <w:pPr>
        <w:rPr>
          <w:rFonts w:ascii="Arial" w:eastAsia="Times New Roman" w:hAnsi="Arial" w:cs="Arial"/>
          <w:lang w:val="en-GB"/>
        </w:rPr>
      </w:pPr>
      <w:r w:rsidRPr="00AA2F40">
        <w:rPr>
          <w:rFonts w:ascii="Arial" w:eastAsia="Times New Roman" w:hAnsi="Arial" w:cs="Arial"/>
          <w:lang w:val="en-GB"/>
        </w:rPr>
        <w:t>Abbreviation: ICU, intensive care unit.</w:t>
      </w:r>
    </w:p>
    <w:p w14:paraId="70D30D82" w14:textId="77777777" w:rsidR="00F03F0D" w:rsidRDefault="00F03F0D" w:rsidP="00895860">
      <w:pPr>
        <w:rPr>
          <w:rFonts w:ascii="Arial" w:eastAsia="Times New Roman" w:hAnsi="Arial" w:cs="Arial"/>
          <w:lang w:val="en-GB"/>
        </w:rPr>
      </w:pPr>
    </w:p>
    <w:p w14:paraId="617471F7" w14:textId="77777777" w:rsidR="00F03F0D" w:rsidRDefault="00F03F0D" w:rsidP="00895860">
      <w:pPr>
        <w:rPr>
          <w:rFonts w:ascii="Arial" w:eastAsia="Times New Roman" w:hAnsi="Arial" w:cs="Arial"/>
          <w:lang w:val="en-GB"/>
        </w:rPr>
      </w:pPr>
    </w:p>
    <w:p w14:paraId="089F47CB" w14:textId="77777777" w:rsidR="00F03F0D" w:rsidRPr="00F03F0D" w:rsidRDefault="00F03F0D" w:rsidP="00F03F0D">
      <w:pPr>
        <w:pStyle w:val="Ttulo"/>
        <w:rPr>
          <w:sz w:val="44"/>
          <w:szCs w:val="44"/>
          <w:lang w:val="en-GB"/>
        </w:rPr>
      </w:pPr>
      <w:r w:rsidRPr="00F03F0D">
        <w:rPr>
          <w:sz w:val="44"/>
          <w:szCs w:val="44"/>
          <w:lang w:val="en-GB"/>
        </w:rPr>
        <w:lastRenderedPageBreak/>
        <w:t>STROBE checklist — cohort study</w:t>
      </w:r>
    </w:p>
    <w:p w14:paraId="3020DB1B" w14:textId="6191F6F5" w:rsidR="00F03F0D" w:rsidRPr="00F03F0D" w:rsidRDefault="00F03F0D" w:rsidP="00F03F0D">
      <w:pPr>
        <w:rPr>
          <w:rFonts w:ascii="Arial" w:eastAsia="Times New Roman" w:hAnsi="Arial" w:cs="Arial"/>
          <w:lang w:val="en-GB"/>
        </w:rPr>
      </w:pPr>
      <w:r w:rsidRPr="00F03F0D">
        <w:rPr>
          <w:lang w:val="en-GB"/>
        </w:rPr>
        <w:t>Safety of Early Mobilisation and Rehabilitation in Intensive Care Unit Patients: A Prospective Multicentre Cohort Study</w:t>
      </w:r>
    </w:p>
    <w:tbl>
      <w:tblPr>
        <w:tblStyle w:val="Tablaconcuadrcula"/>
        <w:tblW w:w="8897" w:type="dxa"/>
        <w:tblLook w:val="04A0" w:firstRow="1" w:lastRow="0" w:firstColumn="1" w:lastColumn="0" w:noHBand="0" w:noVBand="1"/>
      </w:tblPr>
      <w:tblGrid>
        <w:gridCol w:w="2880"/>
        <w:gridCol w:w="2880"/>
        <w:gridCol w:w="3137"/>
      </w:tblGrid>
      <w:tr w:rsidR="00F03F0D" w:rsidRPr="00143BE8" w14:paraId="0AB2D891" w14:textId="77777777" w:rsidTr="0027750B">
        <w:tc>
          <w:tcPr>
            <w:tcW w:w="2880" w:type="dxa"/>
          </w:tcPr>
          <w:p w14:paraId="399F211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2880" w:type="dxa"/>
          </w:tcPr>
          <w:p w14:paraId="28C5D56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b/>
                <w:sz w:val="20"/>
                <w:szCs w:val="20"/>
              </w:rPr>
              <w:t>STROBE reporting requirement</w:t>
            </w:r>
          </w:p>
        </w:tc>
        <w:tc>
          <w:tcPr>
            <w:tcW w:w="3137" w:type="dxa"/>
          </w:tcPr>
          <w:p w14:paraId="489802DE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b/>
                <w:sz w:val="20"/>
                <w:szCs w:val="20"/>
              </w:rPr>
              <w:t>Page</w:t>
            </w:r>
          </w:p>
        </w:tc>
      </w:tr>
      <w:tr w:rsidR="00F03F0D" w:rsidRPr="00143BE8" w14:paraId="5E322F1E" w14:textId="77777777" w:rsidTr="0027750B">
        <w:tc>
          <w:tcPr>
            <w:tcW w:w="2880" w:type="dxa"/>
          </w:tcPr>
          <w:p w14:paraId="0A2AE4F5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1a</w:t>
            </w:r>
          </w:p>
        </w:tc>
        <w:tc>
          <w:tcPr>
            <w:tcW w:w="2880" w:type="dxa"/>
          </w:tcPr>
          <w:p w14:paraId="2A9E39E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Identify the observational cohort design</w:t>
            </w:r>
          </w:p>
        </w:tc>
        <w:tc>
          <w:tcPr>
            <w:tcW w:w="3137" w:type="dxa"/>
          </w:tcPr>
          <w:p w14:paraId="13206E3F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</w:t>
            </w:r>
          </w:p>
        </w:tc>
      </w:tr>
      <w:tr w:rsidR="00F03F0D" w:rsidRPr="00143BE8" w14:paraId="0E0048D7" w14:textId="77777777" w:rsidTr="0027750B">
        <w:tc>
          <w:tcPr>
            <w:tcW w:w="2880" w:type="dxa"/>
          </w:tcPr>
          <w:p w14:paraId="46466FA2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1b</w:t>
            </w:r>
          </w:p>
        </w:tc>
        <w:tc>
          <w:tcPr>
            <w:tcW w:w="2880" w:type="dxa"/>
          </w:tcPr>
          <w:p w14:paraId="17357C9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Balanced summary of methods and findings</w:t>
            </w:r>
          </w:p>
        </w:tc>
        <w:tc>
          <w:tcPr>
            <w:tcW w:w="3137" w:type="dxa"/>
          </w:tcPr>
          <w:p w14:paraId="79FA2F9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2–3</w:t>
            </w:r>
          </w:p>
        </w:tc>
      </w:tr>
      <w:tr w:rsidR="00F03F0D" w:rsidRPr="00143BE8" w14:paraId="3BA576E9" w14:textId="77777777" w:rsidTr="0027750B">
        <w:tc>
          <w:tcPr>
            <w:tcW w:w="2880" w:type="dxa"/>
          </w:tcPr>
          <w:p w14:paraId="3BF70E3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</w:t>
            </w:r>
          </w:p>
        </w:tc>
        <w:tc>
          <w:tcPr>
            <w:tcW w:w="2880" w:type="dxa"/>
          </w:tcPr>
          <w:p w14:paraId="0FE8161E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Scientific rationale</w:t>
            </w:r>
          </w:p>
        </w:tc>
        <w:tc>
          <w:tcPr>
            <w:tcW w:w="3137" w:type="dxa"/>
          </w:tcPr>
          <w:p w14:paraId="55A525B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4–5</w:t>
            </w:r>
          </w:p>
        </w:tc>
      </w:tr>
      <w:tr w:rsidR="00F03F0D" w:rsidRPr="00143BE8" w14:paraId="0F57212B" w14:textId="77777777" w:rsidTr="0027750B">
        <w:tc>
          <w:tcPr>
            <w:tcW w:w="2880" w:type="dxa"/>
          </w:tcPr>
          <w:p w14:paraId="55CFABC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3</w:t>
            </w:r>
          </w:p>
        </w:tc>
        <w:tc>
          <w:tcPr>
            <w:tcW w:w="2880" w:type="dxa"/>
          </w:tcPr>
          <w:p w14:paraId="1AFDB0AF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Specific aims and any prespecified hypotheses</w:t>
            </w:r>
          </w:p>
        </w:tc>
        <w:tc>
          <w:tcPr>
            <w:tcW w:w="3137" w:type="dxa"/>
          </w:tcPr>
          <w:p w14:paraId="116FF6AE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5</w:t>
            </w:r>
          </w:p>
        </w:tc>
      </w:tr>
      <w:tr w:rsidR="00F03F0D" w:rsidRPr="00143BE8" w14:paraId="6CB4880A" w14:textId="77777777" w:rsidTr="0027750B">
        <w:tc>
          <w:tcPr>
            <w:tcW w:w="2880" w:type="dxa"/>
          </w:tcPr>
          <w:p w14:paraId="1CA02BB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4</w:t>
            </w:r>
          </w:p>
        </w:tc>
        <w:tc>
          <w:tcPr>
            <w:tcW w:w="2880" w:type="dxa"/>
          </w:tcPr>
          <w:p w14:paraId="47B8DA3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Key design elements early in manuscript</w:t>
            </w:r>
          </w:p>
        </w:tc>
        <w:tc>
          <w:tcPr>
            <w:tcW w:w="3137" w:type="dxa"/>
          </w:tcPr>
          <w:p w14:paraId="1997B98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5</w:t>
            </w:r>
          </w:p>
        </w:tc>
      </w:tr>
      <w:tr w:rsidR="00F03F0D" w:rsidRPr="00143BE8" w14:paraId="21359082" w14:textId="77777777" w:rsidTr="0027750B">
        <w:tc>
          <w:tcPr>
            <w:tcW w:w="2880" w:type="dxa"/>
          </w:tcPr>
          <w:p w14:paraId="64D3E35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5</w:t>
            </w:r>
          </w:p>
        </w:tc>
        <w:tc>
          <w:tcPr>
            <w:tcW w:w="2880" w:type="dxa"/>
          </w:tcPr>
          <w:p w14:paraId="2FC5564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proofErr w:type="spellStart"/>
            <w:r w:rsidRPr="00143BE8">
              <w:rPr>
                <w:sz w:val="20"/>
                <w:szCs w:val="20"/>
              </w:rPr>
              <w:t>Centres</w:t>
            </w:r>
            <w:proofErr w:type="spellEnd"/>
            <w:r w:rsidRPr="00143BE8">
              <w:rPr>
                <w:sz w:val="20"/>
                <w:szCs w:val="20"/>
              </w:rPr>
              <w:t>, geography, recruitment and data-collection dates</w:t>
            </w:r>
          </w:p>
        </w:tc>
        <w:tc>
          <w:tcPr>
            <w:tcW w:w="3137" w:type="dxa"/>
          </w:tcPr>
          <w:p w14:paraId="408AA05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5</w:t>
            </w:r>
          </w:p>
        </w:tc>
      </w:tr>
      <w:tr w:rsidR="00F03F0D" w:rsidRPr="00143BE8" w14:paraId="184574BB" w14:textId="77777777" w:rsidTr="0027750B">
        <w:tc>
          <w:tcPr>
            <w:tcW w:w="2880" w:type="dxa"/>
          </w:tcPr>
          <w:p w14:paraId="1EF5847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6a</w:t>
            </w:r>
          </w:p>
        </w:tc>
        <w:tc>
          <w:tcPr>
            <w:tcW w:w="2880" w:type="dxa"/>
          </w:tcPr>
          <w:p w14:paraId="4BE7E71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Eligibility, selection, and follow-up methods</w:t>
            </w:r>
          </w:p>
        </w:tc>
        <w:tc>
          <w:tcPr>
            <w:tcW w:w="3137" w:type="dxa"/>
          </w:tcPr>
          <w:p w14:paraId="1A99C5C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6–7</w:t>
            </w:r>
          </w:p>
        </w:tc>
      </w:tr>
      <w:tr w:rsidR="00F03F0D" w:rsidRPr="00143BE8" w14:paraId="67E42140" w14:textId="77777777" w:rsidTr="0027750B">
        <w:tc>
          <w:tcPr>
            <w:tcW w:w="2880" w:type="dxa"/>
          </w:tcPr>
          <w:p w14:paraId="3B9BF31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6b</w:t>
            </w:r>
          </w:p>
        </w:tc>
        <w:tc>
          <w:tcPr>
            <w:tcW w:w="2880" w:type="dxa"/>
          </w:tcPr>
          <w:p w14:paraId="68C8917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Matching criteria, if relevant</w:t>
            </w:r>
          </w:p>
        </w:tc>
        <w:tc>
          <w:tcPr>
            <w:tcW w:w="3137" w:type="dxa"/>
          </w:tcPr>
          <w:p w14:paraId="718073B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N/A</w:t>
            </w:r>
          </w:p>
        </w:tc>
      </w:tr>
      <w:tr w:rsidR="00F03F0D" w:rsidRPr="00143BE8" w14:paraId="1C8B4500" w14:textId="77777777" w:rsidTr="0027750B">
        <w:tc>
          <w:tcPr>
            <w:tcW w:w="2880" w:type="dxa"/>
          </w:tcPr>
          <w:p w14:paraId="35DC722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7</w:t>
            </w:r>
          </w:p>
        </w:tc>
        <w:tc>
          <w:tcPr>
            <w:tcW w:w="2880" w:type="dxa"/>
          </w:tcPr>
          <w:p w14:paraId="6513730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Outcomes, exposures, predictors, potential confounders</w:t>
            </w:r>
          </w:p>
        </w:tc>
        <w:tc>
          <w:tcPr>
            <w:tcW w:w="3137" w:type="dxa"/>
          </w:tcPr>
          <w:p w14:paraId="36314E0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7–8</w:t>
            </w:r>
          </w:p>
        </w:tc>
      </w:tr>
      <w:tr w:rsidR="00F03F0D" w:rsidRPr="00143BE8" w14:paraId="5ACCC824" w14:textId="77777777" w:rsidTr="0027750B">
        <w:tc>
          <w:tcPr>
            <w:tcW w:w="2880" w:type="dxa"/>
          </w:tcPr>
          <w:p w14:paraId="25E2DE6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8</w:t>
            </w:r>
          </w:p>
        </w:tc>
        <w:tc>
          <w:tcPr>
            <w:tcW w:w="2880" w:type="dxa"/>
          </w:tcPr>
          <w:p w14:paraId="0B7AE14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Measurement sources and comparable assessments</w:t>
            </w:r>
          </w:p>
        </w:tc>
        <w:tc>
          <w:tcPr>
            <w:tcW w:w="3137" w:type="dxa"/>
          </w:tcPr>
          <w:p w14:paraId="042000D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7–9</w:t>
            </w:r>
          </w:p>
        </w:tc>
      </w:tr>
      <w:tr w:rsidR="00F03F0D" w:rsidRPr="00143BE8" w14:paraId="2A5BA8CF" w14:textId="77777777" w:rsidTr="0027750B">
        <w:tc>
          <w:tcPr>
            <w:tcW w:w="2880" w:type="dxa"/>
          </w:tcPr>
          <w:p w14:paraId="7D26E1F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</w:t>
            </w:r>
          </w:p>
        </w:tc>
        <w:tc>
          <w:tcPr>
            <w:tcW w:w="2880" w:type="dxa"/>
          </w:tcPr>
          <w:p w14:paraId="57B7DF9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Efforts to address potential bias</w:t>
            </w:r>
          </w:p>
        </w:tc>
        <w:tc>
          <w:tcPr>
            <w:tcW w:w="3137" w:type="dxa"/>
          </w:tcPr>
          <w:p w14:paraId="44090D9A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6–9, 19–20</w:t>
            </w:r>
          </w:p>
        </w:tc>
      </w:tr>
      <w:tr w:rsidR="00F03F0D" w:rsidRPr="00143BE8" w14:paraId="5DD90EC2" w14:textId="77777777" w:rsidTr="0027750B">
        <w:tc>
          <w:tcPr>
            <w:tcW w:w="2880" w:type="dxa"/>
          </w:tcPr>
          <w:p w14:paraId="1967DB3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10</w:t>
            </w:r>
          </w:p>
        </w:tc>
        <w:tc>
          <w:tcPr>
            <w:tcW w:w="2880" w:type="dxa"/>
          </w:tcPr>
          <w:p w14:paraId="405110BD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Explain sample-size determination</w:t>
            </w:r>
          </w:p>
        </w:tc>
        <w:tc>
          <w:tcPr>
            <w:tcW w:w="3137" w:type="dxa"/>
          </w:tcPr>
          <w:p w14:paraId="00FBFB0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</w:t>
            </w:r>
          </w:p>
        </w:tc>
      </w:tr>
      <w:tr w:rsidR="00F03F0D" w:rsidRPr="00143BE8" w14:paraId="332DA685" w14:textId="77777777" w:rsidTr="0027750B">
        <w:tc>
          <w:tcPr>
            <w:tcW w:w="2880" w:type="dxa"/>
          </w:tcPr>
          <w:p w14:paraId="6B18078F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</w:t>
            </w:r>
          </w:p>
        </w:tc>
        <w:tc>
          <w:tcPr>
            <w:tcW w:w="2880" w:type="dxa"/>
          </w:tcPr>
          <w:p w14:paraId="13E6F18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Handling and grouping of quantitative measures</w:t>
            </w:r>
          </w:p>
        </w:tc>
        <w:tc>
          <w:tcPr>
            <w:tcW w:w="3137" w:type="dxa"/>
          </w:tcPr>
          <w:p w14:paraId="1DCBEC1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9–10, 36</w:t>
            </w:r>
          </w:p>
        </w:tc>
      </w:tr>
      <w:tr w:rsidR="00F03F0D" w:rsidRPr="00143BE8" w14:paraId="0B3B7FF3" w14:textId="77777777" w:rsidTr="0027750B">
        <w:tc>
          <w:tcPr>
            <w:tcW w:w="2880" w:type="dxa"/>
          </w:tcPr>
          <w:p w14:paraId="795A069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12a</w:t>
            </w:r>
          </w:p>
        </w:tc>
        <w:tc>
          <w:tcPr>
            <w:tcW w:w="2880" w:type="dxa"/>
          </w:tcPr>
          <w:p w14:paraId="0DBAE91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Statistical methods and confounding control</w:t>
            </w:r>
          </w:p>
        </w:tc>
        <w:tc>
          <w:tcPr>
            <w:tcW w:w="3137" w:type="dxa"/>
          </w:tcPr>
          <w:p w14:paraId="568D712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9–10</w:t>
            </w:r>
          </w:p>
        </w:tc>
      </w:tr>
      <w:tr w:rsidR="00F03F0D" w:rsidRPr="00143BE8" w14:paraId="2B3A5C7F" w14:textId="77777777" w:rsidTr="0027750B">
        <w:tc>
          <w:tcPr>
            <w:tcW w:w="2880" w:type="dxa"/>
          </w:tcPr>
          <w:p w14:paraId="04A8546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12b</w:t>
            </w:r>
          </w:p>
        </w:tc>
        <w:tc>
          <w:tcPr>
            <w:tcW w:w="2880" w:type="dxa"/>
          </w:tcPr>
          <w:p w14:paraId="48BA1BE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Subgroups and interactions</w:t>
            </w:r>
          </w:p>
        </w:tc>
        <w:tc>
          <w:tcPr>
            <w:tcW w:w="3137" w:type="dxa"/>
          </w:tcPr>
          <w:p w14:paraId="26CD40C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9–10, 14</w:t>
            </w:r>
          </w:p>
        </w:tc>
      </w:tr>
      <w:tr w:rsidR="00F03F0D" w:rsidRPr="00143BE8" w14:paraId="43440617" w14:textId="77777777" w:rsidTr="0027750B">
        <w:tc>
          <w:tcPr>
            <w:tcW w:w="2880" w:type="dxa"/>
          </w:tcPr>
          <w:p w14:paraId="78FB3DF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12c</w:t>
            </w:r>
          </w:p>
        </w:tc>
        <w:tc>
          <w:tcPr>
            <w:tcW w:w="2880" w:type="dxa"/>
          </w:tcPr>
          <w:p w14:paraId="59841D2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Handling of missing data</w:t>
            </w:r>
          </w:p>
        </w:tc>
        <w:tc>
          <w:tcPr>
            <w:tcW w:w="3137" w:type="dxa"/>
          </w:tcPr>
          <w:p w14:paraId="3C5FD39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9, 11, 33</w:t>
            </w:r>
          </w:p>
        </w:tc>
      </w:tr>
      <w:tr w:rsidR="00F03F0D" w:rsidRPr="00143BE8" w14:paraId="1B832B5F" w14:textId="77777777" w:rsidTr="0027750B">
        <w:tc>
          <w:tcPr>
            <w:tcW w:w="2880" w:type="dxa"/>
          </w:tcPr>
          <w:p w14:paraId="23AA84D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12d</w:t>
            </w:r>
          </w:p>
        </w:tc>
        <w:tc>
          <w:tcPr>
            <w:tcW w:w="2880" w:type="dxa"/>
          </w:tcPr>
          <w:p w14:paraId="5FB6CF7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Loss to follow-up</w:t>
            </w:r>
          </w:p>
        </w:tc>
        <w:tc>
          <w:tcPr>
            <w:tcW w:w="3137" w:type="dxa"/>
          </w:tcPr>
          <w:p w14:paraId="0342249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N/A</w:t>
            </w:r>
          </w:p>
        </w:tc>
      </w:tr>
      <w:tr w:rsidR="00F03F0D" w:rsidRPr="00143BE8" w14:paraId="5EC4892C" w14:textId="77777777" w:rsidTr="0027750B">
        <w:tc>
          <w:tcPr>
            <w:tcW w:w="2880" w:type="dxa"/>
          </w:tcPr>
          <w:p w14:paraId="1223A5E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12e</w:t>
            </w:r>
          </w:p>
        </w:tc>
        <w:tc>
          <w:tcPr>
            <w:tcW w:w="2880" w:type="dxa"/>
          </w:tcPr>
          <w:p w14:paraId="7CA10102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Sensitivity analyses</w:t>
            </w:r>
          </w:p>
        </w:tc>
        <w:tc>
          <w:tcPr>
            <w:tcW w:w="3137" w:type="dxa"/>
          </w:tcPr>
          <w:p w14:paraId="47B0A55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N/A</w:t>
            </w:r>
          </w:p>
        </w:tc>
      </w:tr>
      <w:tr w:rsidR="00F03F0D" w:rsidRPr="00143BE8" w14:paraId="335BCBC9" w14:textId="77777777" w:rsidTr="0027750B">
        <w:tc>
          <w:tcPr>
            <w:tcW w:w="2880" w:type="dxa"/>
          </w:tcPr>
          <w:p w14:paraId="34CF332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13a</w:t>
            </w:r>
          </w:p>
        </w:tc>
        <w:tc>
          <w:tcPr>
            <w:tcW w:w="2880" w:type="dxa"/>
          </w:tcPr>
          <w:p w14:paraId="0BEA34AA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Counts through eligibility, inclusion, analysis</w:t>
            </w:r>
          </w:p>
        </w:tc>
        <w:tc>
          <w:tcPr>
            <w:tcW w:w="3137" w:type="dxa"/>
          </w:tcPr>
          <w:p w14:paraId="32F31AE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11, 33</w:t>
            </w:r>
          </w:p>
        </w:tc>
      </w:tr>
      <w:tr w:rsidR="00F03F0D" w:rsidRPr="00143BE8" w14:paraId="775AB07B" w14:textId="77777777" w:rsidTr="0027750B">
        <w:tc>
          <w:tcPr>
            <w:tcW w:w="2880" w:type="dxa"/>
          </w:tcPr>
          <w:p w14:paraId="63A5BCE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13b</w:t>
            </w:r>
          </w:p>
        </w:tc>
        <w:tc>
          <w:tcPr>
            <w:tcW w:w="2880" w:type="dxa"/>
          </w:tcPr>
          <w:p w14:paraId="684BDBED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Reasons for non-participation</w:t>
            </w:r>
          </w:p>
        </w:tc>
        <w:tc>
          <w:tcPr>
            <w:tcW w:w="3137" w:type="dxa"/>
          </w:tcPr>
          <w:p w14:paraId="41410B4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11, 33</w:t>
            </w:r>
          </w:p>
        </w:tc>
      </w:tr>
      <w:tr w:rsidR="00F03F0D" w:rsidRPr="00143BE8" w14:paraId="55EF1BF4" w14:textId="77777777" w:rsidTr="0027750B">
        <w:tc>
          <w:tcPr>
            <w:tcW w:w="2880" w:type="dxa"/>
          </w:tcPr>
          <w:p w14:paraId="6D314B0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13c</w:t>
            </w:r>
          </w:p>
        </w:tc>
        <w:tc>
          <w:tcPr>
            <w:tcW w:w="2880" w:type="dxa"/>
          </w:tcPr>
          <w:p w14:paraId="17183E9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Flow diagram</w:t>
            </w:r>
          </w:p>
        </w:tc>
        <w:tc>
          <w:tcPr>
            <w:tcW w:w="3137" w:type="dxa"/>
          </w:tcPr>
          <w:p w14:paraId="1824C6E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33</w:t>
            </w:r>
          </w:p>
        </w:tc>
      </w:tr>
      <w:tr w:rsidR="00F03F0D" w:rsidRPr="00143BE8" w14:paraId="631AC5B1" w14:textId="77777777" w:rsidTr="0027750B">
        <w:tc>
          <w:tcPr>
            <w:tcW w:w="2880" w:type="dxa"/>
          </w:tcPr>
          <w:p w14:paraId="5110348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14a</w:t>
            </w:r>
          </w:p>
        </w:tc>
        <w:tc>
          <w:tcPr>
            <w:tcW w:w="2880" w:type="dxa"/>
          </w:tcPr>
          <w:p w14:paraId="75BC3DE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Participant characteristics, exposures, confounders</w:t>
            </w:r>
          </w:p>
        </w:tc>
        <w:tc>
          <w:tcPr>
            <w:tcW w:w="3137" w:type="dxa"/>
          </w:tcPr>
          <w:p w14:paraId="519F30AA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11–12, 28–31</w:t>
            </w:r>
          </w:p>
        </w:tc>
      </w:tr>
      <w:tr w:rsidR="00F03F0D" w:rsidRPr="00143BE8" w14:paraId="1F181BF1" w14:textId="77777777" w:rsidTr="0027750B">
        <w:tc>
          <w:tcPr>
            <w:tcW w:w="2880" w:type="dxa"/>
          </w:tcPr>
          <w:p w14:paraId="151F12A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14b</w:t>
            </w:r>
          </w:p>
        </w:tc>
        <w:tc>
          <w:tcPr>
            <w:tcW w:w="2880" w:type="dxa"/>
          </w:tcPr>
          <w:p w14:paraId="641AA9F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Missing data per variable</w:t>
            </w:r>
          </w:p>
        </w:tc>
        <w:tc>
          <w:tcPr>
            <w:tcW w:w="3137" w:type="dxa"/>
          </w:tcPr>
          <w:p w14:paraId="6DF65B4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11, 33</w:t>
            </w:r>
          </w:p>
        </w:tc>
      </w:tr>
      <w:tr w:rsidR="00F03F0D" w:rsidRPr="00143BE8" w14:paraId="0B9511EF" w14:textId="77777777" w:rsidTr="0027750B">
        <w:tc>
          <w:tcPr>
            <w:tcW w:w="2880" w:type="dxa"/>
          </w:tcPr>
          <w:p w14:paraId="7AF4B71A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14c</w:t>
            </w:r>
          </w:p>
        </w:tc>
        <w:tc>
          <w:tcPr>
            <w:tcW w:w="2880" w:type="dxa"/>
          </w:tcPr>
          <w:p w14:paraId="1921566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Follow-up time</w:t>
            </w:r>
          </w:p>
        </w:tc>
        <w:tc>
          <w:tcPr>
            <w:tcW w:w="3137" w:type="dxa"/>
          </w:tcPr>
          <w:p w14:paraId="2EFBC3D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11, 29</w:t>
            </w:r>
          </w:p>
        </w:tc>
      </w:tr>
      <w:tr w:rsidR="00F03F0D" w:rsidRPr="00143BE8" w14:paraId="6F8C091B" w14:textId="77777777" w:rsidTr="0027750B">
        <w:tc>
          <w:tcPr>
            <w:tcW w:w="2880" w:type="dxa"/>
          </w:tcPr>
          <w:p w14:paraId="70DDB6D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15</w:t>
            </w:r>
          </w:p>
        </w:tc>
        <w:tc>
          <w:tcPr>
            <w:tcW w:w="2880" w:type="dxa"/>
          </w:tcPr>
          <w:p w14:paraId="04BC5F1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Event counts or longitudinal summary</w:t>
            </w:r>
          </w:p>
        </w:tc>
        <w:tc>
          <w:tcPr>
            <w:tcW w:w="3137" w:type="dxa"/>
          </w:tcPr>
          <w:p w14:paraId="4998373D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12–13, 35</w:t>
            </w:r>
          </w:p>
        </w:tc>
      </w:tr>
      <w:tr w:rsidR="00F03F0D" w:rsidRPr="00143BE8" w14:paraId="2224E1ED" w14:textId="77777777" w:rsidTr="0027750B">
        <w:tc>
          <w:tcPr>
            <w:tcW w:w="2880" w:type="dxa"/>
          </w:tcPr>
          <w:p w14:paraId="6A464ADD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16a</w:t>
            </w:r>
          </w:p>
        </w:tc>
        <w:tc>
          <w:tcPr>
            <w:tcW w:w="2880" w:type="dxa"/>
          </w:tcPr>
          <w:p w14:paraId="25B2FC7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Estimates and precision; adjustment status</w:t>
            </w:r>
          </w:p>
        </w:tc>
        <w:tc>
          <w:tcPr>
            <w:tcW w:w="3137" w:type="dxa"/>
          </w:tcPr>
          <w:p w14:paraId="5E8B541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14, 36</w:t>
            </w:r>
          </w:p>
        </w:tc>
      </w:tr>
      <w:tr w:rsidR="00F03F0D" w:rsidRPr="00143BE8" w14:paraId="3146FBFC" w14:textId="77777777" w:rsidTr="0027750B">
        <w:tc>
          <w:tcPr>
            <w:tcW w:w="2880" w:type="dxa"/>
          </w:tcPr>
          <w:p w14:paraId="7BFBFB1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lastRenderedPageBreak/>
              <w:t>16b</w:t>
            </w:r>
          </w:p>
        </w:tc>
        <w:tc>
          <w:tcPr>
            <w:tcW w:w="2880" w:type="dxa"/>
          </w:tcPr>
          <w:p w14:paraId="0CDC91D4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Boundaries of categorised continuous variables</w:t>
            </w:r>
          </w:p>
        </w:tc>
        <w:tc>
          <w:tcPr>
            <w:tcW w:w="3137" w:type="dxa"/>
          </w:tcPr>
          <w:p w14:paraId="04D317D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10, 36</w:t>
            </w:r>
          </w:p>
        </w:tc>
      </w:tr>
      <w:tr w:rsidR="00F03F0D" w:rsidRPr="00143BE8" w14:paraId="654EA1AE" w14:textId="77777777" w:rsidTr="0027750B">
        <w:tc>
          <w:tcPr>
            <w:tcW w:w="2880" w:type="dxa"/>
          </w:tcPr>
          <w:p w14:paraId="0B3DBAB5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16c</w:t>
            </w:r>
          </w:p>
        </w:tc>
        <w:tc>
          <w:tcPr>
            <w:tcW w:w="2880" w:type="dxa"/>
          </w:tcPr>
          <w:p w14:paraId="5A306228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Absolute risk translation when relevant</w:t>
            </w:r>
          </w:p>
        </w:tc>
        <w:tc>
          <w:tcPr>
            <w:tcW w:w="3137" w:type="dxa"/>
          </w:tcPr>
          <w:p w14:paraId="0D327F6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12–14, 36</w:t>
            </w:r>
          </w:p>
        </w:tc>
      </w:tr>
      <w:tr w:rsidR="00F03F0D" w:rsidRPr="00143BE8" w14:paraId="322114C0" w14:textId="77777777" w:rsidTr="0027750B">
        <w:tc>
          <w:tcPr>
            <w:tcW w:w="2880" w:type="dxa"/>
          </w:tcPr>
          <w:p w14:paraId="149D757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17</w:t>
            </w:r>
          </w:p>
        </w:tc>
        <w:tc>
          <w:tcPr>
            <w:tcW w:w="2880" w:type="dxa"/>
          </w:tcPr>
          <w:p w14:paraId="77AF32BC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Subgroups and additional analyses</w:t>
            </w:r>
          </w:p>
        </w:tc>
        <w:tc>
          <w:tcPr>
            <w:tcW w:w="3137" w:type="dxa"/>
          </w:tcPr>
          <w:p w14:paraId="173A497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14, 36</w:t>
            </w:r>
          </w:p>
        </w:tc>
      </w:tr>
      <w:tr w:rsidR="00F03F0D" w:rsidRPr="00143BE8" w14:paraId="52036727" w14:textId="77777777" w:rsidTr="0027750B">
        <w:tc>
          <w:tcPr>
            <w:tcW w:w="2880" w:type="dxa"/>
          </w:tcPr>
          <w:p w14:paraId="3A25DE45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18</w:t>
            </w:r>
          </w:p>
        </w:tc>
        <w:tc>
          <w:tcPr>
            <w:tcW w:w="2880" w:type="dxa"/>
          </w:tcPr>
          <w:p w14:paraId="59CCD2B5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Key findings in relation to objectives</w:t>
            </w:r>
          </w:p>
        </w:tc>
        <w:tc>
          <w:tcPr>
            <w:tcW w:w="3137" w:type="dxa"/>
          </w:tcPr>
          <w:p w14:paraId="21BC5B33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14–15</w:t>
            </w:r>
          </w:p>
        </w:tc>
      </w:tr>
      <w:tr w:rsidR="00F03F0D" w:rsidRPr="00143BE8" w14:paraId="796E7C66" w14:textId="77777777" w:rsidTr="0027750B">
        <w:tc>
          <w:tcPr>
            <w:tcW w:w="2880" w:type="dxa"/>
          </w:tcPr>
          <w:p w14:paraId="679922C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19</w:t>
            </w:r>
          </w:p>
        </w:tc>
        <w:tc>
          <w:tcPr>
            <w:tcW w:w="2880" w:type="dxa"/>
          </w:tcPr>
          <w:p w14:paraId="78D7FD70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Limitations and direction/magnitude of bias</w:t>
            </w:r>
          </w:p>
        </w:tc>
        <w:tc>
          <w:tcPr>
            <w:tcW w:w="3137" w:type="dxa"/>
          </w:tcPr>
          <w:p w14:paraId="1122A707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19–20</w:t>
            </w:r>
          </w:p>
        </w:tc>
      </w:tr>
      <w:tr w:rsidR="00F03F0D" w:rsidRPr="00143BE8" w14:paraId="69F8B22A" w14:textId="77777777" w:rsidTr="0027750B">
        <w:tc>
          <w:tcPr>
            <w:tcW w:w="2880" w:type="dxa"/>
          </w:tcPr>
          <w:p w14:paraId="1EA7527D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14143B9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Cautious interpretation in context</w:t>
            </w:r>
          </w:p>
        </w:tc>
        <w:tc>
          <w:tcPr>
            <w:tcW w:w="3137" w:type="dxa"/>
          </w:tcPr>
          <w:p w14:paraId="673EA97B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15–19, 21</w:t>
            </w:r>
          </w:p>
        </w:tc>
      </w:tr>
      <w:tr w:rsidR="00F03F0D" w:rsidRPr="00143BE8" w14:paraId="50DF0C20" w14:textId="77777777" w:rsidTr="0027750B">
        <w:tc>
          <w:tcPr>
            <w:tcW w:w="2880" w:type="dxa"/>
          </w:tcPr>
          <w:p w14:paraId="04D7F756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21</w:t>
            </w:r>
          </w:p>
        </w:tc>
        <w:tc>
          <w:tcPr>
            <w:tcW w:w="2880" w:type="dxa"/>
          </w:tcPr>
          <w:p w14:paraId="6C385E4E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Generalisability / external validity</w:t>
            </w:r>
          </w:p>
        </w:tc>
        <w:tc>
          <w:tcPr>
            <w:tcW w:w="3137" w:type="dxa"/>
          </w:tcPr>
          <w:p w14:paraId="4986BBCA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19–20</w:t>
            </w:r>
          </w:p>
        </w:tc>
      </w:tr>
      <w:tr w:rsidR="00F03F0D" w:rsidRPr="00143BE8" w14:paraId="67304BE6" w14:textId="77777777" w:rsidTr="0027750B">
        <w:tc>
          <w:tcPr>
            <w:tcW w:w="2880" w:type="dxa"/>
          </w:tcPr>
          <w:p w14:paraId="17E0F60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22</w:t>
            </w:r>
          </w:p>
        </w:tc>
        <w:tc>
          <w:tcPr>
            <w:tcW w:w="2880" w:type="dxa"/>
          </w:tcPr>
          <w:p w14:paraId="2C4A37B1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Funding source and funder role</w:t>
            </w:r>
          </w:p>
        </w:tc>
        <w:tc>
          <w:tcPr>
            <w:tcW w:w="3137" w:type="dxa"/>
          </w:tcPr>
          <w:p w14:paraId="36474509" w14:textId="77777777" w:rsidR="00F03F0D" w:rsidRPr="00143BE8" w:rsidRDefault="00F03F0D" w:rsidP="0027750B">
            <w:pPr>
              <w:rPr>
                <w:sz w:val="20"/>
                <w:szCs w:val="20"/>
              </w:rPr>
            </w:pPr>
            <w:r w:rsidRPr="00143BE8">
              <w:rPr>
                <w:sz w:val="20"/>
                <w:szCs w:val="20"/>
              </w:rPr>
              <w:t>23</w:t>
            </w:r>
          </w:p>
        </w:tc>
      </w:tr>
    </w:tbl>
    <w:p w14:paraId="6123E899" w14:textId="77777777" w:rsidR="00F03F0D" w:rsidRPr="00895860" w:rsidRDefault="00F03F0D" w:rsidP="00895860">
      <w:pPr>
        <w:rPr>
          <w:lang w:val="en-GB"/>
        </w:rPr>
      </w:pPr>
    </w:p>
    <w:sectPr w:rsidR="00F03F0D" w:rsidRPr="008958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60"/>
    <w:rsid w:val="000348CD"/>
    <w:rsid w:val="00480AE3"/>
    <w:rsid w:val="006C2B88"/>
    <w:rsid w:val="00895860"/>
    <w:rsid w:val="00941F90"/>
    <w:rsid w:val="00C75414"/>
    <w:rsid w:val="00F016CB"/>
    <w:rsid w:val="00F03F0D"/>
    <w:rsid w:val="00F86BCA"/>
    <w:rsid w:val="00F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D662"/>
  <w15:chartTrackingRefBased/>
  <w15:docId w15:val="{33421A06-6F4F-475D-A9D2-58A55CDD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5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5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58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5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58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5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5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5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5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58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58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58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586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586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58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58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58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58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5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5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5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5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58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58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586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58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586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586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895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table" w:styleId="Tablaconcuadrcula">
    <w:name w:val="Table Grid"/>
    <w:basedOn w:val="Tablanormal"/>
    <w:uiPriority w:val="59"/>
    <w:rsid w:val="00F03F0D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420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Parada</dc:creator>
  <cp:keywords/>
  <dc:description/>
  <cp:lastModifiedBy>Mauricio Parada</cp:lastModifiedBy>
  <cp:revision>3</cp:revision>
  <dcterms:created xsi:type="dcterms:W3CDTF">2026-09-16T01:13:00Z</dcterms:created>
  <dcterms:modified xsi:type="dcterms:W3CDTF">2026-10-02T18:01:00Z</dcterms:modified>
</cp:coreProperties>
</file>