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0E013" w14:textId="271569D1" w:rsidR="003715A5" w:rsidRDefault="00000000">
      <w:pPr>
        <w:jc w:val="both"/>
        <w:rPr>
          <w:rFonts w:ascii="Times New Roman" w:eastAsia="Times New Roman" w:hAnsi="Times New Roman" w:cs="Times New Roman"/>
        </w:rPr>
      </w:pPr>
      <w:r w:rsidRPr="00745685">
        <w:rPr>
          <w:rFonts w:ascii="Times New Roman" w:eastAsia="Times New Roman" w:hAnsi="Times New Roman" w:cs="Times New Roman"/>
          <w:b/>
          <w:bCs/>
        </w:rPr>
        <w:t>Table</w:t>
      </w:r>
      <w:r w:rsidR="00745685" w:rsidRPr="00745685">
        <w:rPr>
          <w:rFonts w:ascii="Times New Roman" w:eastAsia="Times New Roman" w:hAnsi="Times New Roman" w:cs="Times New Roman"/>
          <w:b/>
          <w:bCs/>
        </w:rPr>
        <w:t xml:space="preserve"> </w:t>
      </w:r>
      <w:r w:rsidRPr="00745685">
        <w:rPr>
          <w:rFonts w:ascii="Times New Roman" w:eastAsia="Times New Roman" w:hAnsi="Times New Roman" w:cs="Times New Roman"/>
          <w:b/>
          <w:bCs/>
        </w:rPr>
        <w:t>1</w:t>
      </w:r>
      <w:r>
        <w:rPr>
          <w:rFonts w:ascii="Times New Roman" w:eastAsia="Times New Roman" w:hAnsi="Times New Roman" w:cs="Times New Roman"/>
        </w:rPr>
        <w:t xml:space="preserve"> Composition of Sea-water BG-11 medium (SWBG-11) </w:t>
      </w:r>
    </w:p>
    <w:sdt>
      <w:sdtPr>
        <w:tag w:val="goog_rdk_0"/>
        <w:id w:val="356611530"/>
        <w:lock w:val="contentLocked"/>
      </w:sdtPr>
      <w:sdtContent>
        <w:tbl>
          <w:tblPr>
            <w:tblStyle w:val="a"/>
            <w:tblW w:w="609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3735"/>
            <w:gridCol w:w="2355"/>
          </w:tblGrid>
          <w:tr w:rsidR="003715A5" w14:paraId="3AD3B8E3" w14:textId="77777777">
            <w:tc>
              <w:tcPr>
                <w:tcW w:w="3735" w:type="dxa"/>
              </w:tcPr>
              <w:p w14:paraId="115144CC" w14:textId="77777777" w:rsidR="003715A5" w:rsidRDefault="00000000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Compound</w:t>
                </w:r>
              </w:p>
            </w:tc>
            <w:tc>
              <w:tcPr>
                <w:tcW w:w="2355" w:type="dxa"/>
              </w:tcPr>
              <w:p w14:paraId="75C8FE61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(gm L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vertAlign w:val="superscript"/>
                  </w:rPr>
                  <w:t>-1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)</w:t>
                </w:r>
              </w:p>
            </w:tc>
          </w:tr>
          <w:tr w:rsidR="003715A5" w14:paraId="3856178E" w14:textId="77777777">
            <w:tc>
              <w:tcPr>
                <w:tcW w:w="3735" w:type="dxa"/>
              </w:tcPr>
              <w:p w14:paraId="6768BACC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Raw Salt</w:t>
                </w:r>
              </w:p>
            </w:tc>
            <w:tc>
              <w:tcPr>
                <w:tcW w:w="2355" w:type="dxa"/>
              </w:tcPr>
              <w:p w14:paraId="37D31840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32</w:t>
                </w:r>
              </w:p>
            </w:tc>
          </w:tr>
          <w:tr w:rsidR="003715A5" w14:paraId="2E29B19A" w14:textId="77777777">
            <w:tc>
              <w:tcPr>
                <w:tcW w:w="3735" w:type="dxa"/>
              </w:tcPr>
              <w:p w14:paraId="59D2874A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Sodium Nitrate</w:t>
                </w:r>
              </w:p>
            </w:tc>
            <w:tc>
              <w:tcPr>
                <w:tcW w:w="2355" w:type="dxa"/>
              </w:tcPr>
              <w:p w14:paraId="7C9D0084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1.5</w:t>
                </w:r>
              </w:p>
            </w:tc>
          </w:tr>
          <w:tr w:rsidR="003715A5" w14:paraId="3627EB22" w14:textId="77777777">
            <w:tc>
              <w:tcPr>
                <w:tcW w:w="3735" w:type="dxa"/>
              </w:tcPr>
              <w:p w14:paraId="108F3F49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Dipotassium hydrogen phosphate</w:t>
                </w:r>
              </w:p>
            </w:tc>
            <w:tc>
              <w:tcPr>
                <w:tcW w:w="2355" w:type="dxa"/>
              </w:tcPr>
              <w:p w14:paraId="627B7AEE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0.04</w:t>
                </w:r>
              </w:p>
            </w:tc>
          </w:tr>
          <w:tr w:rsidR="003715A5" w14:paraId="56B6AB79" w14:textId="77777777">
            <w:tc>
              <w:tcPr>
                <w:tcW w:w="3735" w:type="dxa"/>
              </w:tcPr>
              <w:p w14:paraId="347435B1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Magnesium sulphate</w:t>
                </w:r>
              </w:p>
            </w:tc>
            <w:tc>
              <w:tcPr>
                <w:tcW w:w="2355" w:type="dxa"/>
              </w:tcPr>
              <w:p w14:paraId="693CA5EF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0.075</w:t>
                </w:r>
              </w:p>
            </w:tc>
          </w:tr>
          <w:tr w:rsidR="003715A5" w14:paraId="2E5F30B5" w14:textId="77777777">
            <w:tc>
              <w:tcPr>
                <w:tcW w:w="3735" w:type="dxa"/>
              </w:tcPr>
              <w:p w14:paraId="38DD1F25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Calcium chloride</w:t>
                </w:r>
              </w:p>
            </w:tc>
            <w:tc>
              <w:tcPr>
                <w:tcW w:w="2355" w:type="dxa"/>
              </w:tcPr>
              <w:p w14:paraId="16008E48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0.036</w:t>
                </w:r>
              </w:p>
            </w:tc>
          </w:tr>
          <w:tr w:rsidR="003715A5" w14:paraId="4B8EBC70" w14:textId="77777777">
            <w:tc>
              <w:tcPr>
                <w:tcW w:w="3735" w:type="dxa"/>
              </w:tcPr>
              <w:p w14:paraId="14DC4D59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Citric acid</w:t>
                </w:r>
              </w:p>
            </w:tc>
            <w:tc>
              <w:tcPr>
                <w:tcW w:w="2355" w:type="dxa"/>
              </w:tcPr>
              <w:p w14:paraId="62900EA5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0.006</w:t>
                </w:r>
              </w:p>
            </w:tc>
          </w:tr>
          <w:tr w:rsidR="003715A5" w14:paraId="49ACCEFF" w14:textId="77777777">
            <w:tc>
              <w:tcPr>
                <w:tcW w:w="3735" w:type="dxa"/>
              </w:tcPr>
              <w:p w14:paraId="3DDFEF20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Ferric ammonium citrate</w:t>
                </w:r>
              </w:p>
            </w:tc>
            <w:tc>
              <w:tcPr>
                <w:tcW w:w="2355" w:type="dxa"/>
              </w:tcPr>
              <w:p w14:paraId="52E581AE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0.006</w:t>
                </w:r>
              </w:p>
            </w:tc>
          </w:tr>
          <w:tr w:rsidR="003715A5" w14:paraId="42CB033D" w14:textId="77777777">
            <w:tc>
              <w:tcPr>
                <w:tcW w:w="3735" w:type="dxa"/>
              </w:tcPr>
              <w:p w14:paraId="058DDDDD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Disodium EDTA</w:t>
                </w:r>
              </w:p>
            </w:tc>
            <w:tc>
              <w:tcPr>
                <w:tcW w:w="2355" w:type="dxa"/>
              </w:tcPr>
              <w:p w14:paraId="2E8516DE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0.001</w:t>
                </w:r>
              </w:p>
            </w:tc>
          </w:tr>
          <w:tr w:rsidR="003715A5" w14:paraId="51F7DDB6" w14:textId="77777777">
            <w:tc>
              <w:tcPr>
                <w:tcW w:w="3735" w:type="dxa"/>
              </w:tcPr>
              <w:p w14:paraId="014804AB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Sodium carbonate</w:t>
                </w:r>
              </w:p>
            </w:tc>
            <w:tc>
              <w:tcPr>
                <w:tcW w:w="2355" w:type="dxa"/>
              </w:tcPr>
              <w:p w14:paraId="42E7CEDD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0.2</w:t>
                </w:r>
              </w:p>
            </w:tc>
          </w:tr>
          <w:tr w:rsidR="003715A5" w14:paraId="0383B5AD" w14:textId="77777777">
            <w:tc>
              <w:tcPr>
                <w:tcW w:w="3735" w:type="dxa"/>
              </w:tcPr>
              <w:p w14:paraId="2D0163DD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Dihydrogen borate</w:t>
                </w:r>
              </w:p>
            </w:tc>
            <w:tc>
              <w:tcPr>
                <w:tcW w:w="2355" w:type="dxa"/>
              </w:tcPr>
              <w:p w14:paraId="2960D979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0.00286</w:t>
                </w:r>
              </w:p>
            </w:tc>
          </w:tr>
          <w:tr w:rsidR="003715A5" w14:paraId="611A4642" w14:textId="77777777">
            <w:tc>
              <w:tcPr>
                <w:tcW w:w="3735" w:type="dxa"/>
              </w:tcPr>
              <w:p w14:paraId="6EDD6298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Manganese chloride</w:t>
                </w:r>
              </w:p>
            </w:tc>
            <w:tc>
              <w:tcPr>
                <w:tcW w:w="2355" w:type="dxa"/>
              </w:tcPr>
              <w:p w14:paraId="3E1C5CA0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0.00181</w:t>
                </w:r>
              </w:p>
            </w:tc>
          </w:tr>
          <w:tr w:rsidR="003715A5" w14:paraId="1F48C476" w14:textId="77777777">
            <w:tc>
              <w:tcPr>
                <w:tcW w:w="3735" w:type="dxa"/>
              </w:tcPr>
              <w:p w14:paraId="48062D8A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Zinc sulphate</w:t>
                </w:r>
              </w:p>
            </w:tc>
            <w:tc>
              <w:tcPr>
                <w:tcW w:w="2355" w:type="dxa"/>
              </w:tcPr>
              <w:p w14:paraId="300DDFA0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0.000222</w:t>
                </w:r>
              </w:p>
            </w:tc>
          </w:tr>
          <w:tr w:rsidR="003715A5" w14:paraId="6D7E0457" w14:textId="77777777">
            <w:tc>
              <w:tcPr>
                <w:tcW w:w="3735" w:type="dxa"/>
              </w:tcPr>
              <w:p w14:paraId="45A59359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Sodium molybdate</w:t>
                </w:r>
              </w:p>
            </w:tc>
            <w:tc>
              <w:tcPr>
                <w:tcW w:w="2355" w:type="dxa"/>
              </w:tcPr>
              <w:p w14:paraId="7C1284CF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0.000390</w:t>
                </w:r>
              </w:p>
            </w:tc>
          </w:tr>
          <w:tr w:rsidR="003715A5" w14:paraId="182F99FB" w14:textId="77777777">
            <w:tc>
              <w:tcPr>
                <w:tcW w:w="3735" w:type="dxa"/>
              </w:tcPr>
              <w:p w14:paraId="16796349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Copper sulphate</w:t>
                </w:r>
              </w:p>
            </w:tc>
            <w:tc>
              <w:tcPr>
                <w:tcW w:w="2355" w:type="dxa"/>
              </w:tcPr>
              <w:p w14:paraId="49E2ADBA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0.000079</w:t>
                </w:r>
              </w:p>
            </w:tc>
          </w:tr>
          <w:tr w:rsidR="003715A5" w14:paraId="5F23C447" w14:textId="77777777">
            <w:tc>
              <w:tcPr>
                <w:tcW w:w="3735" w:type="dxa"/>
              </w:tcPr>
              <w:p w14:paraId="7532EAC0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Cobalt nitrate</w:t>
                </w:r>
              </w:p>
            </w:tc>
            <w:tc>
              <w:tcPr>
                <w:tcW w:w="2355" w:type="dxa"/>
              </w:tcPr>
              <w:p w14:paraId="3D64CD46" w14:textId="77777777" w:rsidR="003715A5" w:rsidRDefault="00000000">
                <w:pPr>
                  <w:spacing w:after="0" w:line="240" w:lineRule="auto"/>
                  <w:jc w:val="both"/>
                </w:pPr>
                <w:r>
                  <w:rPr>
                    <w:rFonts w:ascii="Times New Roman" w:eastAsia="Times New Roman" w:hAnsi="Times New Roman" w:cs="Times New Roman"/>
                  </w:rPr>
                  <w:t>0.0000494</w:t>
                </w:r>
              </w:p>
            </w:tc>
          </w:tr>
          <w:tr w:rsidR="003715A5" w14:paraId="01C31496" w14:textId="77777777">
            <w:tc>
              <w:tcPr>
                <w:tcW w:w="3735" w:type="dxa"/>
              </w:tcPr>
              <w:p w14:paraId="7A2DCD6D" w14:textId="77777777" w:rsidR="003715A5" w:rsidRDefault="00000000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Dechlorinated Tapwater</w:t>
                </w:r>
              </w:p>
            </w:tc>
            <w:tc>
              <w:tcPr>
                <w:tcW w:w="2355" w:type="dxa"/>
              </w:tcPr>
              <w:p w14:paraId="4A2ED58B" w14:textId="77777777" w:rsidR="003715A5" w:rsidRDefault="00000000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1000 mL</w:t>
                </w:r>
              </w:p>
            </w:tc>
          </w:tr>
        </w:tbl>
      </w:sdtContent>
    </w:sdt>
    <w:p w14:paraId="33F95EDD" w14:textId="77777777" w:rsidR="003715A5" w:rsidRDefault="003715A5">
      <w:pPr>
        <w:jc w:val="both"/>
      </w:pPr>
    </w:p>
    <w:p w14:paraId="00B909C0" w14:textId="77777777" w:rsidR="003715A5" w:rsidRDefault="003715A5">
      <w:pPr>
        <w:jc w:val="both"/>
      </w:pPr>
    </w:p>
    <w:p w14:paraId="55B7BD7A" w14:textId="77777777" w:rsidR="003715A5" w:rsidRDefault="00000000">
      <w:pPr>
        <w:jc w:val="both"/>
      </w:pPr>
      <w:r>
        <w:rPr>
          <w:noProof/>
        </w:rPr>
        <w:drawing>
          <wp:inline distT="114300" distB="114300" distL="114300" distR="114300" wp14:anchorId="75B61569" wp14:editId="65605F5E">
            <wp:extent cx="4341813" cy="2605088"/>
            <wp:effectExtent l="0" t="0" r="0" b="0"/>
            <wp:docPr id="1572202355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1813" cy="26050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ECCA0A" w14:textId="5550AC21" w:rsidR="003715A5" w:rsidRDefault="00000000">
      <w:pPr>
        <w:jc w:val="both"/>
        <w:rPr>
          <w:rFonts w:ascii="Times New Roman" w:eastAsia="Times New Roman" w:hAnsi="Times New Roman" w:cs="Times New Roman"/>
        </w:rPr>
      </w:pPr>
      <w:r w:rsidRPr="00745685">
        <w:rPr>
          <w:rFonts w:ascii="Times New Roman" w:eastAsia="Times New Roman" w:hAnsi="Times New Roman" w:cs="Times New Roman"/>
          <w:b/>
          <w:bCs/>
        </w:rPr>
        <w:t>Fig</w:t>
      </w:r>
      <w:r w:rsidR="00745685" w:rsidRPr="00745685">
        <w:rPr>
          <w:rFonts w:ascii="Times New Roman" w:eastAsia="Times New Roman" w:hAnsi="Times New Roman" w:cs="Times New Roman"/>
          <w:b/>
          <w:bCs/>
        </w:rPr>
        <w:t>.</w:t>
      </w:r>
      <w:r w:rsidR="00745685">
        <w:rPr>
          <w:rFonts w:ascii="Times New Roman" w:eastAsia="Times New Roman" w:hAnsi="Times New Roman" w:cs="Times New Roman"/>
          <w:b/>
          <w:bCs/>
        </w:rPr>
        <w:t xml:space="preserve"> </w:t>
      </w:r>
      <w:r w:rsidRPr="00745685">
        <w:rPr>
          <w:rFonts w:ascii="Times New Roman" w:eastAsia="Times New Roman" w:hAnsi="Times New Roman" w:cs="Times New Roman"/>
          <w:b/>
          <w:bCs/>
        </w:rPr>
        <w:t>1</w:t>
      </w:r>
      <w:r>
        <w:rPr>
          <w:rFonts w:ascii="Times New Roman" w:eastAsia="Times New Roman" w:hAnsi="Times New Roman" w:cs="Times New Roman"/>
        </w:rPr>
        <w:t xml:space="preserve"> Standard Curve for Protein Estimation</w:t>
      </w:r>
    </w:p>
    <w:p w14:paraId="0B0FA2F9" w14:textId="77777777" w:rsidR="003715A5" w:rsidRDefault="003715A5">
      <w:pPr>
        <w:jc w:val="both"/>
      </w:pPr>
    </w:p>
    <w:p w14:paraId="71EBECEA" w14:textId="77777777" w:rsidR="003715A5" w:rsidRDefault="00000000">
      <w:pPr>
        <w:jc w:val="both"/>
      </w:pPr>
      <w:r>
        <w:rPr>
          <w:noProof/>
        </w:rPr>
        <w:lastRenderedPageBreak/>
        <w:drawing>
          <wp:inline distT="114300" distB="114300" distL="114300" distR="114300" wp14:anchorId="3D378DAA" wp14:editId="1742778B">
            <wp:extent cx="4370525" cy="2578005"/>
            <wp:effectExtent l="0" t="0" r="0" b="0"/>
            <wp:docPr id="1572202357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70525" cy="25780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ECD1A3" w14:textId="02FC101C" w:rsidR="003715A5" w:rsidRDefault="00745685">
      <w:pPr>
        <w:jc w:val="both"/>
      </w:pPr>
      <w:r w:rsidRPr="00745685">
        <w:rPr>
          <w:rFonts w:ascii="Times New Roman" w:eastAsia="Times New Roman" w:hAnsi="Times New Roman" w:cs="Times New Roman"/>
          <w:b/>
          <w:bCs/>
        </w:rPr>
        <w:t>Fig.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2</w:t>
      </w:r>
      <w:r>
        <w:rPr>
          <w:rFonts w:ascii="Times New Roman" w:eastAsia="Times New Roman" w:hAnsi="Times New Roman" w:cs="Times New Roman"/>
        </w:rPr>
        <w:t xml:space="preserve"> </w:t>
      </w:r>
      <w:r w:rsidR="00000000">
        <w:rPr>
          <w:rFonts w:ascii="Times New Roman" w:eastAsia="Times New Roman" w:hAnsi="Times New Roman" w:cs="Times New Roman"/>
        </w:rPr>
        <w:t>Standard Curve for Sulphate Estimation</w:t>
      </w:r>
    </w:p>
    <w:p w14:paraId="5232FACF" w14:textId="77777777" w:rsidR="003715A5" w:rsidRDefault="003715A5">
      <w:pPr>
        <w:jc w:val="both"/>
      </w:pPr>
    </w:p>
    <w:p w14:paraId="08CCB192" w14:textId="77777777" w:rsidR="003715A5" w:rsidRDefault="00000000">
      <w:pPr>
        <w:jc w:val="both"/>
      </w:pPr>
      <w:r>
        <w:rPr>
          <w:noProof/>
        </w:rPr>
        <w:drawing>
          <wp:inline distT="114300" distB="114300" distL="114300" distR="114300" wp14:anchorId="6BF0DF98" wp14:editId="12BEAABB">
            <wp:extent cx="4267200" cy="2569698"/>
            <wp:effectExtent l="0" t="0" r="0" b="0"/>
            <wp:docPr id="157220236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25696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FC4D467" w14:textId="35BAB685" w:rsidR="003715A5" w:rsidRDefault="00745685">
      <w:pPr>
        <w:jc w:val="both"/>
        <w:rPr>
          <w:rFonts w:ascii="Times New Roman" w:eastAsia="Times New Roman" w:hAnsi="Times New Roman" w:cs="Times New Roman"/>
        </w:rPr>
      </w:pPr>
      <w:r w:rsidRPr="00745685">
        <w:rPr>
          <w:rFonts w:ascii="Times New Roman" w:eastAsia="Times New Roman" w:hAnsi="Times New Roman" w:cs="Times New Roman"/>
          <w:b/>
          <w:bCs/>
        </w:rPr>
        <w:t>Fig.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 xml:space="preserve">3 </w:t>
      </w:r>
      <w:r w:rsidR="00000000">
        <w:rPr>
          <w:rFonts w:ascii="Times New Roman" w:eastAsia="Times New Roman" w:hAnsi="Times New Roman" w:cs="Times New Roman"/>
        </w:rPr>
        <w:t>Standard Curve for Carbohydrate Estimation</w:t>
      </w:r>
    </w:p>
    <w:p w14:paraId="2D154D42" w14:textId="77777777" w:rsidR="003715A5" w:rsidRDefault="003715A5">
      <w:pPr>
        <w:jc w:val="both"/>
      </w:pPr>
    </w:p>
    <w:p w14:paraId="2541AEA6" w14:textId="77777777" w:rsidR="003715A5" w:rsidRDefault="00000000">
      <w:pPr>
        <w:jc w:val="both"/>
      </w:pPr>
      <w:r>
        <w:rPr>
          <w:noProof/>
        </w:rPr>
        <w:lastRenderedPageBreak/>
        <w:drawing>
          <wp:inline distT="114300" distB="114300" distL="114300" distR="114300" wp14:anchorId="37A8799D" wp14:editId="554E3FEB">
            <wp:extent cx="4286250" cy="2581170"/>
            <wp:effectExtent l="0" t="0" r="0" b="0"/>
            <wp:docPr id="157220235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5811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D5EFB1" w14:textId="12995A7F" w:rsidR="003715A5" w:rsidRDefault="00745685">
      <w:pPr>
        <w:jc w:val="both"/>
        <w:rPr>
          <w:rFonts w:ascii="Times New Roman" w:eastAsia="Times New Roman" w:hAnsi="Times New Roman" w:cs="Times New Roman"/>
        </w:rPr>
      </w:pPr>
      <w:r w:rsidRPr="00745685">
        <w:rPr>
          <w:rFonts w:ascii="Times New Roman" w:eastAsia="Times New Roman" w:hAnsi="Times New Roman" w:cs="Times New Roman"/>
          <w:b/>
          <w:bCs/>
        </w:rPr>
        <w:t>Fig.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 xml:space="preserve">4 </w:t>
      </w:r>
      <w:r w:rsidR="00000000">
        <w:rPr>
          <w:rFonts w:ascii="Times New Roman" w:eastAsia="Times New Roman" w:hAnsi="Times New Roman" w:cs="Times New Roman"/>
        </w:rPr>
        <w:t xml:space="preserve">Standard Curve for </w:t>
      </w:r>
      <w:proofErr w:type="spellStart"/>
      <w:r w:rsidR="00000000">
        <w:rPr>
          <w:rFonts w:ascii="Times New Roman" w:eastAsia="Times New Roman" w:hAnsi="Times New Roman" w:cs="Times New Roman"/>
        </w:rPr>
        <w:t>Uronic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acid Estimation</w:t>
      </w:r>
    </w:p>
    <w:p w14:paraId="272C64D5" w14:textId="77777777" w:rsidR="00745685" w:rsidRDefault="00745685">
      <w:pPr>
        <w:jc w:val="both"/>
      </w:pPr>
    </w:p>
    <w:p w14:paraId="21594DE4" w14:textId="77777777" w:rsidR="003715A5" w:rsidRDefault="00000000">
      <w:pPr>
        <w:jc w:val="both"/>
      </w:pPr>
      <w:r>
        <w:rPr>
          <w:noProof/>
        </w:rPr>
        <w:drawing>
          <wp:inline distT="114300" distB="114300" distL="114300" distR="114300" wp14:anchorId="35F709F1" wp14:editId="614527C8">
            <wp:extent cx="4224880" cy="2490788"/>
            <wp:effectExtent l="0" t="0" r="0" b="0"/>
            <wp:docPr id="1572202356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24880" cy="24907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0DEF94" w14:textId="05D89971" w:rsidR="003715A5" w:rsidRDefault="00745685">
      <w:pPr>
        <w:jc w:val="both"/>
        <w:rPr>
          <w:rFonts w:ascii="Times New Roman" w:eastAsia="Times New Roman" w:hAnsi="Times New Roman" w:cs="Times New Roman"/>
        </w:rPr>
      </w:pPr>
      <w:r w:rsidRPr="00745685">
        <w:rPr>
          <w:rFonts w:ascii="Times New Roman" w:eastAsia="Times New Roman" w:hAnsi="Times New Roman" w:cs="Times New Roman"/>
          <w:b/>
          <w:bCs/>
        </w:rPr>
        <w:t>Fig.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5</w:t>
      </w:r>
      <w:r w:rsidR="00000000">
        <w:rPr>
          <w:rFonts w:ascii="Times New Roman" w:eastAsia="Times New Roman" w:hAnsi="Times New Roman" w:cs="Times New Roman"/>
        </w:rPr>
        <w:t xml:space="preserve"> Standard Curve for Dopamine Estimation</w:t>
      </w:r>
    </w:p>
    <w:p w14:paraId="03ACF31C" w14:textId="77777777" w:rsidR="003715A5" w:rsidRDefault="003715A5">
      <w:pPr>
        <w:jc w:val="both"/>
        <w:rPr>
          <w:rFonts w:ascii="Times New Roman" w:eastAsia="Times New Roman" w:hAnsi="Times New Roman" w:cs="Times New Roman"/>
        </w:rPr>
      </w:pPr>
    </w:p>
    <w:p w14:paraId="1CF733D8" w14:textId="77777777" w:rsidR="003715A5" w:rsidRDefault="00000000">
      <w:pPr>
        <w:jc w:val="both"/>
      </w:pPr>
      <w:r>
        <w:rPr>
          <w:noProof/>
        </w:rPr>
        <w:lastRenderedPageBreak/>
        <w:drawing>
          <wp:inline distT="114300" distB="114300" distL="114300" distR="114300" wp14:anchorId="35141D91" wp14:editId="5FBF0B75">
            <wp:extent cx="4193985" cy="2529858"/>
            <wp:effectExtent l="0" t="0" r="0" b="0"/>
            <wp:docPr id="1572202362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3985" cy="25298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28CA18F" w14:textId="32703EB7" w:rsidR="003715A5" w:rsidRDefault="00745685">
      <w:pPr>
        <w:jc w:val="both"/>
        <w:rPr>
          <w:rFonts w:ascii="Times New Roman" w:eastAsia="Times New Roman" w:hAnsi="Times New Roman" w:cs="Times New Roman"/>
        </w:rPr>
      </w:pPr>
      <w:r w:rsidRPr="00745685">
        <w:rPr>
          <w:rFonts w:ascii="Times New Roman" w:eastAsia="Times New Roman" w:hAnsi="Times New Roman" w:cs="Times New Roman"/>
          <w:b/>
          <w:bCs/>
        </w:rPr>
        <w:t>Fig.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 </w:t>
      </w:r>
      <w:r w:rsidR="00000000">
        <w:rPr>
          <w:rFonts w:ascii="Times New Roman" w:eastAsia="Times New Roman" w:hAnsi="Times New Roman" w:cs="Times New Roman"/>
        </w:rPr>
        <w:t>Standard Curve for Epinephrine Estimation</w:t>
      </w:r>
    </w:p>
    <w:p w14:paraId="5CB9C23A" w14:textId="77777777" w:rsidR="00745685" w:rsidRDefault="00745685">
      <w:pPr>
        <w:jc w:val="both"/>
      </w:pPr>
    </w:p>
    <w:p w14:paraId="781EDEB6" w14:textId="77777777" w:rsidR="003715A5" w:rsidRDefault="00000000">
      <w:pPr>
        <w:jc w:val="both"/>
      </w:pPr>
      <w:r>
        <w:rPr>
          <w:noProof/>
        </w:rPr>
        <w:drawing>
          <wp:inline distT="114300" distB="114300" distL="114300" distR="114300" wp14:anchorId="3F2761CB" wp14:editId="64DF7DDD">
            <wp:extent cx="4243388" cy="2550113"/>
            <wp:effectExtent l="0" t="0" r="0" b="0"/>
            <wp:docPr id="157220235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43388" cy="25501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352DE4F" w14:textId="660C2672" w:rsidR="003715A5" w:rsidRDefault="00745685">
      <w:pPr>
        <w:jc w:val="both"/>
        <w:rPr>
          <w:rFonts w:ascii="Times New Roman" w:eastAsia="Times New Roman" w:hAnsi="Times New Roman" w:cs="Times New Roman"/>
        </w:rPr>
      </w:pPr>
      <w:r w:rsidRPr="00745685">
        <w:rPr>
          <w:rFonts w:ascii="Times New Roman" w:eastAsia="Times New Roman" w:hAnsi="Times New Roman" w:cs="Times New Roman"/>
          <w:b/>
          <w:bCs/>
        </w:rPr>
        <w:t>Fig.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 xml:space="preserve">7 </w:t>
      </w:r>
      <w:r w:rsidR="00000000">
        <w:rPr>
          <w:rFonts w:ascii="Times New Roman" w:eastAsia="Times New Roman" w:hAnsi="Times New Roman" w:cs="Times New Roman"/>
        </w:rPr>
        <w:t>Standard Curve for Serotonin Estimation</w:t>
      </w:r>
    </w:p>
    <w:p w14:paraId="2D274FA5" w14:textId="77777777" w:rsidR="003715A5" w:rsidRDefault="003715A5">
      <w:pPr>
        <w:jc w:val="both"/>
        <w:rPr>
          <w:rFonts w:ascii="Times New Roman" w:eastAsia="Times New Roman" w:hAnsi="Times New Roman" w:cs="Times New Roman"/>
        </w:rPr>
      </w:pPr>
    </w:p>
    <w:p w14:paraId="582749B4" w14:textId="77777777" w:rsidR="003715A5" w:rsidRDefault="00000000">
      <w:pPr>
        <w:jc w:val="both"/>
      </w:pPr>
      <w:r>
        <w:rPr>
          <w:noProof/>
        </w:rPr>
        <w:lastRenderedPageBreak/>
        <w:drawing>
          <wp:inline distT="114300" distB="114300" distL="114300" distR="114300" wp14:anchorId="6CEC6E4F" wp14:editId="4550C389">
            <wp:extent cx="4267200" cy="2573279"/>
            <wp:effectExtent l="0" t="0" r="0" b="0"/>
            <wp:docPr id="157220236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25732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435348" w14:textId="32330299" w:rsidR="003715A5" w:rsidRDefault="00745685">
      <w:pPr>
        <w:jc w:val="both"/>
      </w:pPr>
      <w:r w:rsidRPr="00745685">
        <w:rPr>
          <w:rFonts w:ascii="Times New Roman" w:eastAsia="Times New Roman" w:hAnsi="Times New Roman" w:cs="Times New Roman"/>
          <w:b/>
          <w:bCs/>
        </w:rPr>
        <w:t>Fig.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8</w:t>
      </w:r>
      <w:r>
        <w:rPr>
          <w:rFonts w:ascii="Times New Roman" w:eastAsia="Times New Roman" w:hAnsi="Times New Roman" w:cs="Times New Roman"/>
        </w:rPr>
        <w:t xml:space="preserve"> </w:t>
      </w:r>
      <w:r w:rsidR="00000000">
        <w:rPr>
          <w:rFonts w:ascii="Times New Roman" w:eastAsia="Times New Roman" w:hAnsi="Times New Roman" w:cs="Times New Roman"/>
        </w:rPr>
        <w:t xml:space="preserve">Standard Curve for </w:t>
      </w:r>
      <w:r>
        <w:rPr>
          <w:rFonts w:ascii="Times New Roman" w:eastAsia="Times New Roman" w:hAnsi="Times New Roman" w:cs="Times New Roman"/>
        </w:rPr>
        <w:t>inorganic phosphate (</w:t>
      </w:r>
      <w:proofErr w:type="spellStart"/>
      <w:r w:rsidR="00000000">
        <w:rPr>
          <w:rFonts w:ascii="Times New Roman" w:eastAsia="Times New Roman" w:hAnsi="Times New Roman" w:cs="Times New Roman"/>
        </w:rPr>
        <w:t>iP</w:t>
      </w:r>
      <w:proofErr w:type="spellEnd"/>
      <w:r>
        <w:rPr>
          <w:rFonts w:ascii="Times New Roman" w:eastAsia="Times New Roman" w:hAnsi="Times New Roman" w:cs="Times New Roman"/>
        </w:rPr>
        <w:t>)</w:t>
      </w:r>
      <w:r w:rsidR="00000000">
        <w:rPr>
          <w:rFonts w:ascii="Times New Roman" w:eastAsia="Times New Roman" w:hAnsi="Times New Roman" w:cs="Times New Roman"/>
        </w:rPr>
        <w:t xml:space="preserve"> estimation for ATPase activity</w:t>
      </w:r>
    </w:p>
    <w:p w14:paraId="0FDEE9A5" w14:textId="77777777" w:rsidR="003715A5" w:rsidRDefault="003715A5">
      <w:pPr>
        <w:jc w:val="center"/>
      </w:pPr>
    </w:p>
    <w:sectPr w:rsidR="003715A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0A6FCD6-75A9-43DD-9BAB-962F353C75C6}"/>
    <w:embedBold r:id="rId2" w:fontKey="{5A330F3C-ADB6-4C75-824A-DB2105B5160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8F933CB1-EEB5-403F-92D9-FBC5B21E8F7C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805A4A3D-E7B5-48EC-A97F-C9A772869A8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5A5"/>
    <w:rsid w:val="00341693"/>
    <w:rsid w:val="003715A5"/>
    <w:rsid w:val="0074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6D734"/>
  <w15:docId w15:val="{655FDD65-834F-4D24-BFB1-678B5BE75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IN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2035306E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sYnCjTJ+oLLYESIUu/5cOD/ERQ==">CgMxLjAaHwoBMBIaChgICVIUChJ0YWJsZS5mZnRlMGtsbmdtM244AHIhMVhOSnZCSWFITVk1dVpDeFZQVFBZTjFsWVBtdmxVT3lZ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Sanjivani Satpute</dc:creator>
  <cp:lastModifiedBy>Akshay Bagwe</cp:lastModifiedBy>
  <cp:revision>2</cp:revision>
  <dcterms:created xsi:type="dcterms:W3CDTF">2026-09-17T11:24:00Z</dcterms:created>
  <dcterms:modified xsi:type="dcterms:W3CDTF">2026-10-03T14:44:00Z</dcterms:modified>
</cp:coreProperties>
</file>