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0"/>
        <w:jc w:val="center"/>
      </w:pPr>
      <w:r>
        <w:rPr>
          <w:rFonts w:ascii="Calibri" w:cs="Calibri" w:eastAsia="Calibri" w:hAnsi="Calibri"/>
          <w:b/>
          <w:bCs/>
          <w:color w:val="1A5276"/>
          <w:sz w:val="28"/>
          <w:szCs w:val="28"/>
        </w:rPr>
        <w:t xml:space="preserve">SUPPLEMENTARY MATERIALS</w:t>
      </w:r>
    </w:p>
    <w:p>
      <w:pPr>
        <w:spacing w:after="80" w:before="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KEAP1 BTB Allosteric Virtual Screening — Ekmekci 2026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Contents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S1. Complete compound SMILES and metadata (n=61).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S2. Full docking results — all 61 compounds, both binding sites.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S3. ADMET profile — all 61 compounds.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S4. BTB interface residue mapping — KLHL11 3I3N to KEAP1 4CXI.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S5. AutoDock Vina configuration files.</w:t>
      </w:r>
    </w:p>
    <w:p>
      <w:pPr>
        <w:spacing w:after="160" w:before="0" w:line="380"/>
        <w:ind w:firstLine="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S6. Multi-target cross-project score matrix.</w:t>
      </w:r>
    </w:p>
    <w:p>
      <w:pPr>
        <w:spacing w:after="7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Supplementary Table S2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Table S2. </w:t>
      </w:r>
      <w:r>
        <w:rPr>
          <w:rFonts w:ascii="Calibri" w:cs="Calibri" w:eastAsia="Calibri" w:hAnsi="Calibri"/>
          <w:sz w:val="22"/>
          <w:szCs w:val="22"/>
        </w:rPr>
        <w:t xml:space="preserve">Complete docking results for all 61 compounds at BTB dimer interface and Cys151 counter-screen pocket. Score: AutoDock Vina best pose (kcal/mol). Delta: dimer minus Cys151 score (more negative = dimer preferred). Lipinski/PAINS status included.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500"/>
        <w:gridCol w:w="1300"/>
        <w:gridCol w:w="1200"/>
        <w:gridCol w:w="1100"/>
        <w:gridCol w:w="900"/>
        <w:gridCol w:w="900"/>
        <w:gridCol w:w="1060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Compound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BTB Dimer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Cys151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Delta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QED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Lip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PAINS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BTBn_Ind_001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BTB_indaz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0.575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BTBn_Ind_002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BTB_indaz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0.603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Sorafenib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0.461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BTBn_Bim_001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BTB_bim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-7.90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0.575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BTBn_Ur_002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BTB_urea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-7.90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-2.60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0.691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JKE-1674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cross_GPX4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-7.80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-2.60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0.888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ML334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ref_noncov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-6.10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0.453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BTBn_SA_002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BTB_sulfo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0.648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PipAryl_005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cross_SLC7A11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0.821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BTBn_Pip_005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BTB_pip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0.687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BTBn_Btz_001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BTB_btz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0.494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BTBn_Ur_005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BTB_urea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-2.30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0.662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BTBn_SA_004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BTB_sulfo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0.693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Nilotinib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0.389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BTBn_BiAr_001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BTB_biaryl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0.763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CPUY192018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ref_noncov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0.533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BTBn_SA_005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BTB_sulfo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0.648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BTBn_Pip_002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BTB_pip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BTBn_BiAr_003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BTB_biaryl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0.781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BTBn_BiAr_005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BTB_biaryl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0.744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PipAryl_004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cross_SLC7A11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0.915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BzThiaz_003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cross_SLC7A11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0.803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BTBn_SA_001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BTB_sulfo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0.651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KI696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ref_noncov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-4.80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BTBn_Btz_002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BTB_btz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0.538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Compound23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ref_noncov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0.621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Telmisartan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-5.80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0.382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BTBn_BiAr_002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BTB_biaryl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0.748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BTBn_Ur_001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BTB_urea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0.641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BTBn_Ur_003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BTB_urea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0.622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BTBn_BiAr_004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BTB_biaryl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0.754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BTBn_Pyr_001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BTB_pyraz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0.632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BTBn_SA_003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BTB_sulfo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Imatinib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0.389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Celecoxib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-6.90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0.621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BTBn_Pyr_002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BTB_pyraz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-6.80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0.618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BTBn_Tri_001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BTB_triaz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-6.80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-0.80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0.572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BTBn_Ur_004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BTB_thio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-5.10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0.601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Bardoxolone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0.461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Olmesartan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-5.30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CoQ_Mimic_002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cross_FSP1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-5.40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-1.30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0.899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BTBn_Pip_001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BTB_pip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0.654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BTBn_Bim_002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BTB_bim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-5.40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0.572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FAIL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BTBn_Btz_003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BTB_btz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-0.80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0.498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BzExt_2_4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cross_SLC7A11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0.791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-5.20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Frag_006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-6.20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0.771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BTBn_Pip_003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BTB_pip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0.723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Valsartan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-1.60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0.412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Frag_007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-1.10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0.764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Frag_009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0.798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Frag_001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-5.90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-1.30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0.778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Tertbutyrol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ref_noncov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-5.80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Frag_003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-5.80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-4.40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-1.40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0.741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Frag_010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-5.70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-1.20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0.762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Frag_005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-4.80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-0.80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0.712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Frag_002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-0.90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0.751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Losartan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-0.50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0.521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BTBn_Pip_004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BTB_pip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-4.40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-1.60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0.632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Frag_008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fragment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-4.90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-3.90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-1.00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0.724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Sulforaphane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FDA_repo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-3.40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-2.60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-0.80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0.621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PASS</w:t>
            </w:r>
          </w:p>
        </w:tc>
        <w:tc>
          <w:tcPr>
            <w:tcW w:type="dxa" w:w="1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Clean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Supplementary Table S4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Table S4. </w:t>
      </w:r>
      <w:r>
        <w:rPr>
          <w:rFonts w:ascii="Calibri" w:cs="Calibri" w:eastAsia="Calibri" w:hAnsi="Calibri"/>
          <w:sz w:val="22"/>
          <w:szCs w:val="22"/>
        </w:rPr>
        <w:t xml:space="preserve">BTB homodimerisation interface residue mapping from KLHL11 (PDB 3I3N) to KEAP1 (PDB 4CXI). Offset = +48 (KEAP1 BTB: 49-179; KLHL11 BTB: 1-130). C-alpha distance: inter-chain distance in KLHL11 3I3N homodimer.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400"/>
        <w:gridCol w:w="1800"/>
        <w:gridCol w:w="2560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KLHL11 residue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KEAP1 equivalent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Ca-Ca dist (A)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Structural region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 in BTB interface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CYS77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ILE125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Helix-loop junction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 core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SER78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GLU126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6.9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Helix-loop junction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Polar contact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LEU80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ILE128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7.2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Loop region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SER81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HIS129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5.8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Loop region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H-bond donor/acceptor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ARG83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LYS131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6.4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Loop region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Electrostatic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GLN84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VAL132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7.5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Loop region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GLN87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ARG135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Alpha-helix 3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Electrostatic/H-bond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LEU92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ALA140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7.1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Alpha-helix 3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PHE93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TYR141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6.3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Alpha-helix 3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Aromatic stacking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CYS94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THR142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7.4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Alpha-helix 3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Polar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HIS111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ALA159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6.9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ARG112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VAL160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7.2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SER113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MET161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5.9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VAL114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TYR162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6.7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Aromatic stacking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ALA117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ASP165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Electrostatic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ALA118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SER166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6.8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helix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Polar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LEU126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PHE174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7.1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C-terminal end</w:t>
            </w:r>
          </w:p>
        </w:tc>
        <w:tc>
          <w:tcPr>
            <w:tcW w:type="dxa" w:w="2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Hydrophobic/aromatic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Supplementary Table S6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Table S6. </w:t>
      </w:r>
      <w:r>
        <w:rPr>
          <w:rFonts w:ascii="Calibri" w:cs="Calibri" w:eastAsia="Calibri" w:hAnsi="Calibri"/>
          <w:sz w:val="22"/>
          <w:szCs w:val="22"/>
        </w:rPr>
        <w:t xml:space="preserve">Multi-target cross-project docking score matrix for cross-project candidates. GPX4: PDB 7KTC; SLC7A11: PDB 7P9U; FSP1 main: AlphaFold v6 AF-Q9BRQ8-F1 CoQ10 site; FSP1 allo: NAD+ allosteric site; KEAP1 BTB: 4CXI dimer interface. Dash: not screened in that campaign.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000"/>
        <w:gridCol w:w="1100"/>
        <w:gridCol w:w="1200"/>
        <w:gridCol w:w="1200"/>
        <w:gridCol w:w="1200"/>
        <w:gridCol w:w="900"/>
        <w:gridCol w:w="2160"/>
      </w:tblGrid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Compound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GPX4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SLC7A11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FSP1 main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FSP1 allo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KEAP1 BTB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QED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A5276" w:val="clear"/>
            <w:tcMar>
              <w:top w:type="dxa" w:w="75"/>
              <w:left w:type="dxa" w:w="100"/>
              <w:bottom w:type="dxa" w:w="75"/>
              <w:right w:type="dxa" w:w="100"/>
            </w:tcMar>
          </w:tcPr>
          <w:p>
            <w:pPr>
              <w:spacing w:after="30" w:before="3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Targets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JKE-1674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-8.83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-8.30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-9.10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-7.80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0.888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 (GPX4+FSP1x2+BTB)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PipAryl_005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-8.47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-9.10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-9.60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0.821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 (SLC7A11+FSP1x2+BTB)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PipAryl_004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-7.62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-7.30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0.915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 (SLC7A11+BTB)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BzThiaz_003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-8.01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-7.30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0.803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 (SLC7A11+BTB)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CoQ_Mimic_002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-7.50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-8.60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-6.70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0.899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5FB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 (FSP1x2+BTB weak)</w:t>
            </w:r>
          </w:p>
        </w:tc>
      </w:tr>
      <w:t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ClAcNH_001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-8.10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-6.00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-6.50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—</w:t>
            </w:r>
          </w:p>
        </w:tc>
        <w:tc>
          <w:tcPr>
            <w:tcW w:type="dxa" w:w="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0.824</w:t>
            </w:r>
          </w:p>
        </w:tc>
        <w:tc>
          <w:tcPr>
            <w:tcW w:type="dxa" w:w="2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5"/>
              <w:left w:type="dxa" w:w="100"/>
              <w:bottom w:type="dxa" w:w="65"/>
              <w:right w:type="dxa" w:w="100"/>
            </w:tcMar>
          </w:tcPr>
          <w:p>
            <w:pPr>
              <w:spacing w:after="22" w:before="22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 (GPX4+FSP1 weak)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br w:type="page"/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Supplementary Methods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i/>
          <w:iCs/>
          <w:color w:val="2471A3"/>
          <w:sz w:val="22"/>
          <w:szCs w:val="22"/>
        </w:rPr>
        <w:t xml:space="preserve">Vina Configuration — BTB Dimer Interface</w:t>
      </w:r>
    </w:p>
    <w:p>
      <w:pPr>
        <w:spacing w:after="180" w:before="80"/>
      </w:pPr>
      <w:r>
        <w:rPr>
          <w:rFonts w:ascii="Courier New" w:cs="Courier New" w:eastAsia="Courier New" w:hAnsi="Courier New"/>
          <w:color w:val="333333"/>
          <w:sz w:val="19"/>
          <w:szCs w:val="19"/>
        </w:rPr>
        <w:t xml:space="preserve">receptor = KEAP1_BTB_4CXI.pdbqt
center_x = 6.30
center_y = -6.20
center_z = -9.96
size_x = 28
size_y = 28
size_z = 28
exhaustiveness = 16
num_modes = 9
energy_range = 4</w:t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i/>
          <w:iCs/>
          <w:color w:val="2471A3"/>
          <w:sz w:val="22"/>
          <w:szCs w:val="22"/>
        </w:rPr>
        <w:t xml:space="preserve">Vina Configuration — Cys151 Counter-screen</w:t>
      </w:r>
    </w:p>
    <w:p>
      <w:pPr>
        <w:spacing w:after="180" w:before="80"/>
      </w:pPr>
      <w:r>
        <w:rPr>
          <w:rFonts w:ascii="Courier New" w:cs="Courier New" w:eastAsia="Courier New" w:hAnsi="Courier New"/>
          <w:color w:val="333333"/>
          <w:sz w:val="19"/>
          <w:szCs w:val="19"/>
        </w:rPr>
        <w:t xml:space="preserve">receptor = KEAP1_BTB_4CXI.pdbqt
center_x = 0.61
center_y = 5.24
center_z = -8.22
size_x = 24
size_y = 24
size_z = 24
exhaustiveness = 12
num_modes = 9
energy_range = 4</w:t>
      </w:r>
    </w:p>
    <w:p>
      <w:pPr>
        <w:pBdr>
          <w:bottom w:val="single" w:color="1A5276" w:sz="5" w:space="2"/>
        </w:pBdr>
        <w:spacing w:after="120" w:before="280"/>
      </w:pPr>
      <w:r>
        <w:rPr>
          <w:rFonts w:ascii="Calibri" w:cs="Calibri" w:eastAsia="Calibri" w:hAnsi="Calibri"/>
          <w:b/>
          <w:bCs/>
          <w:color w:val="1A5276"/>
          <w:sz w:val="24"/>
          <w:szCs w:val="24"/>
        </w:rPr>
        <w:t xml:space="preserve">Supplementary References</w:t>
      </w:r>
    </w:p>
    <w:p>
      <w:pPr>
        <w:spacing w:after="7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5" w:before="40"/>
        <w:ind w:left="440" w:hanging="440"/>
      </w:pPr>
      <w:r>
        <w:rPr>
          <w:rFonts w:ascii="Calibri" w:cs="Calibri" w:eastAsia="Calibri" w:hAnsi="Calibri"/>
          <w:sz w:val="20"/>
          <w:szCs w:val="20"/>
        </w:rPr>
        <w:t xml:space="preserve">1.	Lo SC, Li X, Henzl MT, et al. Structure of the Keap1:Nrf2 interface provides mechanistic insight into Nrf2 signaling. EMBO J. 2006;25(15):3605-3617.</w:t>
      </w:r>
    </w:p>
    <w:p>
      <w:pPr>
        <w:spacing w:after="65" w:before="40"/>
        <w:ind w:left="440" w:hanging="440"/>
      </w:pPr>
      <w:r>
        <w:rPr>
          <w:rFonts w:ascii="Calibri" w:cs="Calibri" w:eastAsia="Calibri" w:hAnsi="Calibri"/>
          <w:sz w:val="20"/>
          <w:szCs w:val="20"/>
        </w:rPr>
        <w:t xml:space="preserve">2.	Stogios PJ, Downs GS, Jauhal JJ, et al. Sequence and structural analysis of BTB domain proteins. Genome Biol. 2005;6(10):R82.</w:t>
      </w:r>
    </w:p>
    <w:p>
      <w:pPr>
        <w:spacing w:after="65" w:before="40"/>
        <w:ind w:left="440" w:hanging="440"/>
      </w:pPr>
      <w:r>
        <w:rPr>
          <w:rFonts w:ascii="Calibri" w:cs="Calibri" w:eastAsia="Calibri" w:hAnsi="Calibri"/>
          <w:sz w:val="20"/>
          <w:szCs w:val="20"/>
        </w:rPr>
        <w:t xml:space="preserve">3.	Baell JB, Holloway GA. New substructure filters for removal of pan assay interference compounds (PAINS). J Med Chem. 2010;53(7):2719-2740.</w:t>
      </w:r>
    </w:p>
    <w:p>
      <w:pPr>
        <w:spacing w:after="65" w:before="40"/>
        <w:ind w:left="440" w:hanging="440"/>
      </w:pPr>
      <w:r>
        <w:rPr>
          <w:rFonts w:ascii="Calibri" w:cs="Calibri" w:eastAsia="Calibri" w:hAnsi="Calibri"/>
          <w:sz w:val="20"/>
          <w:szCs w:val="20"/>
        </w:rPr>
        <w:t xml:space="preserve">4.	Eberhardt J, Santos-Martins D, Tillack AF, Forli S. AutoDock Vina 1.2.0. J Chem Inf Model. 2021;61(8):3891-3898.</w:t>
      </w:r>
    </w:p>
    <w:p>
      <w:pPr>
        <w:spacing w:after="65" w:before="40"/>
        <w:ind w:left="440" w:hanging="440"/>
      </w:pPr>
      <w:r>
        <w:rPr>
          <w:rFonts w:ascii="Calibri" w:cs="Calibri" w:eastAsia="Calibri" w:hAnsi="Calibri"/>
          <w:sz w:val="20"/>
          <w:szCs w:val="20"/>
        </w:rPr>
        <w:t xml:space="preserve">5.	Bickerton GR, Paolini GV, Besnard J, et al. Quantifying the chemical beauty of drugs. Nat Chem. 2012;4(2):90-98.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2026-04-15T18:57:05.008Z</dcterms:created>
  <dcterms:modified xsi:type="dcterms:W3CDTF">2026-04-15T18:57:05.008Z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