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3C143" w14:textId="77777777" w:rsidR="006A4136" w:rsidRDefault="006A4136" w:rsidP="006A4136">
      <w:pPr>
        <w:rPr>
          <w:rFonts w:asciiTheme="majorBidi" w:hAnsiTheme="majorBidi" w:cstheme="majorBidi"/>
          <w:b/>
          <w:bCs/>
          <w:sz w:val="28"/>
          <w:szCs w:val="28"/>
        </w:rPr>
      </w:pPr>
      <w:r w:rsidRPr="00FE1FCD">
        <w:rPr>
          <w:rFonts w:asciiTheme="majorBidi" w:hAnsiTheme="majorBidi" w:cstheme="majorBidi"/>
          <w:b/>
          <w:bCs/>
          <w:sz w:val="28"/>
          <w:szCs w:val="28"/>
        </w:rPr>
        <w:t xml:space="preserve">Supplementary </w:t>
      </w:r>
    </w:p>
    <w:p w14:paraId="436A0D05" w14:textId="77777777" w:rsidR="006A4136" w:rsidRDefault="006A4136" w:rsidP="006A4136">
      <w:pPr>
        <w:rPr>
          <w:rFonts w:asciiTheme="majorBidi" w:hAnsiTheme="majorBidi" w:cstheme="majorBidi"/>
          <w:b/>
          <w:bCs/>
          <w:sz w:val="28"/>
          <w:szCs w:val="28"/>
        </w:rPr>
      </w:pPr>
    </w:p>
    <w:p w14:paraId="56823EF3" w14:textId="77777777" w:rsidR="006A4136" w:rsidRPr="00FE1FCD" w:rsidRDefault="006A4136" w:rsidP="006A4136">
      <w:pPr>
        <w:rPr>
          <w:rFonts w:asciiTheme="majorBidi" w:hAnsiTheme="majorBidi" w:cstheme="majorBidi"/>
          <w:b/>
          <w:bCs/>
        </w:rPr>
      </w:pPr>
      <w:r w:rsidRPr="003F2E53">
        <w:rPr>
          <w:rFonts w:asciiTheme="majorBidi" w:hAnsiTheme="majorBidi" w:cstheme="majorBidi"/>
          <w:b/>
          <w:bCs/>
        </w:rPr>
        <w:t>Supplementary Fig. S1. Decision curve analysis of 5- and 10-year all-cause mortality prediction in TwinGene and UK</w:t>
      </w:r>
      <w:r>
        <w:rPr>
          <w:rFonts w:asciiTheme="majorBidi" w:hAnsiTheme="majorBidi" w:cstheme="majorBidi"/>
          <w:b/>
          <w:bCs/>
        </w:rPr>
        <w:t xml:space="preserve"> Biobank</w:t>
      </w:r>
      <w:r w:rsidRPr="00FE1FCD">
        <w:rPr>
          <w:rFonts w:asciiTheme="majorBidi" w:hAnsiTheme="majorBidi" w:cstheme="majorBidi"/>
          <w:b/>
          <w:bCs/>
        </w:rPr>
        <w:t>.</w:t>
      </w:r>
    </w:p>
    <w:p w14:paraId="5DB5CAB7" w14:textId="77777777" w:rsidR="006A4136" w:rsidRDefault="006A4136" w:rsidP="006A4136">
      <w:pPr>
        <w:rPr>
          <w:rFonts w:asciiTheme="majorBidi" w:hAnsiTheme="majorBidi" w:cstheme="majorBidi"/>
          <w:b/>
          <w:bCs/>
          <w:sz w:val="28"/>
          <w:szCs w:val="28"/>
        </w:rPr>
      </w:pPr>
    </w:p>
    <w:p w14:paraId="222EB18A" w14:textId="77777777" w:rsidR="006A4136" w:rsidRDefault="006A4136" w:rsidP="006A4136">
      <w:pPr>
        <w:spacing w:line="276" w:lineRule="auto"/>
        <w:rPr>
          <w:rFonts w:asciiTheme="majorBidi" w:hAnsiTheme="majorBidi" w:cstheme="majorBidi"/>
        </w:rPr>
      </w:pPr>
      <w:r w:rsidRPr="006E44A1">
        <w:rPr>
          <w:rFonts w:asciiTheme="majorBidi" w:hAnsiTheme="majorBidi" w:cstheme="majorBidi"/>
        </w:rPr>
        <w:t>Decision curves compare the net benefit of the conventional and biological aging-enhanced prediction models for (A) 5-year mortality in TwinGene, (B) 10-year mortality in TwinGene, (C) 5-year mortality in UK</w:t>
      </w:r>
      <w:r>
        <w:rPr>
          <w:rFonts w:asciiTheme="majorBidi" w:hAnsiTheme="majorBidi" w:cstheme="majorBidi"/>
        </w:rPr>
        <w:t xml:space="preserve"> </w:t>
      </w:r>
      <w:r w:rsidRPr="006E44A1">
        <w:rPr>
          <w:rFonts w:asciiTheme="majorBidi" w:hAnsiTheme="majorBidi" w:cstheme="majorBidi"/>
        </w:rPr>
        <w:t>B</w:t>
      </w:r>
      <w:r>
        <w:rPr>
          <w:rFonts w:asciiTheme="majorBidi" w:hAnsiTheme="majorBidi" w:cstheme="majorBidi"/>
        </w:rPr>
        <w:t>iobank</w:t>
      </w:r>
      <w:r w:rsidRPr="006E44A1">
        <w:rPr>
          <w:rFonts w:asciiTheme="majorBidi" w:hAnsiTheme="majorBidi" w:cstheme="majorBidi"/>
        </w:rPr>
        <w:t>, and (D) 10-year mortality in UK</w:t>
      </w:r>
      <w:r>
        <w:rPr>
          <w:rFonts w:asciiTheme="majorBidi" w:hAnsiTheme="majorBidi" w:cstheme="majorBidi"/>
        </w:rPr>
        <w:t xml:space="preserve"> </w:t>
      </w:r>
      <w:r w:rsidRPr="006E44A1">
        <w:rPr>
          <w:rFonts w:asciiTheme="majorBidi" w:hAnsiTheme="majorBidi" w:cstheme="majorBidi"/>
        </w:rPr>
        <w:t>B</w:t>
      </w:r>
      <w:r>
        <w:rPr>
          <w:rFonts w:asciiTheme="majorBidi" w:hAnsiTheme="majorBidi" w:cstheme="majorBidi"/>
        </w:rPr>
        <w:t>iobank</w:t>
      </w:r>
      <w:r w:rsidRPr="006E44A1">
        <w:rPr>
          <w:rFonts w:asciiTheme="majorBidi" w:hAnsiTheme="majorBidi" w:cstheme="majorBidi"/>
        </w:rPr>
        <w:t xml:space="preserve">. </w:t>
      </w:r>
      <w:r w:rsidRPr="009C43B2">
        <w:rPr>
          <w:rFonts w:asciiTheme="majorBidi" w:hAnsiTheme="majorBidi" w:cstheme="majorBidi"/>
        </w:rPr>
        <w:t>The decision-curve inputs were the 10-fold out-of-fold absolute risks of death at the corresponding 5- or 10-year prediction horizon. The conventional model included chronological age, sex, BMI, smoking, and education; the biological aging-enhanced model additionally included PhenoAge residual, frailty index, and telomere length. Censoring before the evaluation horizon was accounted for using Kaplan–Meier survival estimates within the time-to-event decision-curve analysis. No smoothing was applied; lines connect the estimated net benefits across the prespecified threshold-probability grid. The biological aging-enhanced and conventional models are shown as distinct solid lines, the treat-all strategy as a dashed line, and the treat-none strategy as a dotted line. Because no specific clinical action threshold was prespecified, the decision-curve analysis was considered exploratory and does not establish clinical utility</w:t>
      </w:r>
      <w:r>
        <w:rPr>
          <w:rFonts w:asciiTheme="majorBidi" w:hAnsiTheme="majorBidi" w:cstheme="majorBidi"/>
        </w:rPr>
        <w:t xml:space="preserve">. </w:t>
      </w:r>
    </w:p>
    <w:p w14:paraId="745DB38D" w14:textId="77777777" w:rsidR="006A4136" w:rsidRPr="00FE1FCD" w:rsidRDefault="006A4136" w:rsidP="006A4136">
      <w:pPr>
        <w:rPr>
          <w:rFonts w:asciiTheme="majorBidi" w:hAnsiTheme="majorBidi" w:cstheme="majorBidi"/>
          <w:b/>
          <w:bCs/>
          <w:sz w:val="28"/>
          <w:szCs w:val="28"/>
        </w:rPr>
      </w:pPr>
    </w:p>
    <w:p w14:paraId="49BE1FCF" w14:textId="77777777" w:rsidR="006A4136" w:rsidRPr="00FE1FCD" w:rsidRDefault="006A4136" w:rsidP="006A4136">
      <w:pPr>
        <w:rPr>
          <w:rFonts w:asciiTheme="majorBidi" w:hAnsiTheme="majorBidi" w:cstheme="majorBidi"/>
          <w:b/>
          <w:bCs/>
        </w:rPr>
      </w:pPr>
      <w:r w:rsidRPr="00FE1FCD">
        <w:rPr>
          <w:rFonts w:asciiTheme="majorBidi" w:hAnsiTheme="majorBidi" w:cstheme="majorBidi"/>
          <w:b/>
          <w:bCs/>
        </w:rPr>
        <w:t>Supplementary Fig. S</w:t>
      </w:r>
      <w:r>
        <w:rPr>
          <w:rFonts w:asciiTheme="majorBidi" w:hAnsiTheme="majorBidi" w:cstheme="majorBidi"/>
          <w:b/>
          <w:bCs/>
        </w:rPr>
        <w:t>2</w:t>
      </w:r>
      <w:r w:rsidRPr="00FE1FCD">
        <w:rPr>
          <w:rFonts w:asciiTheme="majorBidi" w:hAnsiTheme="majorBidi" w:cstheme="majorBidi"/>
          <w:b/>
          <w:bCs/>
        </w:rPr>
        <w:t>. Subgroup-specific mortality associations for interactions surviving FDR correction.</w:t>
      </w:r>
    </w:p>
    <w:p w14:paraId="1DD71E25" w14:textId="77777777" w:rsidR="006A4136" w:rsidRPr="00FE1FCD" w:rsidRDefault="006A4136" w:rsidP="006A4136">
      <w:pPr>
        <w:rPr>
          <w:rFonts w:asciiTheme="majorBidi" w:hAnsiTheme="majorBidi" w:cstheme="majorBidi"/>
        </w:rPr>
      </w:pPr>
    </w:p>
    <w:p w14:paraId="60AC3207" w14:textId="77777777" w:rsidR="006A4136" w:rsidRPr="00FE1FCD" w:rsidRDefault="006A4136" w:rsidP="006A4136">
      <w:pPr>
        <w:spacing w:line="276" w:lineRule="auto"/>
        <w:rPr>
          <w:rFonts w:asciiTheme="majorBidi" w:hAnsiTheme="majorBidi" w:cstheme="majorBidi"/>
        </w:rPr>
      </w:pPr>
      <w:r w:rsidRPr="00FE1FCD">
        <w:rPr>
          <w:rFonts w:asciiTheme="majorBidi" w:hAnsiTheme="majorBidi" w:cstheme="majorBidi"/>
        </w:rPr>
        <w:t xml:space="preserve">Hazard ratios and 95% confidence intervals are shown for biological aging–modifier interactions that remained significant after Benjamini–Hochberg false-discovery-rate correction. Twenty interaction tests were evaluated within each cohort, comprising five biological aging measures and four potential modifiers: sex, BMI, smoking, and education. For categorical modifiers, HRs represent the association per 1-SD higher biological aging measure within each subgroup; for BMI, estimates are presented at the cohort-specific mean and at ±1 SD. TwinGene estimates use pair-clustered robust variance estimation. </w:t>
      </w:r>
    </w:p>
    <w:p w14:paraId="49082669" w14:textId="77777777" w:rsidR="006A4136" w:rsidRPr="00FE1FCD" w:rsidRDefault="006A4136" w:rsidP="006A4136">
      <w:pPr>
        <w:rPr>
          <w:rFonts w:asciiTheme="majorBidi" w:hAnsiTheme="majorBidi" w:cstheme="majorBidi"/>
        </w:rPr>
      </w:pPr>
    </w:p>
    <w:p w14:paraId="58B66B40" w14:textId="77777777" w:rsidR="006A4136" w:rsidRPr="00304AA7" w:rsidRDefault="006A4136" w:rsidP="006A4136">
      <w:pPr>
        <w:rPr>
          <w:rFonts w:asciiTheme="majorBidi" w:hAnsiTheme="majorBidi" w:cstheme="majorBidi"/>
          <w:b/>
          <w:bCs/>
        </w:rPr>
      </w:pPr>
      <w:r w:rsidRPr="00D740B8">
        <w:rPr>
          <w:rFonts w:asciiTheme="majorBidi" w:hAnsiTheme="majorBidi" w:cstheme="majorBidi"/>
          <w:b/>
          <w:bCs/>
        </w:rPr>
        <w:t>Supplementary Fig. S3. Distributions of clinical biomarkers used to derive biological aging measures in TwinGene and UK Biobank.</w:t>
      </w:r>
    </w:p>
    <w:p w14:paraId="693D5FAC" w14:textId="77777777" w:rsidR="006A4136" w:rsidRPr="00FE1FCD" w:rsidRDefault="006A4136" w:rsidP="006A4136">
      <w:pPr>
        <w:rPr>
          <w:rFonts w:asciiTheme="majorBidi" w:hAnsiTheme="majorBidi" w:cstheme="majorBidi"/>
        </w:rPr>
      </w:pPr>
    </w:p>
    <w:p w14:paraId="728C3920" w14:textId="77777777" w:rsidR="006A4136" w:rsidRDefault="006A4136" w:rsidP="006A4136">
      <w:pPr>
        <w:spacing w:line="276" w:lineRule="auto"/>
        <w:rPr>
          <w:rFonts w:asciiTheme="majorBidi" w:hAnsiTheme="majorBidi" w:cstheme="majorBidi"/>
        </w:rPr>
      </w:pPr>
      <w:r w:rsidRPr="00FE1FCD">
        <w:rPr>
          <w:rFonts w:asciiTheme="majorBidi" w:hAnsiTheme="majorBidi" w:cstheme="majorBidi"/>
        </w:rPr>
        <w:t xml:space="preserve">Kernel density distributions are shown for the clinical biomarkers contributing to the cohort-specific biological aging implementations in (A) TwinGene and (B) </w:t>
      </w:r>
      <w:r>
        <w:rPr>
          <w:rFonts w:asciiTheme="majorBidi" w:hAnsiTheme="majorBidi" w:cstheme="majorBidi"/>
        </w:rPr>
        <w:t>UKB</w:t>
      </w:r>
      <w:r w:rsidRPr="00FE1FCD">
        <w:rPr>
          <w:rFonts w:asciiTheme="majorBidi" w:hAnsiTheme="majorBidi" w:cstheme="majorBidi"/>
        </w:rPr>
        <w:t>. TwinGene included eight clinical biomarkers, whereas the UKB implementation included 18 biomarkers. Distributions are restricted to participants in the final analytic samples (TwinGene, n=</w:t>
      </w:r>
      <w:r>
        <w:rPr>
          <w:rFonts w:asciiTheme="majorBidi" w:hAnsiTheme="majorBidi" w:cstheme="majorBidi"/>
        </w:rPr>
        <w:t xml:space="preserve"> </w:t>
      </w:r>
      <w:r w:rsidRPr="00FE1FCD">
        <w:rPr>
          <w:rFonts w:asciiTheme="majorBidi" w:hAnsiTheme="majorBidi" w:cstheme="majorBidi"/>
        </w:rPr>
        <w:t>9,617; UKB, n=</w:t>
      </w:r>
      <w:r>
        <w:rPr>
          <w:rFonts w:asciiTheme="majorBidi" w:hAnsiTheme="majorBidi" w:cstheme="majorBidi"/>
        </w:rPr>
        <w:t xml:space="preserve"> 314</w:t>
      </w:r>
      <w:r w:rsidRPr="0017133D">
        <w:rPr>
          <w:rFonts w:asciiTheme="majorBidi" w:hAnsiTheme="majorBidi" w:cstheme="majorBidi"/>
        </w:rPr>
        <w:t>,</w:t>
      </w:r>
      <w:r>
        <w:rPr>
          <w:rFonts w:asciiTheme="majorBidi" w:hAnsiTheme="majorBidi" w:cstheme="majorBidi"/>
        </w:rPr>
        <w:t>0</w:t>
      </w:r>
      <w:r w:rsidRPr="0017133D">
        <w:rPr>
          <w:rFonts w:asciiTheme="majorBidi" w:hAnsiTheme="majorBidi" w:cstheme="majorBidi"/>
        </w:rPr>
        <w:t>6</w:t>
      </w:r>
      <w:r>
        <w:rPr>
          <w:rFonts w:asciiTheme="majorBidi" w:hAnsiTheme="majorBidi" w:cstheme="majorBidi"/>
        </w:rPr>
        <w:t>4</w:t>
      </w:r>
      <w:r w:rsidRPr="00FE1FCD">
        <w:rPr>
          <w:rFonts w:asciiTheme="majorBidi" w:hAnsiTheme="majorBidi" w:cstheme="majorBidi"/>
        </w:rPr>
        <w:t>). TwinGene biomarkers stored on the log scale for biological-age calculation were back-transformed for display on clinically interpretable scales. Density curves are displayed over the 0.5</w:t>
      </w:r>
      <w:r w:rsidRPr="00112367">
        <w:rPr>
          <w:rFonts w:asciiTheme="majorBidi" w:hAnsiTheme="majorBidi" w:cstheme="majorBidi"/>
          <w:vertAlign w:val="superscript"/>
        </w:rPr>
        <w:t>th</w:t>
      </w:r>
      <w:r w:rsidRPr="00FE1FCD">
        <w:rPr>
          <w:rFonts w:asciiTheme="majorBidi" w:hAnsiTheme="majorBidi" w:cstheme="majorBidi"/>
        </w:rPr>
        <w:t>–99.5</w:t>
      </w:r>
      <w:r w:rsidRPr="00112367">
        <w:rPr>
          <w:rFonts w:asciiTheme="majorBidi" w:hAnsiTheme="majorBidi" w:cstheme="majorBidi"/>
          <w:vertAlign w:val="superscript"/>
        </w:rPr>
        <w:t>th</w:t>
      </w:r>
      <w:r w:rsidRPr="00FE1FCD">
        <w:rPr>
          <w:rFonts w:asciiTheme="majorBidi" w:hAnsiTheme="majorBidi" w:cstheme="majorBidi"/>
        </w:rPr>
        <w:t xml:space="preserve"> percentile range for visualization, without altering the data used in the analyses. Axes are allowed to vary across biomarkers; the figure therefore describes within-cohort distributions rather than direct numerical comparability between cohorts.</w:t>
      </w:r>
      <w:r>
        <w:rPr>
          <w:rFonts w:asciiTheme="majorBidi" w:hAnsiTheme="majorBidi" w:cstheme="majorBidi"/>
        </w:rPr>
        <w:t xml:space="preserve"> </w:t>
      </w:r>
    </w:p>
    <w:p w14:paraId="08787332" w14:textId="77777777" w:rsidR="006A4136" w:rsidRDefault="006A4136" w:rsidP="006A4136">
      <w:pPr>
        <w:spacing w:line="276" w:lineRule="auto"/>
        <w:rPr>
          <w:rFonts w:asciiTheme="majorBidi" w:hAnsiTheme="majorBidi" w:cstheme="majorBidi"/>
        </w:rPr>
      </w:pPr>
    </w:p>
    <w:p w14:paraId="0FE7EE4E" w14:textId="77777777" w:rsidR="006A4136" w:rsidRDefault="006A4136" w:rsidP="006A4136">
      <w:pPr>
        <w:spacing w:line="276" w:lineRule="auto"/>
        <w:rPr>
          <w:rFonts w:asciiTheme="majorBidi" w:hAnsiTheme="majorBidi" w:cstheme="majorBidi"/>
          <w:b/>
          <w:bCs/>
        </w:rPr>
      </w:pPr>
      <w:r w:rsidRPr="00393232">
        <w:rPr>
          <w:rFonts w:asciiTheme="majorBidi" w:hAnsiTheme="majorBidi" w:cstheme="majorBidi"/>
        </w:rPr>
        <w:lastRenderedPageBreak/>
        <w:t>S</w:t>
      </w:r>
      <w:r w:rsidRPr="003044C7">
        <w:rPr>
          <w:rFonts w:asciiTheme="majorBidi" w:hAnsiTheme="majorBidi" w:cstheme="majorBidi"/>
          <w:b/>
          <w:bCs/>
        </w:rPr>
        <w:t>upplementary Table S1</w:t>
      </w:r>
      <w:r>
        <w:rPr>
          <w:rFonts w:asciiTheme="majorBidi" w:hAnsiTheme="majorBidi" w:cstheme="majorBidi"/>
          <w:b/>
          <w:bCs/>
        </w:rPr>
        <w:t xml:space="preserve">. </w:t>
      </w:r>
      <w:r w:rsidRPr="00C80F5C">
        <w:rPr>
          <w:rFonts w:asciiTheme="majorBidi" w:hAnsiTheme="majorBidi" w:cstheme="majorBidi"/>
          <w:b/>
          <w:bCs/>
        </w:rPr>
        <w:t>Incremental changes in cross-validated survival prediction performance with uncertainty</w:t>
      </w:r>
      <w:r>
        <w:rPr>
          <w:rFonts w:asciiTheme="majorBidi" w:hAnsiTheme="majorBidi" w:cstheme="majorBidi"/>
          <w:b/>
          <w:bCs/>
        </w:rPr>
        <w:t>.</w:t>
      </w:r>
    </w:p>
    <w:p w14:paraId="4FADCF19" w14:textId="77777777" w:rsidR="006A4136" w:rsidRDefault="006A4136" w:rsidP="006A4136">
      <w:pPr>
        <w:spacing w:line="276" w:lineRule="auto"/>
        <w:rPr>
          <w:rFonts w:asciiTheme="majorBidi" w:hAnsiTheme="majorBidi" w:cstheme="majorBidi"/>
          <w:b/>
          <w:bCs/>
        </w:rPr>
      </w:pPr>
    </w:p>
    <w:p w14:paraId="59EEC4BA" w14:textId="77777777" w:rsidR="006A4136" w:rsidRPr="00857B06" w:rsidRDefault="006A4136" w:rsidP="006A4136">
      <w:pPr>
        <w:spacing w:line="276" w:lineRule="auto"/>
        <w:rPr>
          <w:rFonts w:asciiTheme="majorBidi" w:hAnsiTheme="majorBidi" w:cstheme="majorBidi"/>
        </w:rPr>
      </w:pPr>
      <w:r w:rsidRPr="00857B06">
        <w:rPr>
          <w:rFonts w:asciiTheme="majorBidi" w:hAnsiTheme="majorBidi" w:cstheme="majorBidi"/>
        </w:rPr>
        <w:t xml:space="preserve">Differences compare the biological aging-enhanced model with the conventional model and were calculated from the final 10-fold out-of-fold predictions. The conventional model included chronological age, sex, BMI, smoking, and education; the biological aging-enhanced model additionally included PhenoAge residual, frailty index, and telomere length. Positive differences in </w:t>
      </w:r>
      <w:r w:rsidRPr="005454EF">
        <w:rPr>
          <w:rFonts w:asciiTheme="majorBidi" w:hAnsiTheme="majorBidi" w:cstheme="majorBidi"/>
        </w:rPr>
        <w:t>Harrell’s C-index</w:t>
      </w:r>
      <w:r w:rsidRPr="00857B06">
        <w:rPr>
          <w:rFonts w:asciiTheme="majorBidi" w:hAnsiTheme="majorBidi" w:cstheme="majorBidi"/>
        </w:rPr>
        <w:t xml:space="preserve"> and time-dependent AUC indicate improved discrimination, whereas negative differences in Brier score indicate reduced prediction error. In TwinGene, 95% confidence intervals were estimated using 1,000 paired twin-pair cluster-bootstrap replicates, retaining co-twins within the same resampled cluster. In UKB, 95% confidence intervals for changes in time-dependent AUC and Brier score were obtained using paired influence-function inference, while uncertainty in the </w:t>
      </w:r>
      <w:r w:rsidRPr="005454EF">
        <w:rPr>
          <w:rFonts w:asciiTheme="majorBidi" w:hAnsiTheme="majorBidi" w:cstheme="majorBidi"/>
        </w:rPr>
        <w:t>Harrell’s C-index</w:t>
      </w:r>
      <w:r w:rsidRPr="00857B06">
        <w:rPr>
          <w:rFonts w:asciiTheme="majorBidi" w:hAnsiTheme="majorBidi" w:cstheme="majorBidi"/>
        </w:rPr>
        <w:t xml:space="preserve"> difference was derived from the covariance of paired concordance estimates.</w:t>
      </w:r>
    </w:p>
    <w:p w14:paraId="37FDFAD3" w14:textId="77777777" w:rsidR="006A4136" w:rsidRPr="00B66507" w:rsidRDefault="006A4136" w:rsidP="006A4136">
      <w:pPr>
        <w:rPr>
          <w:rFonts w:asciiTheme="majorBidi" w:hAnsiTheme="majorBidi" w:cstheme="majorBidi"/>
          <w:b/>
          <w:bCs/>
        </w:rPr>
      </w:pPr>
    </w:p>
    <w:p w14:paraId="258C2FAB" w14:textId="77777777" w:rsidR="006A4136" w:rsidRPr="00B66507" w:rsidRDefault="006A4136" w:rsidP="006A4136">
      <w:pPr>
        <w:rPr>
          <w:rFonts w:asciiTheme="majorBidi" w:hAnsiTheme="majorBidi" w:cstheme="majorBidi"/>
          <w:b/>
          <w:bCs/>
        </w:rPr>
      </w:pPr>
      <w:r w:rsidRPr="005E31CD">
        <w:rPr>
          <w:rFonts w:asciiTheme="majorBidi" w:hAnsiTheme="majorBidi" w:cstheme="majorBidi"/>
          <w:b/>
          <w:bCs/>
        </w:rPr>
        <w:t>Supplementary Table S</w:t>
      </w:r>
      <w:r>
        <w:rPr>
          <w:rFonts w:asciiTheme="majorBidi" w:hAnsiTheme="majorBidi" w:cstheme="majorBidi"/>
          <w:b/>
          <w:bCs/>
        </w:rPr>
        <w:t>2</w:t>
      </w:r>
      <w:r w:rsidRPr="005E31CD">
        <w:rPr>
          <w:rFonts w:asciiTheme="majorBidi" w:hAnsiTheme="majorBidi" w:cstheme="majorBidi"/>
          <w:b/>
          <w:bCs/>
        </w:rPr>
        <w:t>. Interaction tests between biological aging measures and demographic or lifestyle factors for all-cause mortality</w:t>
      </w:r>
      <w:r w:rsidRPr="00B66507">
        <w:rPr>
          <w:rFonts w:asciiTheme="majorBidi" w:hAnsiTheme="majorBidi" w:cstheme="majorBidi"/>
          <w:b/>
          <w:bCs/>
        </w:rPr>
        <w:t>.</w:t>
      </w:r>
      <w:r>
        <w:rPr>
          <w:rFonts w:asciiTheme="majorBidi" w:hAnsiTheme="majorBidi" w:cstheme="majorBidi"/>
          <w:b/>
          <w:bCs/>
        </w:rPr>
        <w:t xml:space="preserve"> </w:t>
      </w:r>
    </w:p>
    <w:p w14:paraId="0E0D83BF" w14:textId="77777777" w:rsidR="006A4136" w:rsidRPr="00B66507" w:rsidRDefault="006A4136" w:rsidP="006A4136">
      <w:pPr>
        <w:rPr>
          <w:rFonts w:asciiTheme="majorBidi" w:hAnsiTheme="majorBidi" w:cstheme="majorBidi"/>
        </w:rPr>
      </w:pPr>
    </w:p>
    <w:p w14:paraId="3783FAF2" w14:textId="77777777" w:rsidR="006A4136" w:rsidRPr="00B66507" w:rsidRDefault="006A4136" w:rsidP="006A4136">
      <w:pPr>
        <w:spacing w:line="276" w:lineRule="auto"/>
        <w:rPr>
          <w:rFonts w:asciiTheme="majorBidi" w:hAnsiTheme="majorBidi" w:cstheme="majorBidi"/>
        </w:rPr>
      </w:pPr>
      <w:r w:rsidRPr="00D16ACE">
        <w:rPr>
          <w:rFonts w:asciiTheme="majorBidi" w:hAnsiTheme="majorBidi" w:cstheme="majorBidi"/>
        </w:rPr>
        <w:t xml:space="preserve">Multiplicative interactions of PhenoAge residual, KDM residual, homeostatic dysregulation, frailty index, and telomere length with sex, BMI, smoking, and education were evaluated separately in TwinGene and </w:t>
      </w:r>
      <w:r w:rsidRPr="00FE2A5B">
        <w:rPr>
          <w:rFonts w:asciiTheme="majorBidi" w:hAnsiTheme="majorBidi" w:cstheme="majorBidi"/>
        </w:rPr>
        <w:t xml:space="preserve">UK Biobank </w:t>
      </w:r>
      <w:r w:rsidRPr="00D16ACE">
        <w:rPr>
          <w:rFonts w:asciiTheme="majorBidi" w:hAnsiTheme="majorBidi" w:cstheme="majorBidi"/>
        </w:rPr>
        <w:t xml:space="preserve">using adjusted Cox proportional hazards models. Twenty interaction tests were performed within each cohort, and </w:t>
      </w:r>
      <w:r w:rsidRPr="00D16ACE">
        <w:rPr>
          <w:rFonts w:asciiTheme="majorBidi" w:hAnsiTheme="majorBidi" w:cstheme="majorBidi"/>
          <w:i/>
          <w:iCs/>
        </w:rPr>
        <w:t>P</w:t>
      </w:r>
      <w:r>
        <w:rPr>
          <w:rFonts w:asciiTheme="majorBidi" w:hAnsiTheme="majorBidi" w:cstheme="majorBidi"/>
        </w:rPr>
        <w:t>-</w:t>
      </w:r>
      <w:r w:rsidRPr="00D16ACE">
        <w:rPr>
          <w:rFonts w:asciiTheme="majorBidi" w:hAnsiTheme="majorBidi" w:cstheme="majorBidi"/>
        </w:rPr>
        <w:t xml:space="preserve">values were corrected separately within cohort using the Benjamini–Hochberg false-discovery-rate procedure. TwinGene models used pair-clustered robust variance estimation. FDR-adjusted </w:t>
      </w:r>
      <w:r w:rsidRPr="00D16ACE">
        <w:rPr>
          <w:rFonts w:asciiTheme="majorBidi" w:hAnsiTheme="majorBidi" w:cstheme="majorBidi"/>
          <w:i/>
          <w:iCs/>
        </w:rPr>
        <w:t>P</w:t>
      </w:r>
      <w:r w:rsidRPr="00D16ACE">
        <w:rPr>
          <w:rFonts w:asciiTheme="majorBidi" w:hAnsiTheme="majorBidi" w:cstheme="majorBidi"/>
        </w:rPr>
        <w:t>&lt;0.05 was considered evidence of interaction</w:t>
      </w:r>
      <w:r w:rsidRPr="00B66507">
        <w:rPr>
          <w:rFonts w:asciiTheme="majorBidi" w:hAnsiTheme="majorBidi" w:cstheme="majorBidi"/>
        </w:rPr>
        <w:t>.</w:t>
      </w:r>
      <w:r>
        <w:rPr>
          <w:rFonts w:asciiTheme="majorBidi" w:hAnsiTheme="majorBidi" w:cstheme="majorBidi"/>
        </w:rPr>
        <w:t xml:space="preserve">  </w:t>
      </w:r>
    </w:p>
    <w:p w14:paraId="5D3EF778" w14:textId="77777777" w:rsidR="006A4136" w:rsidRPr="00B66507" w:rsidRDefault="006A4136" w:rsidP="006A4136">
      <w:pPr>
        <w:rPr>
          <w:rFonts w:asciiTheme="majorBidi" w:hAnsiTheme="majorBidi" w:cstheme="majorBidi"/>
        </w:rPr>
      </w:pPr>
    </w:p>
    <w:p w14:paraId="53A8A377" w14:textId="77777777" w:rsidR="006A4136" w:rsidRDefault="006A4136" w:rsidP="006A4136">
      <w:pPr>
        <w:rPr>
          <w:rFonts w:asciiTheme="majorBidi" w:hAnsiTheme="majorBidi" w:cstheme="majorBidi"/>
          <w:b/>
          <w:bCs/>
        </w:rPr>
      </w:pPr>
      <w:r w:rsidRPr="00107010">
        <w:rPr>
          <w:rFonts w:asciiTheme="majorBidi" w:hAnsiTheme="majorBidi" w:cstheme="majorBidi"/>
          <w:b/>
          <w:bCs/>
        </w:rPr>
        <w:t>Supplementary Table S</w:t>
      </w:r>
      <w:r>
        <w:rPr>
          <w:rFonts w:asciiTheme="majorBidi" w:hAnsiTheme="majorBidi" w:cstheme="majorBidi"/>
          <w:b/>
          <w:bCs/>
        </w:rPr>
        <w:t>3</w:t>
      </w:r>
      <w:r w:rsidRPr="00107010">
        <w:rPr>
          <w:rFonts w:asciiTheme="majorBidi" w:hAnsiTheme="majorBidi" w:cstheme="majorBidi"/>
          <w:b/>
          <w:bCs/>
        </w:rPr>
        <w:t>. Subgroup-specific associations for interactions surviving FDR correction</w:t>
      </w:r>
    </w:p>
    <w:p w14:paraId="0793E327" w14:textId="77777777" w:rsidR="006A4136" w:rsidRPr="00B66507" w:rsidRDefault="006A4136" w:rsidP="006A4136">
      <w:pPr>
        <w:rPr>
          <w:rFonts w:asciiTheme="majorBidi" w:hAnsiTheme="majorBidi" w:cstheme="majorBidi"/>
        </w:rPr>
      </w:pPr>
    </w:p>
    <w:p w14:paraId="4F7DF741" w14:textId="77777777" w:rsidR="006A4136" w:rsidRPr="00B66507" w:rsidRDefault="006A4136" w:rsidP="006A4136">
      <w:pPr>
        <w:spacing w:line="276" w:lineRule="auto"/>
        <w:rPr>
          <w:rFonts w:asciiTheme="majorBidi" w:hAnsiTheme="majorBidi" w:cstheme="majorBidi"/>
        </w:rPr>
      </w:pPr>
      <w:r w:rsidRPr="00107010">
        <w:rPr>
          <w:rFonts w:asciiTheme="majorBidi" w:hAnsiTheme="majorBidi" w:cstheme="majorBidi"/>
        </w:rPr>
        <w:t xml:space="preserve">Subgroup-specific hazard ratios (HRs) and 95% confidence intervals are presented for interactions that remained significant after Benjamini–Hochberg false-discovery-rate correction. HRs represent the association with all-cause mortality per 1-SD higher biological aging measure. For categorical modifiers, estimates are presented separately within each subgroup. For BMI interactions, HRs are reported at the cohort-specific mean BMI and at −1 and +1 SD. TwinGene estimates use pair-clustered robust variance estimation. Interaction </w:t>
      </w:r>
      <w:r w:rsidRPr="00107010">
        <w:rPr>
          <w:rFonts w:asciiTheme="majorBidi" w:hAnsiTheme="majorBidi" w:cstheme="majorBidi"/>
          <w:i/>
          <w:iCs/>
        </w:rPr>
        <w:t>P</w:t>
      </w:r>
      <w:r>
        <w:rPr>
          <w:rFonts w:asciiTheme="majorBidi" w:hAnsiTheme="majorBidi" w:cstheme="majorBidi"/>
        </w:rPr>
        <w:t>-</w:t>
      </w:r>
      <w:r w:rsidRPr="00107010">
        <w:rPr>
          <w:rFonts w:asciiTheme="majorBidi" w:hAnsiTheme="majorBidi" w:cstheme="majorBidi"/>
        </w:rPr>
        <w:t xml:space="preserve">values and FDR-adjusted </w:t>
      </w:r>
      <w:r w:rsidRPr="00107010">
        <w:rPr>
          <w:rFonts w:asciiTheme="majorBidi" w:hAnsiTheme="majorBidi" w:cstheme="majorBidi"/>
          <w:i/>
          <w:iCs/>
        </w:rPr>
        <w:t>P</w:t>
      </w:r>
      <w:r>
        <w:rPr>
          <w:rFonts w:asciiTheme="majorBidi" w:hAnsiTheme="majorBidi" w:cstheme="majorBidi"/>
        </w:rPr>
        <w:t>-</w:t>
      </w:r>
      <w:r w:rsidRPr="00107010">
        <w:rPr>
          <w:rFonts w:asciiTheme="majorBidi" w:hAnsiTheme="majorBidi" w:cstheme="majorBidi"/>
        </w:rPr>
        <w:t>values refer to the overall multiplicative interaction test</w:t>
      </w:r>
      <w:r w:rsidRPr="00B66507">
        <w:rPr>
          <w:rFonts w:asciiTheme="majorBidi" w:hAnsiTheme="majorBidi" w:cstheme="majorBidi"/>
        </w:rPr>
        <w:t>.</w:t>
      </w:r>
    </w:p>
    <w:p w14:paraId="2E835946" w14:textId="77777777" w:rsidR="006A4136" w:rsidRPr="00B66507" w:rsidRDefault="006A4136" w:rsidP="006A4136">
      <w:pPr>
        <w:rPr>
          <w:rFonts w:asciiTheme="majorBidi" w:hAnsiTheme="majorBidi" w:cstheme="majorBidi"/>
        </w:rPr>
      </w:pPr>
    </w:p>
    <w:p w14:paraId="0004920C" w14:textId="77777777" w:rsidR="006A4136" w:rsidRDefault="006A4136" w:rsidP="006A4136">
      <w:pPr>
        <w:rPr>
          <w:rFonts w:asciiTheme="majorBidi" w:hAnsiTheme="majorBidi" w:cstheme="majorBidi"/>
          <w:b/>
          <w:bCs/>
        </w:rPr>
      </w:pPr>
      <w:r w:rsidRPr="00E36528">
        <w:rPr>
          <w:rFonts w:asciiTheme="majorBidi" w:hAnsiTheme="majorBidi" w:cstheme="majorBidi"/>
          <w:b/>
          <w:bCs/>
        </w:rPr>
        <w:t>Supplementary Table S</w:t>
      </w:r>
      <w:r>
        <w:rPr>
          <w:rFonts w:asciiTheme="majorBidi" w:hAnsiTheme="majorBidi" w:cstheme="majorBidi"/>
          <w:b/>
          <w:bCs/>
        </w:rPr>
        <w:t>4</w:t>
      </w:r>
      <w:r w:rsidRPr="00E36528">
        <w:rPr>
          <w:rFonts w:asciiTheme="majorBidi" w:hAnsiTheme="majorBidi" w:cstheme="majorBidi"/>
          <w:b/>
          <w:bCs/>
        </w:rPr>
        <w:t>. Proportional hazards diagnostics for the primary Cox models</w:t>
      </w:r>
    </w:p>
    <w:p w14:paraId="4A639201" w14:textId="77777777" w:rsidR="006A4136" w:rsidRPr="00B66507" w:rsidRDefault="006A4136" w:rsidP="006A4136">
      <w:pPr>
        <w:rPr>
          <w:rFonts w:asciiTheme="majorBidi" w:hAnsiTheme="majorBidi" w:cstheme="majorBidi"/>
        </w:rPr>
      </w:pPr>
    </w:p>
    <w:p w14:paraId="68E4FA51" w14:textId="77777777" w:rsidR="006A4136" w:rsidRDefault="006A4136" w:rsidP="006A4136">
      <w:pPr>
        <w:spacing w:line="276" w:lineRule="auto"/>
        <w:rPr>
          <w:rFonts w:asciiTheme="majorBidi" w:hAnsiTheme="majorBidi" w:cstheme="majorBidi"/>
        </w:rPr>
      </w:pPr>
      <w:r w:rsidRPr="003A05BC">
        <w:rPr>
          <w:rFonts w:asciiTheme="majorBidi" w:hAnsiTheme="majorBidi" w:cstheme="majorBidi"/>
        </w:rPr>
        <w:t>Schoenfeld residual tests are reported for individual model terms and globally for each primary Cox proportional hazards model in TwinGene and UK</w:t>
      </w:r>
      <w:r>
        <w:rPr>
          <w:rFonts w:asciiTheme="majorBidi" w:hAnsiTheme="majorBidi" w:cstheme="majorBidi"/>
        </w:rPr>
        <w:t xml:space="preserve"> Biobank</w:t>
      </w:r>
      <w:r w:rsidRPr="003A05BC">
        <w:rPr>
          <w:rFonts w:asciiTheme="majorBidi" w:hAnsiTheme="majorBidi" w:cstheme="majorBidi"/>
        </w:rPr>
        <w:t xml:space="preserve">. Each primary model contained one biological aging measure and was adjusted for chronological age using a natural spline with 4 degrees of freedom, sex, BMI using a natural spline with 3 degrees of freedom, smoking, and education. TwinGene models used pair-clustered robust variance estimation. </w:t>
      </w:r>
      <w:r w:rsidRPr="00FF57D4">
        <w:rPr>
          <w:rFonts w:asciiTheme="majorBidi" w:hAnsiTheme="majorBidi" w:cstheme="majorBidi"/>
        </w:rPr>
        <w:t xml:space="preserve">Because Schoenfeld residual tests can be sensitive to departures from </w:t>
      </w:r>
      <w:r w:rsidRPr="00FF57D4">
        <w:rPr>
          <w:rFonts w:asciiTheme="majorBidi" w:hAnsiTheme="majorBidi" w:cstheme="majorBidi"/>
        </w:rPr>
        <w:lastRenderedPageBreak/>
        <w:t>proportionality in large samples, particularly in UKB, they were interpreted together with the interval-specific analyses and the landmark and attained-age sensitivity analyses.</w:t>
      </w:r>
      <w:r>
        <w:rPr>
          <w:rFonts w:asciiTheme="majorBidi" w:hAnsiTheme="majorBidi" w:cstheme="majorBidi"/>
        </w:rPr>
        <w:t xml:space="preserve"> </w:t>
      </w:r>
    </w:p>
    <w:p w14:paraId="3363E7D8" w14:textId="77777777" w:rsidR="006A4136" w:rsidRDefault="006A4136" w:rsidP="006A4136">
      <w:pPr>
        <w:rPr>
          <w:rFonts w:asciiTheme="majorBidi" w:hAnsiTheme="majorBidi" w:cstheme="majorBidi"/>
        </w:rPr>
      </w:pPr>
    </w:p>
    <w:p w14:paraId="1AC20AF5" w14:textId="77777777" w:rsidR="006A4136" w:rsidRDefault="006A4136" w:rsidP="006A4136">
      <w:pPr>
        <w:rPr>
          <w:rFonts w:asciiTheme="majorBidi" w:hAnsiTheme="majorBidi" w:cstheme="majorBidi"/>
          <w:b/>
          <w:bCs/>
        </w:rPr>
      </w:pPr>
      <w:r w:rsidRPr="00E36528">
        <w:rPr>
          <w:rFonts w:asciiTheme="majorBidi" w:hAnsiTheme="majorBidi" w:cstheme="majorBidi"/>
          <w:b/>
          <w:bCs/>
        </w:rPr>
        <w:t>Supplementary Table S</w:t>
      </w:r>
      <w:r>
        <w:rPr>
          <w:rFonts w:asciiTheme="majorBidi" w:hAnsiTheme="majorBidi" w:cstheme="majorBidi"/>
          <w:b/>
          <w:bCs/>
        </w:rPr>
        <w:t>5</w:t>
      </w:r>
      <w:r w:rsidRPr="00E36528">
        <w:rPr>
          <w:rFonts w:asciiTheme="majorBidi" w:hAnsiTheme="majorBidi" w:cstheme="majorBidi"/>
          <w:b/>
          <w:bCs/>
        </w:rPr>
        <w:t>.</w:t>
      </w:r>
      <w:r>
        <w:rPr>
          <w:rFonts w:asciiTheme="majorBidi" w:hAnsiTheme="majorBidi" w:cstheme="majorBidi"/>
          <w:b/>
          <w:bCs/>
        </w:rPr>
        <w:t xml:space="preserve"> </w:t>
      </w:r>
      <w:r w:rsidRPr="002634A5">
        <w:rPr>
          <w:rFonts w:asciiTheme="majorBidi" w:hAnsiTheme="majorBidi" w:cstheme="majorBidi"/>
          <w:b/>
          <w:bCs/>
        </w:rPr>
        <w:t>Interval-specific associations of biological aging measures with all-cause mortality</w:t>
      </w:r>
    </w:p>
    <w:p w14:paraId="212B2967" w14:textId="77777777" w:rsidR="006A4136" w:rsidRDefault="006A4136" w:rsidP="006A4136">
      <w:pPr>
        <w:rPr>
          <w:rFonts w:asciiTheme="majorBidi" w:hAnsiTheme="majorBidi" w:cstheme="majorBidi"/>
          <w:b/>
          <w:bCs/>
        </w:rPr>
      </w:pPr>
    </w:p>
    <w:p w14:paraId="0FE02A70" w14:textId="77777777" w:rsidR="006A4136" w:rsidRPr="001030B6" w:rsidRDefault="006A4136" w:rsidP="006A4136">
      <w:pPr>
        <w:spacing w:line="276" w:lineRule="auto"/>
        <w:rPr>
          <w:rFonts w:asciiTheme="majorBidi" w:hAnsiTheme="majorBidi" w:cstheme="majorBidi"/>
        </w:rPr>
      </w:pPr>
      <w:r w:rsidRPr="001030B6">
        <w:rPr>
          <w:rFonts w:asciiTheme="majorBidi" w:hAnsiTheme="majorBidi" w:cstheme="majorBidi"/>
        </w:rPr>
        <w:t xml:space="preserve">Associations of PhenoAge residual, KDM residual, homeostatic dysregulation, frailty index, and telomere length with all-cause mortality were estimated separately during 0–5, 5–10, and &gt;10 years of follow-up. HRs and 95% CIs are reported per 1-SD higher biological aging measure. Models used the same covariate adjustment as the primary analyses and allowed interval-specific baseline hazards. </w:t>
      </w:r>
      <w:r w:rsidRPr="001030B6">
        <w:rPr>
          <w:rFonts w:asciiTheme="majorBidi" w:hAnsiTheme="majorBidi" w:cstheme="majorBidi"/>
          <w:i/>
          <w:iCs/>
        </w:rPr>
        <w:t>P</w:t>
      </w:r>
      <w:r>
        <w:rPr>
          <w:rFonts w:asciiTheme="majorBidi" w:hAnsiTheme="majorBidi" w:cstheme="majorBidi"/>
        </w:rPr>
        <w:t>-</w:t>
      </w:r>
      <w:r w:rsidRPr="001030B6">
        <w:rPr>
          <w:rFonts w:asciiTheme="majorBidi" w:hAnsiTheme="majorBidi" w:cstheme="majorBidi"/>
        </w:rPr>
        <w:t>values for variation over time test equality of the three interval-specific exposure coefficients using robust Wald tests. TwinGene models used pair-clustered robust variance estimation, whereas UK</w:t>
      </w:r>
      <w:r>
        <w:rPr>
          <w:rFonts w:asciiTheme="majorBidi" w:hAnsiTheme="majorBidi" w:cstheme="majorBidi"/>
        </w:rPr>
        <w:t xml:space="preserve"> Biobank</w:t>
      </w:r>
      <w:r w:rsidRPr="001030B6">
        <w:rPr>
          <w:rFonts w:asciiTheme="majorBidi" w:hAnsiTheme="majorBidi" w:cstheme="majorBidi"/>
        </w:rPr>
        <w:t xml:space="preserve"> models used participant-clustered robust variance estimation after splitting follow-up.</w:t>
      </w:r>
    </w:p>
    <w:p w14:paraId="25C8D23F" w14:textId="77777777" w:rsidR="006A4136" w:rsidRDefault="006A4136" w:rsidP="006A4136">
      <w:pPr>
        <w:rPr>
          <w:rFonts w:asciiTheme="majorBidi" w:hAnsiTheme="majorBidi" w:cstheme="majorBidi"/>
        </w:rPr>
      </w:pPr>
    </w:p>
    <w:p w14:paraId="24368046" w14:textId="77777777" w:rsidR="006A4136" w:rsidRDefault="006A4136" w:rsidP="006A4136">
      <w:pPr>
        <w:rPr>
          <w:rFonts w:asciiTheme="majorBidi" w:hAnsiTheme="majorBidi" w:cstheme="majorBidi"/>
        </w:rPr>
      </w:pPr>
    </w:p>
    <w:p w14:paraId="59E3B88C" w14:textId="77777777" w:rsidR="006A4136" w:rsidRDefault="006A4136" w:rsidP="006A4136">
      <w:pPr>
        <w:rPr>
          <w:rFonts w:asciiTheme="majorBidi" w:hAnsiTheme="majorBidi" w:cstheme="majorBidi"/>
          <w:b/>
          <w:bCs/>
        </w:rPr>
      </w:pPr>
      <w:r w:rsidRPr="00667ECD">
        <w:rPr>
          <w:rFonts w:asciiTheme="majorBidi" w:hAnsiTheme="majorBidi" w:cstheme="majorBidi"/>
          <w:b/>
          <w:bCs/>
        </w:rPr>
        <w:t>Supplementary Table S</w:t>
      </w:r>
      <w:r>
        <w:rPr>
          <w:rFonts w:asciiTheme="majorBidi" w:hAnsiTheme="majorBidi" w:cstheme="majorBidi"/>
          <w:b/>
          <w:bCs/>
        </w:rPr>
        <w:t>6</w:t>
      </w:r>
      <w:r w:rsidRPr="00667ECD">
        <w:rPr>
          <w:rFonts w:asciiTheme="majorBidi" w:hAnsiTheme="majorBidi" w:cstheme="majorBidi"/>
          <w:b/>
          <w:bCs/>
        </w:rPr>
        <w:t>. Two-year landmark sensitivity analysis of biological aging measures and all-cause mortality</w:t>
      </w:r>
    </w:p>
    <w:p w14:paraId="102BB8C4" w14:textId="77777777" w:rsidR="006A4136" w:rsidRPr="00B66507" w:rsidRDefault="006A4136" w:rsidP="006A4136">
      <w:pPr>
        <w:rPr>
          <w:rFonts w:asciiTheme="majorBidi" w:hAnsiTheme="majorBidi" w:cstheme="majorBidi"/>
        </w:rPr>
      </w:pPr>
    </w:p>
    <w:p w14:paraId="785BEBE0" w14:textId="77777777" w:rsidR="006A4136" w:rsidRPr="00B66507" w:rsidRDefault="006A4136" w:rsidP="006A4136">
      <w:pPr>
        <w:spacing w:line="276" w:lineRule="auto"/>
        <w:rPr>
          <w:rFonts w:asciiTheme="majorBidi" w:hAnsiTheme="majorBidi" w:cstheme="majorBidi"/>
        </w:rPr>
      </w:pPr>
      <w:r w:rsidRPr="007E5BF1">
        <w:rPr>
          <w:rFonts w:asciiTheme="majorBidi" w:hAnsiTheme="majorBidi" w:cstheme="majorBidi"/>
        </w:rPr>
        <w:t>Primary Cox associations were re-estimated among participants who remained alive and under observation beyond 2 years after baseline, with follow-up restarted at the 2-year landmark. Models were adjusted for age at the landmark using a natural spline with 4 degrees of freedom, sex, BMI using a natural spline with 3 degrees of freedom, smoking, and education. HRs and 95% CIs are reported per 1-SD higher biological aging measure.</w:t>
      </w:r>
      <w:r>
        <w:rPr>
          <w:rFonts w:asciiTheme="majorBidi" w:hAnsiTheme="majorBidi" w:cstheme="majorBidi"/>
        </w:rPr>
        <w:t xml:space="preserve"> </w:t>
      </w:r>
      <w:r w:rsidRPr="007E5BF1">
        <w:rPr>
          <w:rFonts w:asciiTheme="majorBidi" w:hAnsiTheme="majorBidi" w:cstheme="majorBidi"/>
        </w:rPr>
        <w:t>TwinGene models used pair-clustered robust variance estimation</w:t>
      </w:r>
      <w:r w:rsidRPr="00B66507">
        <w:rPr>
          <w:rFonts w:asciiTheme="majorBidi" w:hAnsiTheme="majorBidi" w:cstheme="majorBidi"/>
        </w:rPr>
        <w:t>.</w:t>
      </w:r>
      <w:r>
        <w:rPr>
          <w:rFonts w:asciiTheme="majorBidi" w:hAnsiTheme="majorBidi" w:cstheme="majorBidi"/>
        </w:rPr>
        <w:t xml:space="preserve"> </w:t>
      </w:r>
    </w:p>
    <w:p w14:paraId="7974E4CF" w14:textId="77777777" w:rsidR="006A4136" w:rsidRPr="00B66507" w:rsidRDefault="006A4136" w:rsidP="006A4136">
      <w:pPr>
        <w:rPr>
          <w:rFonts w:asciiTheme="majorBidi" w:hAnsiTheme="majorBidi" w:cstheme="majorBidi"/>
        </w:rPr>
      </w:pPr>
    </w:p>
    <w:p w14:paraId="147AE3E5" w14:textId="77777777" w:rsidR="006A4136" w:rsidRPr="00B66507" w:rsidRDefault="006A4136" w:rsidP="006A4136">
      <w:pPr>
        <w:rPr>
          <w:rFonts w:asciiTheme="majorBidi" w:hAnsiTheme="majorBidi" w:cstheme="majorBidi"/>
          <w:b/>
          <w:bCs/>
        </w:rPr>
      </w:pPr>
      <w:r w:rsidRPr="007E4D5D">
        <w:rPr>
          <w:rFonts w:asciiTheme="majorBidi" w:hAnsiTheme="majorBidi" w:cstheme="majorBidi"/>
          <w:b/>
          <w:bCs/>
        </w:rPr>
        <w:t>Supplementary Table S</w:t>
      </w:r>
      <w:r>
        <w:rPr>
          <w:rFonts w:asciiTheme="majorBidi" w:hAnsiTheme="majorBidi" w:cstheme="majorBidi"/>
          <w:b/>
          <w:bCs/>
        </w:rPr>
        <w:t>7</w:t>
      </w:r>
      <w:r w:rsidRPr="007E4D5D">
        <w:rPr>
          <w:rFonts w:asciiTheme="majorBidi" w:hAnsiTheme="majorBidi" w:cstheme="majorBidi"/>
          <w:b/>
          <w:bCs/>
        </w:rPr>
        <w:t>. Sensitivity analysis using attained age as the underlying timescale</w:t>
      </w:r>
      <w:r w:rsidRPr="00B66507">
        <w:rPr>
          <w:rFonts w:asciiTheme="majorBidi" w:hAnsiTheme="majorBidi" w:cstheme="majorBidi"/>
          <w:b/>
          <w:bCs/>
        </w:rPr>
        <w:t>.</w:t>
      </w:r>
      <w:r>
        <w:rPr>
          <w:rFonts w:asciiTheme="majorBidi" w:hAnsiTheme="majorBidi" w:cstheme="majorBidi"/>
          <w:b/>
          <w:bCs/>
        </w:rPr>
        <w:t xml:space="preserve"> </w:t>
      </w:r>
    </w:p>
    <w:p w14:paraId="4985840F" w14:textId="77777777" w:rsidR="006A4136" w:rsidRPr="00B66507" w:rsidRDefault="006A4136" w:rsidP="006A4136">
      <w:pPr>
        <w:rPr>
          <w:rFonts w:asciiTheme="majorBidi" w:hAnsiTheme="majorBidi" w:cstheme="majorBidi"/>
        </w:rPr>
      </w:pPr>
    </w:p>
    <w:p w14:paraId="22281250" w14:textId="77777777" w:rsidR="006A4136" w:rsidRPr="00B66507" w:rsidRDefault="006A4136" w:rsidP="006A4136">
      <w:pPr>
        <w:spacing w:line="276" w:lineRule="auto"/>
        <w:rPr>
          <w:rFonts w:asciiTheme="majorBidi" w:hAnsiTheme="majorBidi" w:cstheme="majorBidi"/>
        </w:rPr>
      </w:pPr>
      <w:r w:rsidRPr="007E4D5D">
        <w:rPr>
          <w:rFonts w:asciiTheme="majorBidi" w:hAnsiTheme="majorBidi" w:cstheme="majorBidi"/>
        </w:rPr>
        <w:t>Associations between biological aging measures and all-cause mortality were re-estimated using Cox proportional hazards models with attained age as the underlying timescale in a left-truncated start–stop formulation. Age at baseline defined entry time and age at death or censoring defined exit time; chronological age was therefore not included as an additional covariate. Models were adjusted for sex, BMI, smoking, and education. HRs and 95% CIs are reported per 1-SD higher biological aging measure. TwinGene models used pair-clustered robust variance estimation</w:t>
      </w:r>
      <w:r w:rsidRPr="00B66507">
        <w:rPr>
          <w:rFonts w:asciiTheme="majorBidi" w:hAnsiTheme="majorBidi" w:cstheme="majorBidi"/>
        </w:rPr>
        <w:t>.</w:t>
      </w:r>
      <w:r>
        <w:rPr>
          <w:rFonts w:asciiTheme="majorBidi" w:hAnsiTheme="majorBidi" w:cstheme="majorBidi"/>
        </w:rPr>
        <w:t xml:space="preserve">  </w:t>
      </w:r>
    </w:p>
    <w:p w14:paraId="07C35780" w14:textId="77777777" w:rsidR="00EB4A2D" w:rsidRDefault="00EB4A2D"/>
    <w:sectPr w:rsidR="00EB4A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136"/>
    <w:rsid w:val="001D3053"/>
    <w:rsid w:val="001E3A92"/>
    <w:rsid w:val="00217E67"/>
    <w:rsid w:val="002C7D54"/>
    <w:rsid w:val="0033371E"/>
    <w:rsid w:val="005C0D39"/>
    <w:rsid w:val="006A4136"/>
    <w:rsid w:val="0070406C"/>
    <w:rsid w:val="00724754"/>
    <w:rsid w:val="00792414"/>
    <w:rsid w:val="007B36B1"/>
    <w:rsid w:val="00C321FA"/>
    <w:rsid w:val="00C97210"/>
    <w:rsid w:val="00EB4A2D"/>
    <w:rsid w:val="00EE513F"/>
    <w:rsid w:val="00FC5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0C41ED"/>
  <w15:chartTrackingRefBased/>
  <w15:docId w15:val="{ECD45642-1B0D-4600-A5C4-F07F966C9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4136"/>
    <w:pPr>
      <w:spacing w:after="0" w:line="240" w:lineRule="auto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413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413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413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I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413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lang w:val="en-I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413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lang w:val="en-I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4136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lang w:val="en-IN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4136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lang w:val="en-IN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4136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lang w:val="en-IN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4136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41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41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41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413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413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41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41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41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41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413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</w:rPr>
  </w:style>
  <w:style w:type="character" w:customStyle="1" w:styleId="TitleChar">
    <w:name w:val="Title Char"/>
    <w:basedOn w:val="DefaultParagraphFont"/>
    <w:link w:val="Title"/>
    <w:uiPriority w:val="10"/>
    <w:rsid w:val="006A41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4136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n-IN"/>
    </w:rPr>
  </w:style>
  <w:style w:type="character" w:customStyle="1" w:styleId="SubtitleChar">
    <w:name w:val="Subtitle Char"/>
    <w:basedOn w:val="DefaultParagraphFont"/>
    <w:link w:val="Subtitle"/>
    <w:uiPriority w:val="11"/>
    <w:rsid w:val="006A41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4136"/>
    <w:pPr>
      <w:spacing w:before="160" w:after="160" w:line="278" w:lineRule="auto"/>
      <w:jc w:val="center"/>
    </w:pPr>
    <w:rPr>
      <w:i/>
      <w:iCs/>
      <w:color w:val="404040" w:themeColor="text1" w:themeTint="BF"/>
      <w:lang w:val="en-IN"/>
    </w:rPr>
  </w:style>
  <w:style w:type="character" w:customStyle="1" w:styleId="QuoteChar">
    <w:name w:val="Quote Char"/>
    <w:basedOn w:val="DefaultParagraphFont"/>
    <w:link w:val="Quote"/>
    <w:uiPriority w:val="29"/>
    <w:rsid w:val="006A41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4136"/>
    <w:pPr>
      <w:spacing w:after="160" w:line="278" w:lineRule="auto"/>
      <w:ind w:left="720"/>
      <w:contextualSpacing/>
    </w:pPr>
    <w:rPr>
      <w:lang w:val="en-IN"/>
    </w:rPr>
  </w:style>
  <w:style w:type="character" w:styleId="IntenseEmphasis">
    <w:name w:val="Intense Emphasis"/>
    <w:basedOn w:val="DefaultParagraphFont"/>
    <w:uiPriority w:val="21"/>
    <w:qFormat/>
    <w:rsid w:val="006A41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41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lang w:val="en-IN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41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413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1248</Words>
  <Characters>7118</Characters>
  <Application>Microsoft Office Word</Application>
  <DocSecurity>0</DocSecurity>
  <Lines>59</Lines>
  <Paragraphs>16</Paragraphs>
  <ScaleCrop>false</ScaleCrop>
  <Company/>
  <LinksUpToDate>false</LinksUpToDate>
  <CharactersWithSpaces>8350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Pradeep Gaikwad</dc:creator>
  <cp:keywords/>
  <dc:description/>
  <cp:lastModifiedBy>Pradeep Gaikwad</cp:lastModifiedBy>
  <cp:revision>1</cp:revision>
  <dcterms:created xsi:type="dcterms:W3CDTF">2026-11-04T06:52:00Z</dcterms:created>
  <dcterms:modified xsi:type="dcterms:W3CDTF">2026-11-04T06:53:00Z</dcterms:modified>
</cp:coreProperties>
</file>