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0D6FF" w14:textId="78DD6988" w:rsidR="002B4F8A" w:rsidRPr="002126B2" w:rsidRDefault="002126B2" w:rsidP="002126B2">
      <w:pPr>
        <w:spacing w:afterLines="100" w:after="312" w:line="360" w:lineRule="auto"/>
        <w:rPr>
          <w:rFonts w:ascii="Times New Roman" w:hAnsi="Times New Roman" w:cs="Times New Roman"/>
          <w:b/>
          <w:i/>
          <w:sz w:val="24"/>
        </w:rPr>
      </w:pPr>
      <w:r w:rsidRPr="002126B2">
        <w:rPr>
          <w:rFonts w:ascii="Times New Roman" w:hAnsi="Times New Roman" w:cs="Times New Roman"/>
          <w:b/>
          <w:i/>
          <w:sz w:val="24"/>
        </w:rPr>
        <w:t>Supporting Information for</w:t>
      </w:r>
    </w:p>
    <w:p w14:paraId="6440C586" w14:textId="77777777" w:rsidR="00FD057B" w:rsidRDefault="00FD057B" w:rsidP="00FD057B">
      <w:pPr>
        <w:spacing w:beforeLines="50" w:before="156"/>
        <w:rPr>
          <w:rFonts w:ascii="Times New Roman" w:hAnsi="Times New Roman" w:cs="Times New Roman"/>
          <w:b/>
          <w:sz w:val="24"/>
        </w:rPr>
      </w:pPr>
      <w:r w:rsidRPr="002B4FB1">
        <w:rPr>
          <w:rFonts w:ascii="Times New Roman" w:hAnsi="Times New Roman" w:cs="Times New Roman" w:hint="eastAsia"/>
          <w:b/>
          <w:sz w:val="24"/>
        </w:rPr>
        <w:t xml:space="preserve">Repurposing TACE-Induced Hypoxia to Activate Biocatalytic Hydrogen Production and Potentiate </w:t>
      </w:r>
      <w:proofErr w:type="spellStart"/>
      <w:r w:rsidRPr="002B4FB1">
        <w:rPr>
          <w:rFonts w:ascii="Times New Roman" w:hAnsi="Times New Roman" w:cs="Times New Roman" w:hint="eastAsia"/>
          <w:b/>
          <w:sz w:val="24"/>
        </w:rPr>
        <w:t>Tirapazamine</w:t>
      </w:r>
      <w:proofErr w:type="spellEnd"/>
      <w:r w:rsidRPr="002B4FB1">
        <w:rPr>
          <w:rFonts w:ascii="Times New Roman" w:hAnsi="Times New Roman" w:cs="Times New Roman" w:hint="eastAsia"/>
          <w:b/>
          <w:sz w:val="24"/>
        </w:rPr>
        <w:t xml:space="preserve"> Chemoimmunotherapy Against Hepatocellular Carcinoma </w:t>
      </w:r>
    </w:p>
    <w:p w14:paraId="0DDB42A6" w14:textId="77777777" w:rsidR="002126B2" w:rsidRPr="00FD057B" w:rsidRDefault="002126B2" w:rsidP="002126B2">
      <w:pPr>
        <w:spacing w:afterLines="100" w:after="312" w:line="360" w:lineRule="auto"/>
        <w:rPr>
          <w:rFonts w:ascii="Times New Roman" w:hAnsi="Times New Roman" w:cs="Times New Roman"/>
          <w:b/>
          <w:sz w:val="24"/>
        </w:rPr>
        <w:sectPr w:rsidR="002126B2" w:rsidRPr="00FD057B">
          <w:pgSz w:w="11906" w:h="16838"/>
          <w:pgMar w:top="1440" w:right="1800" w:bottom="1440" w:left="1800" w:header="851" w:footer="992" w:gutter="0"/>
          <w:cols w:space="425"/>
          <w:docGrid w:type="lines" w:linePitch="312"/>
        </w:sectPr>
      </w:pPr>
    </w:p>
    <w:p w14:paraId="422E654A" w14:textId="2F693D66" w:rsidR="002126B2" w:rsidRPr="002126B2" w:rsidRDefault="002126B2" w:rsidP="00287FD1">
      <w:pPr>
        <w:spacing w:line="360" w:lineRule="auto"/>
        <w:rPr>
          <w:rFonts w:ascii="Times New Roman" w:hAnsi="Times New Roman" w:cs="Times New Roman"/>
          <w:b/>
          <w:sz w:val="24"/>
        </w:rPr>
      </w:pPr>
      <w:r w:rsidRPr="002126B2">
        <w:rPr>
          <w:rFonts w:ascii="Times New Roman" w:hAnsi="Times New Roman" w:cs="Times New Roman"/>
          <w:b/>
          <w:sz w:val="24"/>
        </w:rPr>
        <w:lastRenderedPageBreak/>
        <w:t>Materials and Reagents</w:t>
      </w:r>
    </w:p>
    <w:p w14:paraId="09CEE9E9" w14:textId="3A3105E6" w:rsidR="002126B2" w:rsidRDefault="002126B2" w:rsidP="00287FD1">
      <w:pPr>
        <w:spacing w:line="360" w:lineRule="auto"/>
        <w:rPr>
          <w:rFonts w:ascii="Times New Roman" w:hAnsi="Times New Roman" w:cs="Times New Roman"/>
          <w:sz w:val="24"/>
        </w:rPr>
      </w:pPr>
      <w:proofErr w:type="spellStart"/>
      <w:r w:rsidRPr="00797A30">
        <w:rPr>
          <w:rFonts w:ascii="Times New Roman" w:hAnsi="Times New Roman" w:cs="Times New Roman"/>
          <w:sz w:val="24"/>
        </w:rPr>
        <w:t>Synechocystis</w:t>
      </w:r>
      <w:proofErr w:type="spellEnd"/>
      <w:r w:rsidRPr="00797A30">
        <w:rPr>
          <w:rFonts w:ascii="Times New Roman" w:hAnsi="Times New Roman" w:cs="Times New Roman"/>
          <w:sz w:val="24"/>
        </w:rPr>
        <w:t xml:space="preserve"> sp. PCC 6803 (</w:t>
      </w:r>
      <w:proofErr w:type="spellStart"/>
      <w:r w:rsidRPr="00797A30">
        <w:rPr>
          <w:rFonts w:ascii="Times New Roman" w:hAnsi="Times New Roman" w:cs="Times New Roman"/>
          <w:sz w:val="24"/>
        </w:rPr>
        <w:t>Sp</w:t>
      </w:r>
      <w:proofErr w:type="spellEnd"/>
      <w:r w:rsidRPr="00797A30">
        <w:rPr>
          <w:rFonts w:ascii="Times New Roman" w:hAnsi="Times New Roman" w:cs="Times New Roman"/>
          <w:sz w:val="24"/>
        </w:rPr>
        <w:t xml:space="preserve">) was obtained from the Freshwater Algae Culture Collection at the Institute of Hydrobiology. </w:t>
      </w:r>
      <w:proofErr w:type="spellStart"/>
      <w:r w:rsidRPr="00797A30">
        <w:rPr>
          <w:rFonts w:ascii="Times New Roman" w:hAnsi="Times New Roman" w:cs="Times New Roman"/>
          <w:sz w:val="24"/>
        </w:rPr>
        <w:t>Tirapazamine</w:t>
      </w:r>
      <w:proofErr w:type="spellEnd"/>
      <w:r w:rsidRPr="00797A30">
        <w:rPr>
          <w:rFonts w:ascii="Times New Roman" w:hAnsi="Times New Roman" w:cs="Times New Roman"/>
          <w:sz w:val="24"/>
        </w:rPr>
        <w:t xml:space="preserve"> (TPZ, ≥98 %), hyaluronidase (</w:t>
      </w:r>
      <w:proofErr w:type="spellStart"/>
      <w:r w:rsidRPr="00797A30">
        <w:rPr>
          <w:rFonts w:ascii="Times New Roman" w:hAnsi="Times New Roman" w:cs="Times New Roman"/>
          <w:sz w:val="24"/>
        </w:rPr>
        <w:t>HAase</w:t>
      </w:r>
      <w:proofErr w:type="spellEnd"/>
      <w:r w:rsidRPr="00797A30">
        <w:rPr>
          <w:rFonts w:ascii="Times New Roman" w:hAnsi="Times New Roman" w:cs="Times New Roman"/>
          <w:sz w:val="24"/>
        </w:rPr>
        <w:t>, from bovine testes), methylene blue (MB), JC‑1 staining kit, CCK‑8 assay kit, and FITC‑labelled antibodies were purchased from Sigma‑Aldrich. Hyaluronic acid (HA, molecular weight 1.2 </w:t>
      </w:r>
      <w:proofErr w:type="spellStart"/>
      <w:r w:rsidRPr="00797A30">
        <w:rPr>
          <w:rFonts w:ascii="Times New Roman" w:hAnsi="Times New Roman" w:cs="Times New Roman"/>
          <w:sz w:val="24"/>
        </w:rPr>
        <w:t>MDa</w:t>
      </w:r>
      <w:proofErr w:type="spellEnd"/>
      <w:r w:rsidRPr="00797A30">
        <w:rPr>
          <w:rFonts w:ascii="Times New Roman" w:hAnsi="Times New Roman" w:cs="Times New Roman"/>
          <w:sz w:val="24"/>
        </w:rPr>
        <w:t xml:space="preserve">) was supplied by Macklin Biochemical. 1,4‑butanediol </w:t>
      </w:r>
      <w:proofErr w:type="spellStart"/>
      <w:r w:rsidRPr="00797A30">
        <w:rPr>
          <w:rFonts w:ascii="Times New Roman" w:hAnsi="Times New Roman" w:cs="Times New Roman"/>
          <w:sz w:val="24"/>
        </w:rPr>
        <w:t>diglycidyl</w:t>
      </w:r>
      <w:proofErr w:type="spellEnd"/>
      <w:r w:rsidRPr="00797A30">
        <w:rPr>
          <w:rFonts w:ascii="Times New Roman" w:hAnsi="Times New Roman" w:cs="Times New Roman"/>
          <w:sz w:val="24"/>
        </w:rPr>
        <w:t xml:space="preserve"> ether (BDE, crosslinker), Span‑80, mineral oil were obtained from Sigma‑Aldrich. Calreticulin (CRT), HMGB1, HSP70, γH2AX, Ki‑67, HIF‑1α primary antibodies were obtained from Abcam. Flow cytometry antibodies (CD86, CD206, F4/80, </w:t>
      </w:r>
      <w:proofErr w:type="spellStart"/>
      <w:r w:rsidRPr="00797A30">
        <w:rPr>
          <w:rFonts w:ascii="Times New Roman" w:hAnsi="Times New Roman" w:cs="Times New Roman"/>
          <w:sz w:val="24"/>
        </w:rPr>
        <w:t>iNOS</w:t>
      </w:r>
      <w:proofErr w:type="spellEnd"/>
      <w:r w:rsidRPr="00797A30">
        <w:rPr>
          <w:rFonts w:ascii="Times New Roman" w:hAnsi="Times New Roman" w:cs="Times New Roman"/>
          <w:sz w:val="24"/>
        </w:rPr>
        <w:t xml:space="preserve">, CD3, CD8) were purchased from BD Biosciences. ELISA kits for TNF‑α, IL‑6, CCL22, IL‑10 were acquired from R&amp;D Systems. </w:t>
      </w:r>
      <w:proofErr w:type="spellStart"/>
      <w:r w:rsidRPr="00797A30">
        <w:rPr>
          <w:rFonts w:ascii="Times New Roman" w:hAnsi="Times New Roman" w:cs="Times New Roman"/>
          <w:sz w:val="24"/>
        </w:rPr>
        <w:t>Trizol</w:t>
      </w:r>
      <w:proofErr w:type="spellEnd"/>
      <w:r w:rsidRPr="00797A30">
        <w:rPr>
          <w:rFonts w:ascii="Times New Roman" w:hAnsi="Times New Roman" w:cs="Times New Roman"/>
          <w:sz w:val="24"/>
        </w:rPr>
        <w:t xml:space="preserve"> reagent, RNA‑easy RNA isolation kit, mRNA capture beads, strand‑specific library construction kits were obtained from Thermo Fisher Scientific. All other analytical‑grade chemical reagents were used without further purification.</w:t>
      </w:r>
      <w:r w:rsidR="00797A30">
        <w:rPr>
          <w:rFonts w:ascii="Times New Roman" w:hAnsi="Times New Roman" w:cs="Times New Roman"/>
          <w:sz w:val="24"/>
        </w:rPr>
        <w:t xml:space="preserve"> </w:t>
      </w:r>
      <w:r w:rsidRPr="00797A30">
        <w:rPr>
          <w:rFonts w:ascii="Times New Roman" w:hAnsi="Times New Roman" w:cs="Times New Roman"/>
          <w:sz w:val="24"/>
        </w:rPr>
        <w:t>HepG2 human hepatocellular carcinoma cell line was purchased from the American Type Culture Collection (ATCC). Vx2 tumor tissue for rabbit orthotopic HCC model was obtained from the laboratory‑preserved tumor bank. New Zealand white rabbits (male, 2.5‑3.0 kg) were purchased from the Laboratory Animal Center. All animal experiments were approved by the Institutional Animal Care and Use Committee (IACUC), and all operations complied with institutional guidelines.</w:t>
      </w:r>
    </w:p>
    <w:p w14:paraId="796EC713" w14:textId="124847C1" w:rsidR="00797A30" w:rsidRPr="00797A30" w:rsidRDefault="00797A30" w:rsidP="00797A30">
      <w:pPr>
        <w:spacing w:beforeLines="50" w:before="156" w:line="360" w:lineRule="auto"/>
        <w:rPr>
          <w:rFonts w:ascii="Times New Roman" w:hAnsi="Times New Roman" w:cs="Times New Roman"/>
          <w:b/>
          <w:sz w:val="24"/>
        </w:rPr>
      </w:pPr>
      <w:r w:rsidRPr="00797A30">
        <w:rPr>
          <w:rFonts w:ascii="Times New Roman" w:hAnsi="Times New Roman" w:cs="Times New Roman"/>
          <w:b/>
          <w:sz w:val="24"/>
        </w:rPr>
        <w:t xml:space="preserve">Cultivation of </w:t>
      </w:r>
      <w:proofErr w:type="spellStart"/>
      <w:r w:rsidRPr="00797A30">
        <w:rPr>
          <w:rFonts w:ascii="Times New Roman" w:hAnsi="Times New Roman" w:cs="Times New Roman"/>
          <w:b/>
          <w:sz w:val="24"/>
        </w:rPr>
        <w:t>Sp</w:t>
      </w:r>
      <w:proofErr w:type="spellEnd"/>
    </w:p>
    <w:p w14:paraId="05BC0999" w14:textId="425D4B40" w:rsidR="00797A30" w:rsidRDefault="00797A30" w:rsidP="00797A30">
      <w:pPr>
        <w:spacing w:line="360" w:lineRule="auto"/>
        <w:ind w:firstLineChars="200" w:firstLine="480"/>
        <w:rPr>
          <w:rFonts w:ascii="Times New Roman" w:hAnsi="Times New Roman" w:cs="Times New Roman"/>
          <w:sz w:val="24"/>
        </w:rPr>
      </w:pPr>
      <w:proofErr w:type="spellStart"/>
      <w:r w:rsidRPr="00797A30">
        <w:rPr>
          <w:rFonts w:ascii="Times New Roman" w:hAnsi="Times New Roman" w:cs="Times New Roman"/>
          <w:sz w:val="24"/>
        </w:rPr>
        <w:t>Sp</w:t>
      </w:r>
      <w:proofErr w:type="spellEnd"/>
      <w:r w:rsidRPr="00797A30">
        <w:rPr>
          <w:rFonts w:ascii="Times New Roman" w:hAnsi="Times New Roman" w:cs="Times New Roman"/>
          <w:sz w:val="24"/>
        </w:rPr>
        <w:t xml:space="preserve"> cells were cultured in BG‑11 liquid medium under continuous white‑light illumination (30 </w:t>
      </w:r>
      <w:proofErr w:type="spellStart"/>
      <w:r w:rsidRPr="00797A30">
        <w:rPr>
          <w:rFonts w:ascii="Times New Roman" w:hAnsi="Times New Roman" w:cs="Times New Roman"/>
          <w:sz w:val="24"/>
        </w:rPr>
        <w:t>μmol</w:t>
      </w:r>
      <w:proofErr w:type="spellEnd"/>
      <w:r w:rsidRPr="00797A30">
        <w:rPr>
          <w:rFonts w:ascii="Times New Roman" w:hAnsi="Times New Roman" w:cs="Times New Roman"/>
          <w:sz w:val="24"/>
        </w:rPr>
        <w:t xml:space="preserve"> photons m⁻² s⁻¹), at 28 °C with shaking at 120 rpm. For anaerobic hydrogen‑production assays, logarithmic‑phase </w:t>
      </w:r>
      <w:proofErr w:type="spellStart"/>
      <w:r w:rsidRPr="00797A30">
        <w:rPr>
          <w:rFonts w:ascii="Times New Roman" w:hAnsi="Times New Roman" w:cs="Times New Roman"/>
          <w:sz w:val="24"/>
        </w:rPr>
        <w:t>Sp</w:t>
      </w:r>
      <w:proofErr w:type="spellEnd"/>
      <w:r w:rsidRPr="00797A30">
        <w:rPr>
          <w:rFonts w:ascii="Times New Roman" w:hAnsi="Times New Roman" w:cs="Times New Roman"/>
          <w:sz w:val="24"/>
        </w:rPr>
        <w:t xml:space="preserve"> suspensions were purged with high‑purity N₂ for 30 min to establish anaerobic conditions. Oxygen‑rich groups were continuously aerated with compressed air. Cell density was monitored by measuring optical density at 730 nm (OD₇₃₀). For gas‑collection experiments, </w:t>
      </w:r>
      <w:proofErr w:type="spellStart"/>
      <w:r w:rsidRPr="00797A30">
        <w:rPr>
          <w:rFonts w:ascii="Times New Roman" w:hAnsi="Times New Roman" w:cs="Times New Roman"/>
          <w:sz w:val="24"/>
        </w:rPr>
        <w:t>Sp</w:t>
      </w:r>
      <w:proofErr w:type="spellEnd"/>
      <w:r w:rsidRPr="00797A30">
        <w:rPr>
          <w:rFonts w:ascii="Times New Roman" w:hAnsi="Times New Roman" w:cs="Times New Roman"/>
          <w:sz w:val="24"/>
        </w:rPr>
        <w:t xml:space="preserve"> suspensions were transferred into sealed gas‑tight vials; headspace gas was sampled at preset time points, and hydrogen concentration was quantified via gas‑phase mass spectrometry. </w:t>
      </w:r>
      <w:r w:rsidRPr="00797A30">
        <w:rPr>
          <w:rFonts w:ascii="Times New Roman" w:hAnsi="Times New Roman" w:cs="Times New Roman"/>
          <w:sz w:val="24"/>
        </w:rPr>
        <w:lastRenderedPageBreak/>
        <w:t xml:space="preserve">Methylene‑blue redox assays were performed to detect reducing metabolites derived from </w:t>
      </w:r>
      <w:proofErr w:type="spellStart"/>
      <w:r w:rsidRPr="00797A30">
        <w:rPr>
          <w:rFonts w:ascii="Times New Roman" w:hAnsi="Times New Roman" w:cs="Times New Roman"/>
          <w:sz w:val="24"/>
        </w:rPr>
        <w:t>Sp</w:t>
      </w:r>
      <w:proofErr w:type="spellEnd"/>
      <w:r w:rsidRPr="00797A30">
        <w:rPr>
          <w:rFonts w:ascii="Times New Roman" w:hAnsi="Times New Roman" w:cs="Times New Roman"/>
          <w:sz w:val="24"/>
        </w:rPr>
        <w:t xml:space="preserve"> anaerobic metabolism: MB solution was mixed with </w:t>
      </w:r>
      <w:proofErr w:type="spellStart"/>
      <w:r w:rsidRPr="00797A30">
        <w:rPr>
          <w:rFonts w:ascii="Times New Roman" w:hAnsi="Times New Roman" w:cs="Times New Roman"/>
          <w:sz w:val="24"/>
        </w:rPr>
        <w:t>Sp</w:t>
      </w:r>
      <w:proofErr w:type="spellEnd"/>
      <w:r w:rsidRPr="00797A30">
        <w:rPr>
          <w:rFonts w:ascii="Times New Roman" w:hAnsi="Times New Roman" w:cs="Times New Roman"/>
          <w:sz w:val="24"/>
        </w:rPr>
        <w:t xml:space="preserve"> suspensions under aerobic/anaerobic conditions, and UV‑Vis absorbance spectra (400–700 nm) were recorded.</w:t>
      </w:r>
    </w:p>
    <w:p w14:paraId="101C9DBC" w14:textId="4DF407F5" w:rsidR="008D1BE4" w:rsidRDefault="003A310A" w:rsidP="003A310A">
      <w:pPr>
        <w:spacing w:beforeLines="50" w:before="156" w:line="360" w:lineRule="auto"/>
        <w:rPr>
          <w:rFonts w:ascii="Times New Roman" w:hAnsi="Times New Roman" w:cs="Times New Roman"/>
          <w:b/>
          <w:sz w:val="24"/>
        </w:rPr>
      </w:pPr>
      <w:r w:rsidRPr="003A310A">
        <w:rPr>
          <w:rFonts w:ascii="Times New Roman" w:hAnsi="Times New Roman" w:cs="Times New Roman"/>
          <w:b/>
          <w:sz w:val="24"/>
        </w:rPr>
        <w:t xml:space="preserve">Microfluidic fabrication of hyaluronidase‑degradable </w:t>
      </w:r>
      <w:proofErr w:type="spellStart"/>
      <w:r w:rsidRPr="003A310A">
        <w:rPr>
          <w:rFonts w:ascii="Times New Roman" w:hAnsi="Times New Roman" w:cs="Times New Roman"/>
          <w:b/>
          <w:sz w:val="24"/>
        </w:rPr>
        <w:t>Sp</w:t>
      </w:r>
      <w:proofErr w:type="spellEnd"/>
      <w:r w:rsidRPr="003A310A">
        <w:rPr>
          <w:rFonts w:ascii="Times New Roman" w:hAnsi="Times New Roman" w:cs="Times New Roman"/>
          <w:b/>
          <w:sz w:val="24"/>
        </w:rPr>
        <w:t>/TPZ@MNs</w:t>
      </w:r>
    </w:p>
    <w:p w14:paraId="34441A68" w14:textId="4A7E89B7" w:rsidR="003A310A" w:rsidRPr="003A310A" w:rsidRDefault="003A310A" w:rsidP="00FB73F1">
      <w:pPr>
        <w:spacing w:line="360" w:lineRule="auto"/>
        <w:ind w:firstLineChars="200" w:firstLine="480"/>
        <w:rPr>
          <w:rFonts w:ascii="Times New Roman" w:hAnsi="Times New Roman" w:cs="Times New Roman"/>
          <w:sz w:val="24"/>
        </w:rPr>
      </w:pPr>
      <w:r w:rsidRPr="003A310A">
        <w:rPr>
          <w:rFonts w:ascii="Times New Roman" w:hAnsi="Times New Roman" w:cs="Times New Roman"/>
          <w:sz w:val="24"/>
        </w:rPr>
        <w:t xml:space="preserve">Monodisperse </w:t>
      </w:r>
      <w:proofErr w:type="spellStart"/>
      <w:r w:rsidRPr="003A310A">
        <w:rPr>
          <w:rFonts w:ascii="Times New Roman" w:hAnsi="Times New Roman" w:cs="Times New Roman"/>
          <w:sz w:val="24"/>
        </w:rPr>
        <w:t>Sp</w:t>
      </w:r>
      <w:proofErr w:type="spellEnd"/>
      <w:r w:rsidRPr="003A310A">
        <w:rPr>
          <w:rFonts w:ascii="Times New Roman" w:hAnsi="Times New Roman" w:cs="Times New Roman"/>
          <w:sz w:val="24"/>
        </w:rPr>
        <w:t>/TPZ@MNs microspheres were generated via a flow‑focusing PDMS microfluidic chip for water‑in‑oil (W/O) droplet generation.</w:t>
      </w:r>
      <w:r w:rsidR="005912C4">
        <w:rPr>
          <w:rFonts w:ascii="Times New Roman" w:hAnsi="Times New Roman" w:cs="Times New Roman" w:hint="eastAsia"/>
          <w:sz w:val="24"/>
        </w:rPr>
        <w:t xml:space="preserve"> </w:t>
      </w:r>
      <w:r w:rsidRPr="003A310A">
        <w:rPr>
          <w:rFonts w:ascii="Times New Roman" w:hAnsi="Times New Roman" w:cs="Times New Roman"/>
          <w:sz w:val="24"/>
        </w:rPr>
        <w:t xml:space="preserve">Dispersed phase (aqueous phase): 4 % (w/v) hyaluronic acid was dissolved in sterile PBS (pH 7.4). Log‑phase </w:t>
      </w:r>
      <w:proofErr w:type="spellStart"/>
      <w:r w:rsidRPr="003A310A">
        <w:rPr>
          <w:rFonts w:ascii="Times New Roman" w:hAnsi="Times New Roman" w:cs="Times New Roman"/>
          <w:sz w:val="24"/>
        </w:rPr>
        <w:t>Sp</w:t>
      </w:r>
      <w:proofErr w:type="spellEnd"/>
      <w:r w:rsidRPr="003A310A">
        <w:rPr>
          <w:rFonts w:ascii="Times New Roman" w:hAnsi="Times New Roman" w:cs="Times New Roman"/>
          <w:sz w:val="24"/>
        </w:rPr>
        <w:t xml:space="preserve"> cells were harvested by centrifugation (3000 g, 5 min), washed twice with sterile PBS, and gently resuspended in HA aqueous solution. TPZ powder was pre‑dissolved in DMSO and incorporated into the </w:t>
      </w:r>
      <w:proofErr w:type="spellStart"/>
      <w:r w:rsidRPr="003A310A">
        <w:rPr>
          <w:rFonts w:ascii="Times New Roman" w:hAnsi="Times New Roman" w:cs="Times New Roman"/>
          <w:sz w:val="24"/>
        </w:rPr>
        <w:t>Sp</w:t>
      </w:r>
      <w:proofErr w:type="spellEnd"/>
      <w:r w:rsidRPr="003A310A">
        <w:rPr>
          <w:rFonts w:ascii="Times New Roman" w:hAnsi="Times New Roman" w:cs="Times New Roman"/>
          <w:sz w:val="24"/>
        </w:rPr>
        <w:t xml:space="preserve">‑containing HA solution (final DMSO concentration &lt; 0.5 %, v/v). The mixture was homogenized gently at low speed to avoid cyanobacterial damage, yielding the bioactive dispersed phase containing live </w:t>
      </w:r>
      <w:proofErr w:type="spellStart"/>
      <w:r w:rsidRPr="003A310A">
        <w:rPr>
          <w:rFonts w:ascii="Times New Roman" w:hAnsi="Times New Roman" w:cs="Times New Roman"/>
          <w:sz w:val="24"/>
        </w:rPr>
        <w:t>Sp</w:t>
      </w:r>
      <w:proofErr w:type="spellEnd"/>
      <w:r w:rsidRPr="003A310A">
        <w:rPr>
          <w:rFonts w:ascii="Times New Roman" w:hAnsi="Times New Roman" w:cs="Times New Roman"/>
          <w:sz w:val="24"/>
        </w:rPr>
        <w:t xml:space="preserve"> and TPZ prodrug.</w:t>
      </w:r>
      <w:r w:rsidR="005912C4">
        <w:rPr>
          <w:rFonts w:ascii="Times New Roman" w:hAnsi="Times New Roman" w:cs="Times New Roman" w:hint="eastAsia"/>
          <w:sz w:val="24"/>
        </w:rPr>
        <w:t xml:space="preserve"> </w:t>
      </w:r>
      <w:r w:rsidRPr="003A310A">
        <w:rPr>
          <w:rFonts w:ascii="Times New Roman" w:hAnsi="Times New Roman" w:cs="Times New Roman"/>
          <w:sz w:val="24"/>
        </w:rPr>
        <w:t>Continuous phase (oil phase): Mineral oil supplemented with 2 % (v/v) Span‑80 was prepared as the continuous oil phase.</w:t>
      </w:r>
    </w:p>
    <w:p w14:paraId="6169FBC8" w14:textId="2E929B16" w:rsidR="003A310A" w:rsidRPr="003A310A" w:rsidRDefault="003A310A" w:rsidP="00FB73F1">
      <w:pPr>
        <w:spacing w:line="360" w:lineRule="auto"/>
        <w:ind w:firstLineChars="200" w:firstLine="480"/>
        <w:rPr>
          <w:rFonts w:ascii="Times New Roman" w:hAnsi="Times New Roman" w:cs="Times New Roman"/>
          <w:sz w:val="24"/>
        </w:rPr>
      </w:pPr>
      <w:r w:rsidRPr="003A310A">
        <w:rPr>
          <w:rFonts w:ascii="Times New Roman" w:hAnsi="Times New Roman" w:cs="Times New Roman"/>
          <w:sz w:val="24"/>
        </w:rPr>
        <w:t>The PDMS flow‑focusing microfluidic chip (orifice size: 100 </w:t>
      </w:r>
      <w:proofErr w:type="spellStart"/>
      <w:r w:rsidRPr="003A310A">
        <w:rPr>
          <w:rFonts w:ascii="Times New Roman" w:hAnsi="Times New Roman" w:cs="Times New Roman"/>
          <w:sz w:val="24"/>
        </w:rPr>
        <w:t>μm</w:t>
      </w:r>
      <w:proofErr w:type="spellEnd"/>
      <w:r w:rsidRPr="003A310A">
        <w:rPr>
          <w:rFonts w:ascii="Times New Roman" w:hAnsi="Times New Roman" w:cs="Times New Roman"/>
          <w:sz w:val="24"/>
        </w:rPr>
        <w:t>) was mounted on an inverted microscope. Two syringe pumps were applied to infuse the dispersed phase and continuous phase into respective chip inlets. The flow rates were optimized as: dispersed phase = 150 </w:t>
      </w:r>
      <w:proofErr w:type="spellStart"/>
      <w:r w:rsidRPr="003A310A">
        <w:rPr>
          <w:rFonts w:ascii="Times New Roman" w:hAnsi="Times New Roman" w:cs="Times New Roman"/>
          <w:sz w:val="24"/>
        </w:rPr>
        <w:t>μL</w:t>
      </w:r>
      <w:proofErr w:type="spellEnd"/>
      <w:r w:rsidRPr="003A310A">
        <w:rPr>
          <w:rFonts w:ascii="Times New Roman" w:hAnsi="Times New Roman" w:cs="Times New Roman"/>
          <w:sz w:val="24"/>
        </w:rPr>
        <w:t> h⁻¹, continuous phase = 1200 </w:t>
      </w:r>
      <w:proofErr w:type="spellStart"/>
      <w:r w:rsidRPr="003A310A">
        <w:rPr>
          <w:rFonts w:ascii="Times New Roman" w:hAnsi="Times New Roman" w:cs="Times New Roman"/>
          <w:sz w:val="24"/>
        </w:rPr>
        <w:t>μL</w:t>
      </w:r>
      <w:proofErr w:type="spellEnd"/>
      <w:r w:rsidRPr="003A310A">
        <w:rPr>
          <w:rFonts w:ascii="Times New Roman" w:hAnsi="Times New Roman" w:cs="Times New Roman"/>
          <w:sz w:val="24"/>
        </w:rPr>
        <w:t xml:space="preserve"> h⁻¹. Under stable shear‑focusing conditions, uniform W/O aqueous droplets containing </w:t>
      </w:r>
      <w:proofErr w:type="spellStart"/>
      <w:r w:rsidRPr="003A310A">
        <w:rPr>
          <w:rFonts w:ascii="Times New Roman" w:hAnsi="Times New Roman" w:cs="Times New Roman"/>
          <w:sz w:val="24"/>
        </w:rPr>
        <w:t>Sp</w:t>
      </w:r>
      <w:proofErr w:type="spellEnd"/>
      <w:r w:rsidRPr="003A310A">
        <w:rPr>
          <w:rFonts w:ascii="Times New Roman" w:hAnsi="Times New Roman" w:cs="Times New Roman"/>
          <w:sz w:val="24"/>
        </w:rPr>
        <w:t xml:space="preserve"> and TPZ were continuously generated at the flow‑focusing junction.</w:t>
      </w:r>
    </w:p>
    <w:p w14:paraId="39ED0325" w14:textId="77777777" w:rsidR="003A310A" w:rsidRPr="003A310A" w:rsidRDefault="003A310A" w:rsidP="00FB73F1">
      <w:pPr>
        <w:spacing w:line="360" w:lineRule="auto"/>
        <w:ind w:firstLineChars="200" w:firstLine="480"/>
        <w:rPr>
          <w:rFonts w:ascii="Times New Roman" w:hAnsi="Times New Roman" w:cs="Times New Roman"/>
          <w:sz w:val="24"/>
        </w:rPr>
      </w:pPr>
      <w:r w:rsidRPr="003A310A">
        <w:rPr>
          <w:rFonts w:ascii="Times New Roman" w:hAnsi="Times New Roman" w:cs="Times New Roman"/>
          <w:sz w:val="24"/>
        </w:rPr>
        <w:t xml:space="preserve">Droplets flowed out from the chip outlet and were collected into a glass vial pre‑filled with pre‑cooled mineral‑oil medium containing dissolved crosslinker 1,4‑butanediol </w:t>
      </w:r>
      <w:proofErr w:type="spellStart"/>
      <w:r w:rsidRPr="003A310A">
        <w:rPr>
          <w:rFonts w:ascii="Times New Roman" w:hAnsi="Times New Roman" w:cs="Times New Roman"/>
          <w:sz w:val="24"/>
        </w:rPr>
        <w:t>diglycidyl</w:t>
      </w:r>
      <w:proofErr w:type="spellEnd"/>
      <w:r w:rsidRPr="003A310A">
        <w:rPr>
          <w:rFonts w:ascii="Times New Roman" w:hAnsi="Times New Roman" w:cs="Times New Roman"/>
          <w:sz w:val="24"/>
        </w:rPr>
        <w:t xml:space="preserve"> ether (BDE). Crosslinking reaction proceeded under gentle shaking at 37 °C for 3 h to form covalently cross‑linked HA hydrogel microspheres. After crosslinking completion, microspheres were recovered by centrifugation (800 g, 3 min). Residual oil phase and surfactant were removed by repeated washing with n‑hexane followed by sterile cold PBS‑BG‑11 mixed buffer.</w:t>
      </w:r>
    </w:p>
    <w:p w14:paraId="25E21746" w14:textId="49545C68" w:rsidR="003A310A" w:rsidRDefault="003A310A" w:rsidP="00FB73F1">
      <w:pPr>
        <w:spacing w:line="360" w:lineRule="auto"/>
        <w:ind w:firstLineChars="200" w:firstLine="480"/>
        <w:rPr>
          <w:rFonts w:ascii="Times New Roman" w:hAnsi="Times New Roman" w:cs="Times New Roman"/>
          <w:sz w:val="24"/>
        </w:rPr>
      </w:pPr>
      <w:r w:rsidRPr="003A310A">
        <w:rPr>
          <w:rFonts w:ascii="Times New Roman" w:hAnsi="Times New Roman" w:cs="Times New Roman"/>
          <w:sz w:val="24"/>
        </w:rPr>
        <w:t xml:space="preserve">Control groups including blank MNs, </w:t>
      </w:r>
      <w:proofErr w:type="spellStart"/>
      <w:r w:rsidRPr="003A310A">
        <w:rPr>
          <w:rFonts w:ascii="Times New Roman" w:hAnsi="Times New Roman" w:cs="Times New Roman"/>
          <w:sz w:val="24"/>
        </w:rPr>
        <w:t>Sp@Ms</w:t>
      </w:r>
      <w:proofErr w:type="spellEnd"/>
      <w:r w:rsidRPr="003A310A">
        <w:rPr>
          <w:rFonts w:ascii="Times New Roman" w:hAnsi="Times New Roman" w:cs="Times New Roman"/>
          <w:sz w:val="24"/>
        </w:rPr>
        <w:t xml:space="preserve"> and TPZ@Ms were fabricated </w:t>
      </w:r>
      <w:r w:rsidRPr="003A310A">
        <w:rPr>
          <w:rFonts w:ascii="Times New Roman" w:hAnsi="Times New Roman" w:cs="Times New Roman"/>
          <w:sz w:val="24"/>
        </w:rPr>
        <w:lastRenderedPageBreak/>
        <w:t xml:space="preserve">under identical microfluidic parameters, with corresponding payload omitted. All microspheres were stored at 4 °C in sterile PBS supplemented with diluted BG‑11 medium to maintain </w:t>
      </w:r>
      <w:proofErr w:type="spellStart"/>
      <w:r w:rsidRPr="003A310A">
        <w:rPr>
          <w:rFonts w:ascii="Times New Roman" w:hAnsi="Times New Roman" w:cs="Times New Roman"/>
          <w:sz w:val="24"/>
        </w:rPr>
        <w:t>Sp</w:t>
      </w:r>
      <w:proofErr w:type="spellEnd"/>
      <w:r w:rsidRPr="003A310A">
        <w:rPr>
          <w:rFonts w:ascii="Times New Roman" w:hAnsi="Times New Roman" w:cs="Times New Roman"/>
          <w:sz w:val="24"/>
        </w:rPr>
        <w:t xml:space="preserve"> viability and metabolic activity. For confocal visualization of payload distribution, TPZ was replaced by FITC‑dextran with comparable molecular weight.</w:t>
      </w:r>
    </w:p>
    <w:p w14:paraId="1ED3D3B5" w14:textId="77777777" w:rsidR="00FB73F1" w:rsidRPr="00FB73F1" w:rsidRDefault="00FB73F1" w:rsidP="00FB73F1">
      <w:pPr>
        <w:spacing w:beforeLines="50" w:before="156" w:line="360" w:lineRule="auto"/>
        <w:rPr>
          <w:rFonts w:ascii="Times New Roman" w:hAnsi="Times New Roman" w:cs="Times New Roman"/>
          <w:b/>
          <w:sz w:val="24"/>
        </w:rPr>
      </w:pPr>
      <w:r w:rsidRPr="00FB73F1">
        <w:rPr>
          <w:rFonts w:ascii="Times New Roman" w:hAnsi="Times New Roman" w:cs="Times New Roman"/>
          <w:b/>
          <w:sz w:val="24"/>
        </w:rPr>
        <w:t xml:space="preserve">Physicochemical characterizations of </w:t>
      </w:r>
      <w:proofErr w:type="spellStart"/>
      <w:r w:rsidRPr="00FB73F1">
        <w:rPr>
          <w:rFonts w:ascii="Times New Roman" w:hAnsi="Times New Roman" w:cs="Times New Roman"/>
          <w:b/>
          <w:sz w:val="24"/>
        </w:rPr>
        <w:t>Sp</w:t>
      </w:r>
      <w:proofErr w:type="spellEnd"/>
      <w:r w:rsidRPr="00FB73F1">
        <w:rPr>
          <w:rFonts w:ascii="Times New Roman" w:hAnsi="Times New Roman" w:cs="Times New Roman"/>
          <w:b/>
          <w:sz w:val="24"/>
        </w:rPr>
        <w:t>/TPZ@MNs</w:t>
      </w:r>
    </w:p>
    <w:p w14:paraId="4469CB36" w14:textId="245B7BDE" w:rsidR="00FB73F1" w:rsidRDefault="00FB73F1" w:rsidP="00FB73F1">
      <w:pPr>
        <w:spacing w:line="360" w:lineRule="auto"/>
        <w:ind w:firstLineChars="200" w:firstLine="480"/>
        <w:rPr>
          <w:rFonts w:ascii="Times New Roman" w:hAnsi="Times New Roman" w:cs="Times New Roman"/>
          <w:sz w:val="24"/>
        </w:rPr>
      </w:pPr>
      <w:r w:rsidRPr="00FB73F1">
        <w:rPr>
          <w:rFonts w:ascii="Times New Roman" w:hAnsi="Times New Roman" w:cs="Times New Roman"/>
          <w:sz w:val="24"/>
        </w:rPr>
        <w:t xml:space="preserve">Scanning electron microscopy (SEM): Purified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 xml:space="preserve"> cells and lyophilized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/TPZ@MNs were fixed onto conductive adhesive tapes, sputter‑coated with platinum, and imaged under a field‑emission SEM (Zeiss Sigma 300) to record surface morphology.</w:t>
      </w:r>
      <w:r w:rsidR="00615BFA">
        <w:rPr>
          <w:rFonts w:ascii="Times New Roman" w:hAnsi="Times New Roman" w:cs="Times New Roman"/>
          <w:sz w:val="24"/>
        </w:rPr>
        <w:t xml:space="preserve"> </w:t>
      </w:r>
      <w:r w:rsidRPr="00FB73F1">
        <w:rPr>
          <w:rFonts w:ascii="Times New Roman" w:hAnsi="Times New Roman" w:cs="Times New Roman"/>
          <w:sz w:val="24"/>
        </w:rPr>
        <w:t xml:space="preserve">Laser confocal scanning microscopy (LCSM):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 xml:space="preserve"> intrinsic red autofluorescence (phycobiliprotein, Ex = 550 nm, Em = 620–680 nm) and FITC‑labelled payload green fluorescence (Ex = 488 nm, Em = 500–540 nm) were detected under confocal microscope. Particle‑size distribution statistics were analyzed from confocal and optical‑microscopy images using ImageJ software. The coefficient of variation (CV) of microsphere diameter was calculated to evaluate </w:t>
      </w:r>
      <w:proofErr w:type="spellStart"/>
      <w:r w:rsidRPr="00FB73F1">
        <w:rPr>
          <w:rFonts w:ascii="Times New Roman" w:hAnsi="Times New Roman" w:cs="Times New Roman"/>
          <w:sz w:val="24"/>
        </w:rPr>
        <w:t>monodispersity</w:t>
      </w:r>
      <w:proofErr w:type="spellEnd"/>
      <w:r w:rsidRPr="00FB73F1">
        <w:rPr>
          <w:rFonts w:ascii="Times New Roman" w:hAnsi="Times New Roman" w:cs="Times New Roman"/>
          <w:sz w:val="24"/>
        </w:rPr>
        <w:t xml:space="preserve"> of microfluidic‑prepared microspheres.</w:t>
      </w:r>
      <w:r w:rsidR="00615BFA">
        <w:rPr>
          <w:rFonts w:ascii="Times New Roman" w:hAnsi="Times New Roman" w:cs="Times New Roman"/>
          <w:sz w:val="24"/>
        </w:rPr>
        <w:t xml:space="preserve">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 xml:space="preserve"> viability and hydrogen‑production assay post‑encapsulation: Free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 xml:space="preserve"> and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 xml:space="preserve"> encapsulated within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 xml:space="preserve">/TPZ@MNs were incubated for 48 h under identical culture conditions.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 xml:space="preserve"> viability was quantified via live/dead bacterial staining. Hydrogen production was measured by gas‑phase mass spectrometry in sealed anaerobic vials.</w:t>
      </w:r>
      <w:r w:rsidR="00615BFA">
        <w:rPr>
          <w:rFonts w:ascii="Times New Roman" w:hAnsi="Times New Roman" w:cs="Times New Roman"/>
          <w:sz w:val="24"/>
        </w:rPr>
        <w:t xml:space="preserve"> </w:t>
      </w:r>
      <w:r w:rsidRPr="00FB73F1">
        <w:rPr>
          <w:rFonts w:ascii="Times New Roman" w:hAnsi="Times New Roman" w:cs="Times New Roman"/>
          <w:sz w:val="24"/>
        </w:rPr>
        <w:t xml:space="preserve">Enzyme‑responsive degradation assay: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/TPZ@MNs were immersed in PBS containing 0, 25, 50 U mL⁻¹ hyaluronidase at 37 °C. At predetermined time intervals, residual microsphere weight was recorded, and residual weight percentage was calculated (n = 3 biological replicates).</w:t>
      </w:r>
      <w:r w:rsidR="00615BFA">
        <w:rPr>
          <w:rFonts w:ascii="Times New Roman" w:hAnsi="Times New Roman" w:cs="Times New Roman"/>
          <w:sz w:val="24"/>
        </w:rPr>
        <w:t xml:space="preserve"> </w:t>
      </w:r>
      <w:r w:rsidRPr="00FB73F1">
        <w:rPr>
          <w:rFonts w:ascii="Times New Roman" w:hAnsi="Times New Roman" w:cs="Times New Roman"/>
          <w:sz w:val="24"/>
        </w:rPr>
        <w:t>Rheological characterization: Rheological measurements were performed on a rotational rheometer (TA Instruments). Shear‑rate sweep (0.1–100 s⁻¹) was applied to record viscosity‑shear‑rate curves. Oscillatory strain sweep was conducted to acquire storage modulus (G′) and loss modulus (G′′).</w:t>
      </w:r>
      <w:r w:rsidR="00615BFA">
        <w:rPr>
          <w:rFonts w:ascii="Times New Roman" w:hAnsi="Times New Roman" w:cs="Times New Roman"/>
          <w:sz w:val="24"/>
        </w:rPr>
        <w:t xml:space="preserve"> </w:t>
      </w:r>
      <w:r w:rsidRPr="00FB73F1">
        <w:rPr>
          <w:rFonts w:ascii="Times New Roman" w:hAnsi="Times New Roman" w:cs="Times New Roman"/>
          <w:sz w:val="24"/>
        </w:rPr>
        <w:t xml:space="preserve">Compression mechanical test: Compression force‑deformation curves of blank MNs and </w:t>
      </w:r>
      <w:proofErr w:type="spellStart"/>
      <w:r w:rsidRPr="00FB73F1">
        <w:rPr>
          <w:rFonts w:ascii="Times New Roman" w:hAnsi="Times New Roman" w:cs="Times New Roman"/>
          <w:sz w:val="24"/>
        </w:rPr>
        <w:t>Sp</w:t>
      </w:r>
      <w:proofErr w:type="spellEnd"/>
      <w:r w:rsidRPr="00FB73F1">
        <w:rPr>
          <w:rFonts w:ascii="Times New Roman" w:hAnsi="Times New Roman" w:cs="Times New Roman"/>
          <w:sz w:val="24"/>
        </w:rPr>
        <w:t>/TPZ@MNs were measured using a universal mechanical tester.</w:t>
      </w:r>
    </w:p>
    <w:p w14:paraId="64ABCADD" w14:textId="7E41000B" w:rsidR="00615BFA" w:rsidRDefault="00615BFA" w:rsidP="00615BFA">
      <w:pPr>
        <w:spacing w:line="360" w:lineRule="auto"/>
        <w:rPr>
          <w:rFonts w:ascii="Times New Roman" w:hAnsi="Times New Roman" w:cs="Times New Roman"/>
          <w:b/>
          <w:sz w:val="24"/>
        </w:rPr>
      </w:pPr>
      <w:r w:rsidRPr="00615BFA">
        <w:rPr>
          <w:rFonts w:ascii="Times New Roman" w:hAnsi="Times New Roman" w:cs="Times New Roman"/>
          <w:b/>
          <w:sz w:val="24"/>
        </w:rPr>
        <w:t>In‑vitro cell experiments</w:t>
      </w:r>
    </w:p>
    <w:p w14:paraId="1EAB99FD" w14:textId="7B0EF9DF" w:rsidR="00615BFA" w:rsidRDefault="00615BFA" w:rsidP="00615BFA">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lastRenderedPageBreak/>
        <w:t>Cell culture:</w:t>
      </w:r>
      <w:r>
        <w:rPr>
          <w:rFonts w:ascii="Times New Roman" w:hAnsi="Times New Roman" w:cs="Times New Roman"/>
          <w:sz w:val="24"/>
        </w:rPr>
        <w:t xml:space="preserve"> </w:t>
      </w:r>
      <w:r w:rsidRPr="00615BFA">
        <w:rPr>
          <w:rFonts w:ascii="Times New Roman" w:hAnsi="Times New Roman" w:cs="Times New Roman"/>
          <w:sz w:val="24"/>
        </w:rPr>
        <w:t>HepG2 cells were cultured in DMEM complete medium supplemented with 10 % fetal bovine serum, 100 U mL⁻¹ penicillin and 100 </w:t>
      </w:r>
      <w:proofErr w:type="spellStart"/>
      <w:r w:rsidRPr="00615BFA">
        <w:rPr>
          <w:rFonts w:ascii="Times New Roman" w:hAnsi="Times New Roman" w:cs="Times New Roman"/>
          <w:sz w:val="24"/>
        </w:rPr>
        <w:t>μg</w:t>
      </w:r>
      <w:proofErr w:type="spellEnd"/>
      <w:r w:rsidRPr="00615BFA">
        <w:rPr>
          <w:rFonts w:ascii="Times New Roman" w:hAnsi="Times New Roman" w:cs="Times New Roman"/>
          <w:sz w:val="24"/>
        </w:rPr>
        <w:t xml:space="preserve"> mL⁻¹ streptomycin, incubated at 37 °C under 5 % CO₂. </w:t>
      </w:r>
      <w:proofErr w:type="spellStart"/>
      <w:r w:rsidRPr="00615BFA">
        <w:rPr>
          <w:rFonts w:ascii="Times New Roman" w:hAnsi="Times New Roman" w:cs="Times New Roman"/>
          <w:sz w:val="24"/>
        </w:rPr>
        <w:t>Normoxic</w:t>
      </w:r>
      <w:proofErr w:type="spellEnd"/>
      <w:r w:rsidRPr="00615BFA">
        <w:rPr>
          <w:rFonts w:ascii="Times New Roman" w:hAnsi="Times New Roman" w:cs="Times New Roman"/>
          <w:sz w:val="24"/>
        </w:rPr>
        <w:t xml:space="preserve"> condition: 21 % O₂, 5 % CO₂; hypoxic condition: 1 % O₂, 5 % CO₂, 94 % N₂.</w:t>
      </w:r>
    </w:p>
    <w:p w14:paraId="0894E6D0" w14:textId="716BCFDC" w:rsidR="009859DF" w:rsidRDefault="009859DF" w:rsidP="009859DF">
      <w:pPr>
        <w:spacing w:line="360" w:lineRule="auto"/>
        <w:ind w:firstLineChars="200" w:firstLine="480"/>
        <w:rPr>
          <w:rFonts w:ascii="Times New Roman" w:hAnsi="Times New Roman" w:cs="Times New Roman"/>
          <w:sz w:val="24"/>
        </w:rPr>
      </w:pPr>
      <w:r w:rsidRPr="009859DF">
        <w:rPr>
          <w:rFonts w:ascii="Times New Roman" w:hAnsi="Times New Roman" w:cs="Times New Roman"/>
          <w:sz w:val="24"/>
        </w:rPr>
        <w:t xml:space="preserve">All in‑vitro cellular assays were performed under both </w:t>
      </w:r>
      <w:proofErr w:type="spellStart"/>
      <w:r w:rsidRPr="009859DF">
        <w:rPr>
          <w:rFonts w:ascii="Times New Roman" w:hAnsi="Times New Roman" w:cs="Times New Roman"/>
          <w:sz w:val="24"/>
        </w:rPr>
        <w:t>normoxia</w:t>
      </w:r>
      <w:proofErr w:type="spellEnd"/>
      <w:r w:rsidRPr="009859DF">
        <w:rPr>
          <w:rFonts w:ascii="Times New Roman" w:hAnsi="Times New Roman" w:cs="Times New Roman"/>
          <w:sz w:val="24"/>
        </w:rPr>
        <w:t xml:space="preserve"> and hypoxia conditions with identical treatment groups</w:t>
      </w:r>
      <w:r>
        <w:rPr>
          <w:rFonts w:ascii="Times New Roman" w:hAnsi="Times New Roman" w:cs="Times New Roman"/>
          <w:sz w:val="24"/>
        </w:rPr>
        <w:t>, including (</w:t>
      </w:r>
      <w:r w:rsidRPr="009859DF">
        <w:rPr>
          <w:rFonts w:ascii="Times New Roman" w:hAnsi="Times New Roman" w:cs="Times New Roman"/>
          <w:sz w:val="24"/>
        </w:rPr>
        <w:t>1</w:t>
      </w:r>
      <w:r>
        <w:rPr>
          <w:rFonts w:ascii="Times New Roman" w:hAnsi="Times New Roman" w:cs="Times New Roman"/>
          <w:sz w:val="24"/>
        </w:rPr>
        <w:t>)</w:t>
      </w:r>
      <w:r w:rsidRPr="009859DF">
        <w:rPr>
          <w:rFonts w:ascii="Times New Roman" w:hAnsi="Times New Roman" w:cs="Times New Roman"/>
          <w:sz w:val="24"/>
        </w:rPr>
        <w:t xml:space="preserve"> Control: culture medium only</w:t>
      </w:r>
      <w:r>
        <w:rPr>
          <w:rFonts w:ascii="Times New Roman" w:hAnsi="Times New Roman" w:cs="Times New Roman"/>
          <w:sz w:val="24"/>
        </w:rPr>
        <w:t>, (</w:t>
      </w:r>
      <w:r w:rsidRPr="009859DF">
        <w:rPr>
          <w:rFonts w:ascii="Times New Roman" w:hAnsi="Times New Roman" w:cs="Times New Roman"/>
          <w:sz w:val="24"/>
        </w:rPr>
        <w:t>2</w:t>
      </w:r>
      <w:r>
        <w:rPr>
          <w:rFonts w:ascii="Times New Roman" w:hAnsi="Times New Roman" w:cs="Times New Roman"/>
          <w:sz w:val="24"/>
        </w:rPr>
        <w:t>)</w:t>
      </w:r>
      <w:r w:rsidRPr="009859DF">
        <w:rPr>
          <w:rFonts w:ascii="Times New Roman" w:hAnsi="Times New Roman" w:cs="Times New Roman"/>
          <w:sz w:val="24"/>
        </w:rPr>
        <w:t xml:space="preserve"> Blank MNs: blank hyaluronic acid microspheres (without </w:t>
      </w:r>
      <w:proofErr w:type="spellStart"/>
      <w:r w:rsidRPr="009859DF">
        <w:rPr>
          <w:rFonts w:ascii="Times New Roman" w:hAnsi="Times New Roman" w:cs="Times New Roman"/>
          <w:sz w:val="24"/>
        </w:rPr>
        <w:t>Sp</w:t>
      </w:r>
      <w:proofErr w:type="spellEnd"/>
      <w:r w:rsidRPr="009859DF">
        <w:rPr>
          <w:rFonts w:ascii="Times New Roman" w:hAnsi="Times New Roman" w:cs="Times New Roman"/>
          <w:sz w:val="24"/>
        </w:rPr>
        <w:t xml:space="preserve"> and TPZ)</w:t>
      </w:r>
      <w:r>
        <w:rPr>
          <w:rFonts w:ascii="Times New Roman" w:hAnsi="Times New Roman" w:cs="Times New Roman"/>
          <w:sz w:val="24"/>
        </w:rPr>
        <w:t xml:space="preserve"> (</w:t>
      </w:r>
      <w:r w:rsidRPr="009859DF">
        <w:rPr>
          <w:rFonts w:ascii="Times New Roman" w:hAnsi="Times New Roman" w:cs="Times New Roman"/>
          <w:sz w:val="24"/>
        </w:rPr>
        <w:t>3</w:t>
      </w:r>
      <w:r>
        <w:rPr>
          <w:rFonts w:ascii="Times New Roman" w:hAnsi="Times New Roman" w:cs="Times New Roman"/>
          <w:sz w:val="24"/>
        </w:rPr>
        <w:t>)</w:t>
      </w:r>
      <w:r w:rsidRPr="009859DF">
        <w:rPr>
          <w:rFonts w:ascii="Times New Roman" w:hAnsi="Times New Roman" w:cs="Times New Roman"/>
          <w:sz w:val="24"/>
        </w:rPr>
        <w:t xml:space="preserve"> </w:t>
      </w:r>
      <w:proofErr w:type="spellStart"/>
      <w:r w:rsidRPr="009859DF">
        <w:rPr>
          <w:rFonts w:ascii="Times New Roman" w:hAnsi="Times New Roman" w:cs="Times New Roman"/>
          <w:sz w:val="24"/>
        </w:rPr>
        <w:t>Sp@Ms</w:t>
      </w:r>
      <w:proofErr w:type="spellEnd"/>
      <w:r w:rsidRPr="009859DF">
        <w:rPr>
          <w:rFonts w:ascii="Times New Roman" w:hAnsi="Times New Roman" w:cs="Times New Roman"/>
          <w:sz w:val="24"/>
        </w:rPr>
        <w:t xml:space="preserve">: microspheres encapsulating only </w:t>
      </w:r>
      <w:proofErr w:type="spellStart"/>
      <w:r w:rsidRPr="009859DF">
        <w:rPr>
          <w:rFonts w:ascii="Times New Roman" w:hAnsi="Times New Roman" w:cs="Times New Roman"/>
          <w:sz w:val="24"/>
        </w:rPr>
        <w:t>Sp</w:t>
      </w:r>
      <w:proofErr w:type="spellEnd"/>
      <w:r>
        <w:rPr>
          <w:rFonts w:ascii="Times New Roman" w:hAnsi="Times New Roman" w:cs="Times New Roman"/>
          <w:sz w:val="24"/>
        </w:rPr>
        <w:t>, (</w:t>
      </w:r>
      <w:r w:rsidRPr="009859DF">
        <w:rPr>
          <w:rFonts w:ascii="Times New Roman" w:hAnsi="Times New Roman" w:cs="Times New Roman"/>
          <w:sz w:val="24"/>
        </w:rPr>
        <w:t>4</w:t>
      </w:r>
      <w:r>
        <w:rPr>
          <w:rFonts w:ascii="Times New Roman" w:hAnsi="Times New Roman" w:cs="Times New Roman"/>
          <w:sz w:val="24"/>
        </w:rPr>
        <w:t>)</w:t>
      </w:r>
      <w:r w:rsidRPr="009859DF">
        <w:rPr>
          <w:rFonts w:ascii="Times New Roman" w:hAnsi="Times New Roman" w:cs="Times New Roman"/>
          <w:sz w:val="24"/>
        </w:rPr>
        <w:t xml:space="preserve"> TPZ@Ms: microspheres encapsulating only </w:t>
      </w:r>
      <w:proofErr w:type="spellStart"/>
      <w:r w:rsidRPr="009859DF">
        <w:rPr>
          <w:rFonts w:ascii="Times New Roman" w:hAnsi="Times New Roman" w:cs="Times New Roman"/>
          <w:sz w:val="24"/>
        </w:rPr>
        <w:t>tirapazamine</w:t>
      </w:r>
      <w:proofErr w:type="spellEnd"/>
      <w:r w:rsidRPr="009859DF">
        <w:rPr>
          <w:rFonts w:ascii="Times New Roman" w:hAnsi="Times New Roman" w:cs="Times New Roman"/>
          <w:sz w:val="24"/>
        </w:rPr>
        <w:t xml:space="preserve"> TPZ</w:t>
      </w:r>
      <w:r w:rsidR="002B500A">
        <w:rPr>
          <w:rFonts w:ascii="Times New Roman" w:hAnsi="Times New Roman" w:cs="Times New Roman"/>
          <w:sz w:val="24"/>
        </w:rPr>
        <w:t>, and (</w:t>
      </w:r>
      <w:r w:rsidRPr="009859DF">
        <w:rPr>
          <w:rFonts w:ascii="Times New Roman" w:hAnsi="Times New Roman" w:cs="Times New Roman"/>
          <w:sz w:val="24"/>
        </w:rPr>
        <w:t>5</w:t>
      </w:r>
      <w:r w:rsidR="002B500A">
        <w:rPr>
          <w:rFonts w:ascii="Times New Roman" w:hAnsi="Times New Roman" w:cs="Times New Roman"/>
          <w:sz w:val="24"/>
        </w:rPr>
        <w:t>)</w:t>
      </w:r>
      <w:r w:rsidRPr="009859DF">
        <w:rPr>
          <w:rFonts w:ascii="Times New Roman" w:hAnsi="Times New Roman" w:cs="Times New Roman"/>
          <w:sz w:val="24"/>
        </w:rPr>
        <w:t xml:space="preserve"> </w:t>
      </w:r>
      <w:proofErr w:type="spellStart"/>
      <w:r w:rsidRPr="009859DF">
        <w:rPr>
          <w:rFonts w:ascii="Times New Roman" w:hAnsi="Times New Roman" w:cs="Times New Roman"/>
          <w:sz w:val="24"/>
        </w:rPr>
        <w:t>Sp</w:t>
      </w:r>
      <w:proofErr w:type="spellEnd"/>
      <w:r w:rsidRPr="009859DF">
        <w:rPr>
          <w:rFonts w:ascii="Times New Roman" w:hAnsi="Times New Roman" w:cs="Times New Roman"/>
          <w:sz w:val="24"/>
        </w:rPr>
        <w:t xml:space="preserve">/TPZ@MNs: microspheres co‑encapsulating </w:t>
      </w:r>
      <w:proofErr w:type="spellStart"/>
      <w:r w:rsidRPr="009859DF">
        <w:rPr>
          <w:rFonts w:ascii="Times New Roman" w:hAnsi="Times New Roman" w:cs="Times New Roman"/>
          <w:sz w:val="24"/>
        </w:rPr>
        <w:t>Sp</w:t>
      </w:r>
      <w:proofErr w:type="spellEnd"/>
      <w:r w:rsidRPr="009859DF">
        <w:rPr>
          <w:rFonts w:ascii="Times New Roman" w:hAnsi="Times New Roman" w:cs="Times New Roman"/>
          <w:sz w:val="24"/>
        </w:rPr>
        <w:t xml:space="preserve"> and TPZ</w:t>
      </w:r>
      <w:r w:rsidR="002B500A">
        <w:rPr>
          <w:rFonts w:ascii="Times New Roman" w:hAnsi="Times New Roman" w:cs="Times New Roman"/>
          <w:sz w:val="24"/>
        </w:rPr>
        <w:t>.</w:t>
      </w:r>
      <w:r w:rsidRPr="009859DF">
        <w:rPr>
          <w:rFonts w:ascii="Times New Roman" w:hAnsi="Times New Roman" w:cs="Times New Roman"/>
          <w:sz w:val="24"/>
        </w:rPr>
        <w:t xml:space="preserve"> Microsphere dosage was normalized to an identical mass concentration across all groups. Each group contained at least three biological replicates for phenotype detection.</w:t>
      </w:r>
    </w:p>
    <w:p w14:paraId="501225E1" w14:textId="7FFEB1CF" w:rsidR="002B500A" w:rsidRDefault="002B500A" w:rsidP="002B500A">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t>CCK‑8 cell viability assay:</w:t>
      </w:r>
      <w:r>
        <w:rPr>
          <w:rFonts w:ascii="Times New Roman" w:hAnsi="Times New Roman" w:cs="Times New Roman"/>
          <w:sz w:val="24"/>
        </w:rPr>
        <w:t xml:space="preserve"> </w:t>
      </w:r>
      <w:r w:rsidRPr="002B500A">
        <w:rPr>
          <w:rFonts w:ascii="Times New Roman" w:hAnsi="Times New Roman" w:cs="Times New Roman"/>
          <w:sz w:val="24"/>
        </w:rPr>
        <w:t xml:space="preserve">HepG2 cells were seeded into 96‑well plates. After attachment, culture medium was replaced with medium containing different microsphere formulations, and cells were incubated under </w:t>
      </w:r>
      <w:proofErr w:type="spellStart"/>
      <w:r w:rsidRPr="002B500A">
        <w:rPr>
          <w:rFonts w:ascii="Times New Roman" w:hAnsi="Times New Roman" w:cs="Times New Roman"/>
          <w:sz w:val="24"/>
        </w:rPr>
        <w:t>normoxia</w:t>
      </w:r>
      <w:proofErr w:type="spellEnd"/>
      <w:r w:rsidRPr="002B500A">
        <w:rPr>
          <w:rFonts w:ascii="Times New Roman" w:hAnsi="Times New Roman" w:cs="Times New Roman"/>
          <w:sz w:val="24"/>
        </w:rPr>
        <w:t>/hypoxia. After 24 h incubation, CCK‑8 reagent was added into each well. Absorbance at 450 nm was measured by microplate reader to calculate relative cell viability (n = </w:t>
      </w:r>
      <w:r>
        <w:rPr>
          <w:rFonts w:ascii="Times New Roman" w:hAnsi="Times New Roman" w:cs="Times New Roman"/>
          <w:sz w:val="24"/>
        </w:rPr>
        <w:t>5</w:t>
      </w:r>
      <w:r w:rsidRPr="002B500A">
        <w:rPr>
          <w:rFonts w:ascii="Times New Roman" w:hAnsi="Times New Roman" w:cs="Times New Roman"/>
          <w:sz w:val="24"/>
        </w:rPr>
        <w:t xml:space="preserve"> biological replicates).</w:t>
      </w:r>
    </w:p>
    <w:p w14:paraId="6031182C" w14:textId="5D0E722B" w:rsidR="0046707D" w:rsidRPr="0046707D" w:rsidRDefault="0046707D" w:rsidP="0046707D">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t xml:space="preserve">Apoptosis detection by flow cytometry: </w:t>
      </w:r>
      <w:r w:rsidRPr="0046707D">
        <w:rPr>
          <w:rFonts w:ascii="Times New Roman" w:hAnsi="Times New Roman" w:cs="Times New Roman"/>
          <w:sz w:val="24"/>
        </w:rPr>
        <w:t>HepG2 cells after different treatments were harvested, washed with pre‑cooled PBS, stained with Annexin V‑FITC/PI apoptosis detection kit according to manufacturer’s instructions. Apoptosis proportions were analyzed by flow cytometry.</w:t>
      </w:r>
    </w:p>
    <w:p w14:paraId="5E94B9CA" w14:textId="2912E64F" w:rsidR="0046707D" w:rsidRPr="0046707D" w:rsidRDefault="0046707D" w:rsidP="0046707D">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t xml:space="preserve">Live/dead confocal staining: </w:t>
      </w:r>
      <w:r w:rsidRPr="0046707D">
        <w:rPr>
          <w:rFonts w:ascii="Times New Roman" w:hAnsi="Times New Roman" w:cs="Times New Roman"/>
          <w:sz w:val="24"/>
        </w:rPr>
        <w:t xml:space="preserve">After treatment, HepG2 cells were stained with </w:t>
      </w:r>
      <w:proofErr w:type="spellStart"/>
      <w:r w:rsidRPr="0046707D">
        <w:rPr>
          <w:rFonts w:ascii="Times New Roman" w:hAnsi="Times New Roman" w:cs="Times New Roman"/>
          <w:sz w:val="24"/>
        </w:rPr>
        <w:t>Calcein</w:t>
      </w:r>
      <w:proofErr w:type="spellEnd"/>
      <w:r w:rsidRPr="0046707D">
        <w:rPr>
          <w:rFonts w:ascii="Times New Roman" w:hAnsi="Times New Roman" w:cs="Times New Roman"/>
          <w:sz w:val="24"/>
        </w:rPr>
        <w:t>‑AM (live cells, green fluorescence) and PI (dead cells, red fluorescence). Confocal laser scanning microscope was used to acquire fluorescence images.</w:t>
      </w:r>
    </w:p>
    <w:p w14:paraId="576C8AE4" w14:textId="608660B3" w:rsidR="0046707D" w:rsidRPr="0046707D" w:rsidRDefault="0046707D" w:rsidP="0046707D">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t>DNA‑damage γH2AX immunofluorescence staining:</w:t>
      </w:r>
      <w:r>
        <w:rPr>
          <w:rFonts w:ascii="Times New Roman" w:hAnsi="Times New Roman" w:cs="Times New Roman"/>
          <w:sz w:val="24"/>
        </w:rPr>
        <w:t xml:space="preserve"> </w:t>
      </w:r>
      <w:r w:rsidRPr="0046707D">
        <w:rPr>
          <w:rFonts w:ascii="Times New Roman" w:hAnsi="Times New Roman" w:cs="Times New Roman"/>
          <w:sz w:val="24"/>
        </w:rPr>
        <w:t>Cells were fixed with 4 % paraformaldehyde, permeabilized with 0.1 % Triton X‑100, blocked with 5 % BSA, incubated with anti‑γH2AX primary antibody overnight at 4 °C, followed by fluorophore‑conjugated secondary antibody. DAPI stained cell nuclei. Fluorescence intensity of γH2AX foci was quantified by ImageJ software.</w:t>
      </w:r>
    </w:p>
    <w:p w14:paraId="05D69942" w14:textId="3E260F8B" w:rsidR="0046707D" w:rsidRPr="0046707D" w:rsidRDefault="0046707D" w:rsidP="0046707D">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lastRenderedPageBreak/>
        <w:t>Mitochondrial‑membrane‑potential (</w:t>
      </w:r>
      <w:proofErr w:type="spellStart"/>
      <w:r w:rsidRPr="003A1C27">
        <w:rPr>
          <w:rFonts w:ascii="Times New Roman" w:hAnsi="Times New Roman" w:cs="Times New Roman"/>
          <w:b/>
          <w:sz w:val="24"/>
        </w:rPr>
        <w:t>ΔΨm</w:t>
      </w:r>
      <w:proofErr w:type="spellEnd"/>
      <w:r w:rsidRPr="003A1C27">
        <w:rPr>
          <w:rFonts w:ascii="Times New Roman" w:hAnsi="Times New Roman" w:cs="Times New Roman"/>
          <w:b/>
          <w:sz w:val="24"/>
        </w:rPr>
        <w:t>) detection by JC‑1 staining:</w:t>
      </w:r>
      <w:r>
        <w:rPr>
          <w:rFonts w:ascii="Times New Roman" w:hAnsi="Times New Roman" w:cs="Times New Roman"/>
          <w:sz w:val="24"/>
        </w:rPr>
        <w:t xml:space="preserve"> </w:t>
      </w:r>
      <w:r w:rsidRPr="0046707D">
        <w:rPr>
          <w:rFonts w:ascii="Times New Roman" w:hAnsi="Times New Roman" w:cs="Times New Roman"/>
          <w:sz w:val="24"/>
        </w:rPr>
        <w:t>JC‑1 working solution was added into treated HepG2 cells, incubated at 37 °C for 20 min. Cells were washed with JC‑1 staining buffer, and red‑green fluorescence signals were imaged under confocal microscope. Decrease in red/green fluorescence ratio indicates mitochondrial depolarization.</w:t>
      </w:r>
    </w:p>
    <w:p w14:paraId="68F84570" w14:textId="3F187089" w:rsidR="002B500A" w:rsidRDefault="0046707D" w:rsidP="0046707D">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t xml:space="preserve">Detection of immunogenic cell death (ICD) markers: </w:t>
      </w:r>
      <w:r w:rsidRPr="0046707D">
        <w:rPr>
          <w:rFonts w:ascii="Times New Roman" w:hAnsi="Times New Roman" w:cs="Times New Roman"/>
          <w:sz w:val="24"/>
        </w:rPr>
        <w:t xml:space="preserve">After microsphere treatment under </w:t>
      </w:r>
      <w:proofErr w:type="spellStart"/>
      <w:r w:rsidRPr="0046707D">
        <w:rPr>
          <w:rFonts w:ascii="Times New Roman" w:hAnsi="Times New Roman" w:cs="Times New Roman"/>
          <w:sz w:val="24"/>
        </w:rPr>
        <w:t>normoxia</w:t>
      </w:r>
      <w:proofErr w:type="spellEnd"/>
      <w:r w:rsidRPr="0046707D">
        <w:rPr>
          <w:rFonts w:ascii="Times New Roman" w:hAnsi="Times New Roman" w:cs="Times New Roman"/>
          <w:sz w:val="24"/>
        </w:rPr>
        <w:t xml:space="preserve"> or hypoxia, HepG2 cells were fixed and stained for ICD markers: surface calreticulin (CRT), extracellular HMGB1 and HSP70. Immunofluorescence images were captured by confocal microscopy, and mean fluorescence intensity (MFI) was quantified.</w:t>
      </w:r>
    </w:p>
    <w:p w14:paraId="27A1FB82" w14:textId="256D6CAB" w:rsidR="003A1C27" w:rsidRDefault="003A1C27" w:rsidP="003A1C27">
      <w:pPr>
        <w:spacing w:line="360" w:lineRule="auto"/>
        <w:ind w:firstLineChars="200" w:firstLine="480"/>
        <w:rPr>
          <w:rFonts w:ascii="Times New Roman" w:hAnsi="Times New Roman" w:cs="Times New Roman"/>
          <w:sz w:val="24"/>
        </w:rPr>
      </w:pPr>
      <w:r w:rsidRPr="003A1C27">
        <w:rPr>
          <w:rFonts w:ascii="Times New Roman" w:hAnsi="Times New Roman" w:cs="Times New Roman"/>
          <w:b/>
          <w:sz w:val="24"/>
        </w:rPr>
        <w:t>Co‑culture system for immune‑cell activation:</w:t>
      </w:r>
      <w:r w:rsidRPr="003A1C27">
        <w:t xml:space="preserve"> </w:t>
      </w:r>
      <w:proofErr w:type="spellStart"/>
      <w:r w:rsidRPr="003A1C27">
        <w:rPr>
          <w:rFonts w:ascii="Times New Roman" w:hAnsi="Times New Roman" w:cs="Times New Roman"/>
          <w:sz w:val="24"/>
        </w:rPr>
        <w:t>umor</w:t>
      </w:r>
      <w:proofErr w:type="spellEnd"/>
      <w:r w:rsidRPr="003A1C27">
        <w:rPr>
          <w:rFonts w:ascii="Times New Roman" w:hAnsi="Times New Roman" w:cs="Times New Roman"/>
          <w:sz w:val="24"/>
        </w:rPr>
        <w:t>‑cell‑conditioned medium (TCM) was collected from HepG2 cells receiving different treatments.</w:t>
      </w:r>
      <w:r>
        <w:rPr>
          <w:rFonts w:ascii="Times New Roman" w:hAnsi="Times New Roman" w:cs="Times New Roman"/>
          <w:sz w:val="24"/>
        </w:rPr>
        <w:t xml:space="preserve"> </w:t>
      </w:r>
      <w:r w:rsidRPr="003A1C27">
        <w:rPr>
          <w:rFonts w:ascii="Times New Roman" w:hAnsi="Times New Roman" w:cs="Times New Roman"/>
          <w:sz w:val="24"/>
        </w:rPr>
        <w:t>Macrophage polarization assay: RAW264.7 macrophages were incubated with collected TCM for 24 h. Cells were harvested, stained with F4/80, CD86 (M1 marker), CD206 (M2 marker), and macrophage polarization profiles were analyzed by flow cytometry.</w:t>
      </w:r>
      <w:r>
        <w:rPr>
          <w:rFonts w:ascii="Times New Roman" w:hAnsi="Times New Roman" w:cs="Times New Roman"/>
          <w:sz w:val="24"/>
        </w:rPr>
        <w:t xml:space="preserve"> </w:t>
      </w:r>
      <w:r w:rsidRPr="003A1C27">
        <w:rPr>
          <w:rFonts w:ascii="Times New Roman" w:hAnsi="Times New Roman" w:cs="Times New Roman"/>
          <w:sz w:val="24"/>
        </w:rPr>
        <w:t>Dendritic‑cell maturation assay: Bone‑marrow‑derived dendritic cells (BMDCs) from C57BL/6 mice were co‑cultured with TCM for 24 h. Cells were stained for CD80/CD86 maturation markers and analyzed via flow cytometry. Cell‑culture supernatants were collected for ELISA quantification of TNF‑α, IL‑6, CCL22 and IL‑10.</w:t>
      </w:r>
    </w:p>
    <w:p w14:paraId="382B3BC9" w14:textId="79A06B70" w:rsidR="004F41C0" w:rsidRDefault="004F41C0" w:rsidP="004F41C0">
      <w:pPr>
        <w:spacing w:line="360" w:lineRule="auto"/>
        <w:rPr>
          <w:rFonts w:ascii="Times New Roman" w:hAnsi="Times New Roman" w:cs="Times New Roman"/>
          <w:b/>
          <w:sz w:val="24"/>
        </w:rPr>
      </w:pPr>
      <w:r w:rsidRPr="00615BFA">
        <w:rPr>
          <w:rFonts w:ascii="Times New Roman" w:hAnsi="Times New Roman" w:cs="Times New Roman"/>
          <w:b/>
          <w:sz w:val="24"/>
        </w:rPr>
        <w:t>In‑vi</w:t>
      </w:r>
      <w:r>
        <w:rPr>
          <w:rFonts w:ascii="Times New Roman" w:hAnsi="Times New Roman" w:cs="Times New Roman"/>
          <w:b/>
          <w:sz w:val="24"/>
        </w:rPr>
        <w:t>vo animal</w:t>
      </w:r>
      <w:r w:rsidRPr="00615BFA">
        <w:rPr>
          <w:rFonts w:ascii="Times New Roman" w:hAnsi="Times New Roman" w:cs="Times New Roman"/>
          <w:b/>
          <w:sz w:val="24"/>
        </w:rPr>
        <w:t xml:space="preserve"> experiments</w:t>
      </w:r>
    </w:p>
    <w:p w14:paraId="0C169B39" w14:textId="77777777" w:rsidR="003A51C5" w:rsidRDefault="004F41C0" w:rsidP="004F41C0">
      <w:pPr>
        <w:spacing w:line="360" w:lineRule="auto"/>
        <w:ind w:firstLineChars="200" w:firstLine="480"/>
        <w:rPr>
          <w:rFonts w:ascii="Times New Roman" w:hAnsi="Times New Roman" w:cs="Times New Roman"/>
          <w:sz w:val="24"/>
        </w:rPr>
      </w:pPr>
      <w:r w:rsidRPr="003A51C5">
        <w:rPr>
          <w:rFonts w:ascii="Times New Roman" w:hAnsi="Times New Roman" w:cs="Times New Roman"/>
          <w:b/>
          <w:sz w:val="24"/>
        </w:rPr>
        <w:t>Establishment of rabbit orthotopic Vx2 HCC model</w:t>
      </w:r>
      <w:r w:rsidR="003A51C5">
        <w:rPr>
          <w:rFonts w:ascii="Times New Roman" w:hAnsi="Times New Roman" w:cs="Times New Roman"/>
          <w:b/>
          <w:sz w:val="24"/>
        </w:rPr>
        <w:t xml:space="preserve">: </w:t>
      </w:r>
      <w:r w:rsidRPr="004F41C0">
        <w:rPr>
          <w:rFonts w:ascii="Times New Roman" w:hAnsi="Times New Roman" w:cs="Times New Roman"/>
          <w:sz w:val="24"/>
        </w:rPr>
        <w:t>New Zealand white rabbits were anesthetized via intravenous injection of pentobarbital sodium. Abdominal laparotomy was performed to expose liver lobe. Small Vx2 tumor tissue fragments (~1 mm³) were surgically implanted into liver parenchyma. The abdominal cavity was closed layer‑by‑layer. After 12–14 days of tumor growth, T2‑weighted MRI was applied to confirm tumor formation before interventional embolization.</w:t>
      </w:r>
    </w:p>
    <w:p w14:paraId="3412A205" w14:textId="6B9C2BC2" w:rsidR="004F41C0" w:rsidRPr="004F41C0" w:rsidRDefault="004F41C0" w:rsidP="004F41C0">
      <w:pPr>
        <w:spacing w:line="360" w:lineRule="auto"/>
        <w:ind w:firstLineChars="200" w:firstLine="480"/>
        <w:rPr>
          <w:rFonts w:ascii="Times New Roman" w:hAnsi="Times New Roman" w:cs="Times New Roman"/>
          <w:sz w:val="24"/>
        </w:rPr>
      </w:pPr>
      <w:r w:rsidRPr="003A51C5">
        <w:rPr>
          <w:rFonts w:ascii="Times New Roman" w:hAnsi="Times New Roman" w:cs="Times New Roman"/>
          <w:b/>
          <w:sz w:val="24"/>
        </w:rPr>
        <w:t>In‑vivo animal grouping</w:t>
      </w:r>
      <w:r w:rsidR="003A51C5">
        <w:rPr>
          <w:rFonts w:ascii="Times New Roman" w:hAnsi="Times New Roman" w:cs="Times New Roman"/>
          <w:b/>
          <w:sz w:val="24"/>
        </w:rPr>
        <w:t xml:space="preserve">: </w:t>
      </w:r>
      <w:r w:rsidRPr="004F41C0">
        <w:rPr>
          <w:rFonts w:ascii="Times New Roman" w:hAnsi="Times New Roman" w:cs="Times New Roman"/>
          <w:sz w:val="24"/>
        </w:rPr>
        <w:t>Rabbits bearing orthotopic Vx2 HCC tumors were randomly assigned to five experimental groups (n = </w:t>
      </w:r>
      <w:r w:rsidR="003A51C5">
        <w:rPr>
          <w:rFonts w:ascii="Times New Roman" w:hAnsi="Times New Roman" w:cs="Times New Roman"/>
          <w:sz w:val="24"/>
        </w:rPr>
        <w:t>3</w:t>
      </w:r>
      <w:r w:rsidRPr="004F41C0">
        <w:rPr>
          <w:rFonts w:ascii="Times New Roman" w:hAnsi="Times New Roman" w:cs="Times New Roman"/>
          <w:sz w:val="24"/>
        </w:rPr>
        <w:t xml:space="preserve"> per group):</w:t>
      </w:r>
      <w:r w:rsidR="003A51C5">
        <w:rPr>
          <w:rFonts w:ascii="Times New Roman" w:hAnsi="Times New Roman" w:cs="Times New Roman"/>
          <w:sz w:val="24"/>
        </w:rPr>
        <w:t xml:space="preserve"> (</w:t>
      </w:r>
      <w:r w:rsidRPr="004F41C0">
        <w:rPr>
          <w:rFonts w:ascii="Times New Roman" w:hAnsi="Times New Roman" w:cs="Times New Roman"/>
          <w:sz w:val="24"/>
        </w:rPr>
        <w:t>1</w:t>
      </w:r>
      <w:r w:rsidR="003A51C5">
        <w:rPr>
          <w:rFonts w:ascii="Times New Roman" w:hAnsi="Times New Roman" w:cs="Times New Roman"/>
          <w:sz w:val="24"/>
        </w:rPr>
        <w:t>)</w:t>
      </w:r>
      <w:r w:rsidRPr="004F41C0">
        <w:rPr>
          <w:rFonts w:ascii="Times New Roman" w:hAnsi="Times New Roman" w:cs="Times New Roman"/>
          <w:sz w:val="24"/>
        </w:rPr>
        <w:t xml:space="preserve"> Control: TACE operation with sterile PBS infusion</w:t>
      </w:r>
      <w:r w:rsidR="0035162F">
        <w:rPr>
          <w:rFonts w:ascii="Times New Roman" w:hAnsi="Times New Roman" w:cs="Times New Roman"/>
          <w:sz w:val="24"/>
        </w:rPr>
        <w:t>, (</w:t>
      </w:r>
      <w:r w:rsidRPr="004F41C0">
        <w:rPr>
          <w:rFonts w:ascii="Times New Roman" w:hAnsi="Times New Roman" w:cs="Times New Roman"/>
          <w:sz w:val="24"/>
        </w:rPr>
        <w:t>2</w:t>
      </w:r>
      <w:r w:rsidR="0035162F">
        <w:rPr>
          <w:rFonts w:ascii="Times New Roman" w:hAnsi="Times New Roman" w:cs="Times New Roman"/>
          <w:sz w:val="24"/>
        </w:rPr>
        <w:t>)</w:t>
      </w:r>
      <w:r w:rsidRPr="004F41C0">
        <w:rPr>
          <w:rFonts w:ascii="Times New Roman" w:hAnsi="Times New Roman" w:cs="Times New Roman"/>
          <w:sz w:val="24"/>
        </w:rPr>
        <w:t xml:space="preserve"> Blank MNs: embolization with blank hyaluronic acid microspheres</w:t>
      </w:r>
      <w:r w:rsidR="0035162F">
        <w:rPr>
          <w:rFonts w:ascii="Times New Roman" w:hAnsi="Times New Roman" w:cs="Times New Roman"/>
          <w:sz w:val="24"/>
        </w:rPr>
        <w:t>, (</w:t>
      </w:r>
      <w:r w:rsidRPr="004F41C0">
        <w:rPr>
          <w:rFonts w:ascii="Times New Roman" w:hAnsi="Times New Roman" w:cs="Times New Roman"/>
          <w:sz w:val="24"/>
        </w:rPr>
        <w:t>3</w:t>
      </w:r>
      <w:r w:rsidR="0035162F">
        <w:rPr>
          <w:rFonts w:ascii="Times New Roman" w:hAnsi="Times New Roman" w:cs="Times New Roman"/>
          <w:sz w:val="24"/>
        </w:rPr>
        <w:t>)</w:t>
      </w:r>
      <w:r w:rsidRPr="004F41C0">
        <w:rPr>
          <w:rFonts w:ascii="Times New Roman" w:hAnsi="Times New Roman" w:cs="Times New Roman"/>
          <w:sz w:val="24"/>
        </w:rPr>
        <w:t xml:space="preserve"> </w:t>
      </w:r>
      <w:proofErr w:type="spellStart"/>
      <w:r w:rsidRPr="004F41C0">
        <w:rPr>
          <w:rFonts w:ascii="Times New Roman" w:hAnsi="Times New Roman" w:cs="Times New Roman"/>
          <w:sz w:val="24"/>
        </w:rPr>
        <w:t>Sp@Ms</w:t>
      </w:r>
      <w:proofErr w:type="spellEnd"/>
      <w:r w:rsidRPr="004F41C0">
        <w:rPr>
          <w:rFonts w:ascii="Times New Roman" w:hAnsi="Times New Roman" w:cs="Times New Roman"/>
          <w:sz w:val="24"/>
        </w:rPr>
        <w:t xml:space="preserve">: embolization with </w:t>
      </w:r>
      <w:proofErr w:type="spellStart"/>
      <w:r w:rsidRPr="004F41C0">
        <w:rPr>
          <w:rFonts w:ascii="Times New Roman" w:hAnsi="Times New Roman" w:cs="Times New Roman"/>
          <w:sz w:val="24"/>
        </w:rPr>
        <w:t>Sp</w:t>
      </w:r>
      <w:proofErr w:type="spellEnd"/>
      <w:r w:rsidRPr="004F41C0">
        <w:rPr>
          <w:rFonts w:ascii="Times New Roman" w:hAnsi="Times New Roman" w:cs="Times New Roman"/>
          <w:sz w:val="24"/>
        </w:rPr>
        <w:t>‑loaded microspheres</w:t>
      </w:r>
      <w:r w:rsidR="0035162F">
        <w:rPr>
          <w:rFonts w:ascii="Times New Roman" w:hAnsi="Times New Roman" w:cs="Times New Roman"/>
          <w:sz w:val="24"/>
        </w:rPr>
        <w:t xml:space="preserve">, </w:t>
      </w:r>
      <w:r w:rsidR="0035162F">
        <w:rPr>
          <w:rFonts w:ascii="Times New Roman" w:hAnsi="Times New Roman" w:cs="Times New Roman"/>
          <w:sz w:val="24"/>
        </w:rPr>
        <w:lastRenderedPageBreak/>
        <w:t>(4)</w:t>
      </w:r>
      <w:r w:rsidRPr="004F41C0">
        <w:rPr>
          <w:rFonts w:ascii="Times New Roman" w:hAnsi="Times New Roman" w:cs="Times New Roman"/>
          <w:sz w:val="24"/>
        </w:rPr>
        <w:t xml:space="preserve"> TPZ@Ms: embolization with TPZ‑loaded microspheres</w:t>
      </w:r>
      <w:r w:rsidR="0035162F">
        <w:rPr>
          <w:rFonts w:ascii="Times New Roman" w:hAnsi="Times New Roman" w:cs="Times New Roman"/>
          <w:sz w:val="24"/>
        </w:rPr>
        <w:t>, and (</w:t>
      </w:r>
      <w:r w:rsidRPr="004F41C0">
        <w:rPr>
          <w:rFonts w:ascii="Times New Roman" w:hAnsi="Times New Roman" w:cs="Times New Roman"/>
          <w:sz w:val="24"/>
        </w:rPr>
        <w:t>5</w:t>
      </w:r>
      <w:r w:rsidR="0035162F">
        <w:rPr>
          <w:rFonts w:ascii="Times New Roman" w:hAnsi="Times New Roman" w:cs="Times New Roman"/>
          <w:sz w:val="24"/>
        </w:rPr>
        <w:t>)</w:t>
      </w:r>
      <w:r w:rsidRPr="004F41C0">
        <w:rPr>
          <w:rFonts w:ascii="Times New Roman" w:hAnsi="Times New Roman" w:cs="Times New Roman"/>
          <w:sz w:val="24"/>
        </w:rPr>
        <w:t xml:space="preserve"> </w:t>
      </w:r>
      <w:proofErr w:type="spellStart"/>
      <w:r w:rsidRPr="004F41C0">
        <w:rPr>
          <w:rFonts w:ascii="Times New Roman" w:hAnsi="Times New Roman" w:cs="Times New Roman"/>
          <w:sz w:val="24"/>
        </w:rPr>
        <w:t>Sp</w:t>
      </w:r>
      <w:proofErr w:type="spellEnd"/>
      <w:r w:rsidRPr="004F41C0">
        <w:rPr>
          <w:rFonts w:ascii="Times New Roman" w:hAnsi="Times New Roman" w:cs="Times New Roman"/>
          <w:sz w:val="24"/>
        </w:rPr>
        <w:t xml:space="preserve">/TPZ@MNs: embolization with </w:t>
      </w:r>
      <w:proofErr w:type="spellStart"/>
      <w:r w:rsidRPr="004F41C0">
        <w:rPr>
          <w:rFonts w:ascii="Times New Roman" w:hAnsi="Times New Roman" w:cs="Times New Roman"/>
          <w:sz w:val="24"/>
        </w:rPr>
        <w:t>Sp</w:t>
      </w:r>
      <w:proofErr w:type="spellEnd"/>
      <w:r w:rsidRPr="004F41C0">
        <w:rPr>
          <w:rFonts w:ascii="Times New Roman" w:hAnsi="Times New Roman" w:cs="Times New Roman"/>
          <w:sz w:val="24"/>
        </w:rPr>
        <w:t>/TPZ co‑loaded microspheres</w:t>
      </w:r>
      <w:r w:rsidR="0035162F">
        <w:rPr>
          <w:rFonts w:ascii="Times New Roman" w:hAnsi="Times New Roman" w:cs="Times New Roman"/>
          <w:sz w:val="24"/>
        </w:rPr>
        <w:t xml:space="preserve">. </w:t>
      </w:r>
      <w:r w:rsidRPr="004F41C0">
        <w:rPr>
          <w:rFonts w:ascii="Times New Roman" w:hAnsi="Times New Roman" w:cs="Times New Roman"/>
          <w:sz w:val="24"/>
        </w:rPr>
        <w:t>All groups received identical interventional surgical procedures; microsphere injection volume was standardized for each animal.</w:t>
      </w:r>
    </w:p>
    <w:p w14:paraId="7FDAABF3" w14:textId="7B1F7E94" w:rsidR="004F41C0" w:rsidRPr="004F41C0" w:rsidRDefault="004F41C0" w:rsidP="004F41C0">
      <w:pPr>
        <w:spacing w:line="360" w:lineRule="auto"/>
        <w:ind w:firstLineChars="200" w:firstLine="480"/>
        <w:rPr>
          <w:rFonts w:ascii="Times New Roman" w:hAnsi="Times New Roman" w:cs="Times New Roman"/>
          <w:sz w:val="24"/>
        </w:rPr>
      </w:pPr>
      <w:r w:rsidRPr="0035162F">
        <w:rPr>
          <w:rFonts w:ascii="Times New Roman" w:hAnsi="Times New Roman" w:cs="Times New Roman"/>
          <w:b/>
          <w:sz w:val="24"/>
        </w:rPr>
        <w:t>Interventional TACE operation</w:t>
      </w:r>
      <w:r w:rsidR="0035162F">
        <w:rPr>
          <w:rFonts w:ascii="Times New Roman" w:hAnsi="Times New Roman" w:cs="Times New Roman"/>
          <w:b/>
          <w:sz w:val="24"/>
        </w:rPr>
        <w:t xml:space="preserve">: </w:t>
      </w:r>
      <w:r w:rsidRPr="004F41C0">
        <w:rPr>
          <w:rFonts w:ascii="Times New Roman" w:hAnsi="Times New Roman" w:cs="Times New Roman"/>
          <w:sz w:val="24"/>
        </w:rPr>
        <w:t xml:space="preserve">Under digital subtraction angiography (DSA) guidance, 2.7 F microcatheter was inserted through femoral artery and </w:t>
      </w:r>
      <w:proofErr w:type="spellStart"/>
      <w:r w:rsidRPr="004F41C0">
        <w:rPr>
          <w:rFonts w:ascii="Times New Roman" w:hAnsi="Times New Roman" w:cs="Times New Roman"/>
          <w:sz w:val="24"/>
        </w:rPr>
        <w:t>superselectively</w:t>
      </w:r>
      <w:proofErr w:type="spellEnd"/>
      <w:r w:rsidRPr="004F41C0">
        <w:rPr>
          <w:rFonts w:ascii="Times New Roman" w:hAnsi="Times New Roman" w:cs="Times New Roman"/>
          <w:sz w:val="24"/>
        </w:rPr>
        <w:t xml:space="preserve"> cannulated into tumor‑feeding hepatic artery. Corresponding microsphere suspensions were slowly infused for embolization. After embolization, catheter was withdrawn, femoral artery was compressed for hemostasis. Rabbits received postoperative analgesia and antibiotic prophylaxis.</w:t>
      </w:r>
    </w:p>
    <w:p w14:paraId="2B4A192D" w14:textId="61FE2CF5" w:rsidR="004F41C0" w:rsidRPr="004F41C0" w:rsidRDefault="004F41C0" w:rsidP="004F41C0">
      <w:pPr>
        <w:spacing w:line="360" w:lineRule="auto"/>
        <w:ind w:firstLineChars="200" w:firstLine="480"/>
        <w:rPr>
          <w:rFonts w:ascii="Times New Roman" w:hAnsi="Times New Roman" w:cs="Times New Roman"/>
          <w:sz w:val="24"/>
        </w:rPr>
      </w:pPr>
      <w:r w:rsidRPr="0035162F">
        <w:rPr>
          <w:rFonts w:ascii="Times New Roman" w:hAnsi="Times New Roman" w:cs="Times New Roman"/>
          <w:b/>
          <w:sz w:val="24"/>
        </w:rPr>
        <w:t>Ex‑vivo optical tissue clearing</w:t>
      </w:r>
      <w:r w:rsidR="0035162F" w:rsidRPr="0035162F">
        <w:rPr>
          <w:rFonts w:ascii="Times New Roman" w:hAnsi="Times New Roman" w:cs="Times New Roman"/>
          <w:b/>
          <w:sz w:val="24"/>
        </w:rPr>
        <w:t>:</w:t>
      </w:r>
      <w:r w:rsidR="0035162F">
        <w:rPr>
          <w:rFonts w:ascii="Times New Roman" w:hAnsi="Times New Roman" w:cs="Times New Roman"/>
          <w:b/>
          <w:sz w:val="24"/>
        </w:rPr>
        <w:t xml:space="preserve"> </w:t>
      </w:r>
      <w:r w:rsidRPr="004F41C0">
        <w:rPr>
          <w:rFonts w:ascii="Times New Roman" w:hAnsi="Times New Roman" w:cs="Times New Roman"/>
          <w:sz w:val="24"/>
        </w:rPr>
        <w:t xml:space="preserve">At predefined time‑points after TACE, tumor‑bearing liver tissues were harvested. Tissue‑clearing procedure was performed according to published protocols to remove tissue scattering. Red autofluorescence signal originating from </w:t>
      </w:r>
      <w:proofErr w:type="spellStart"/>
      <w:r w:rsidRPr="004F41C0">
        <w:rPr>
          <w:rFonts w:ascii="Times New Roman" w:hAnsi="Times New Roman" w:cs="Times New Roman"/>
          <w:sz w:val="24"/>
        </w:rPr>
        <w:t>Sp</w:t>
      </w:r>
      <w:proofErr w:type="spellEnd"/>
      <w:r w:rsidRPr="004F41C0">
        <w:rPr>
          <w:rFonts w:ascii="Times New Roman" w:hAnsi="Times New Roman" w:cs="Times New Roman"/>
          <w:sz w:val="24"/>
        </w:rPr>
        <w:t xml:space="preserve"> inside cleared liver tissues was visualized by near‑infrared fluorescence imaging.</w:t>
      </w:r>
    </w:p>
    <w:p w14:paraId="3DF49F29" w14:textId="150748F2" w:rsidR="004F41C0" w:rsidRPr="004F41C0" w:rsidRDefault="004F41C0" w:rsidP="004F41C0">
      <w:pPr>
        <w:spacing w:line="360" w:lineRule="auto"/>
        <w:ind w:firstLineChars="200" w:firstLine="480"/>
        <w:rPr>
          <w:rFonts w:ascii="Times New Roman" w:hAnsi="Times New Roman" w:cs="Times New Roman"/>
          <w:sz w:val="24"/>
        </w:rPr>
      </w:pPr>
      <w:r w:rsidRPr="0052677D">
        <w:rPr>
          <w:rFonts w:ascii="Times New Roman" w:hAnsi="Times New Roman" w:cs="Times New Roman"/>
          <w:b/>
          <w:sz w:val="24"/>
        </w:rPr>
        <w:t>In‑vivo biosafety evaluation</w:t>
      </w:r>
      <w:r w:rsidR="0052677D">
        <w:rPr>
          <w:rFonts w:ascii="Times New Roman" w:hAnsi="Times New Roman" w:cs="Times New Roman"/>
          <w:b/>
          <w:sz w:val="24"/>
        </w:rPr>
        <w:t xml:space="preserve">: </w:t>
      </w:r>
      <w:r w:rsidRPr="004F41C0">
        <w:rPr>
          <w:rFonts w:ascii="Times New Roman" w:hAnsi="Times New Roman" w:cs="Times New Roman"/>
          <w:sz w:val="24"/>
        </w:rPr>
        <w:t>Peripheral blood was collected at day 0, 7, 15, 30 post‑TACE. Serum biochemical indicators including ALT, AST, BUN, Cre, GGT, CHO were measured to evaluate liver and kidney function; routine blood parameters (WBC, RBC) were also detected. Major organs (heart, liver, spleen, lung, kidney) were harvested, fixed in 4 % paraformaldehyde, embedded in paraffin, sectioned and stained with H&amp;E for histological pathological assessment.</w:t>
      </w:r>
    </w:p>
    <w:p w14:paraId="7BB26952" w14:textId="648B54CF" w:rsidR="004F41C0" w:rsidRPr="004F41C0" w:rsidRDefault="004F41C0" w:rsidP="004F41C0">
      <w:pPr>
        <w:spacing w:line="360" w:lineRule="auto"/>
        <w:ind w:firstLineChars="200" w:firstLine="480"/>
        <w:rPr>
          <w:rFonts w:ascii="Times New Roman" w:hAnsi="Times New Roman" w:cs="Times New Roman"/>
          <w:sz w:val="24"/>
        </w:rPr>
      </w:pPr>
      <w:r w:rsidRPr="0052677D">
        <w:rPr>
          <w:rFonts w:ascii="Times New Roman" w:hAnsi="Times New Roman" w:cs="Times New Roman"/>
          <w:b/>
          <w:sz w:val="24"/>
        </w:rPr>
        <w:t>In‑vivo therapeutic efficacy assessment</w:t>
      </w:r>
      <w:r w:rsidR="0052677D">
        <w:rPr>
          <w:rFonts w:ascii="Times New Roman" w:hAnsi="Times New Roman" w:cs="Times New Roman"/>
          <w:b/>
          <w:sz w:val="24"/>
        </w:rPr>
        <w:t xml:space="preserve">: </w:t>
      </w:r>
      <w:r w:rsidRPr="004F41C0">
        <w:rPr>
          <w:rFonts w:ascii="Times New Roman" w:hAnsi="Times New Roman" w:cs="Times New Roman"/>
          <w:sz w:val="24"/>
        </w:rPr>
        <w:t>T2‑weighted MRI scans were performed on day 0, 7, 14 after TACE. Tumor volume was calculated from MRI images. Individual tumor‑growth curves and average tumor‑growth curves were plotted. Harvested tumor tissues were fixed, paraffin‑embedded, sectioned and subjected to H&amp;E, TUNEL, Ki‑67 and HIF‑1α immunohistochemical/immunofluorescence staining according to standard protocols. Quantitative analysis of fluorescence intensity and positive‑cell proportion was conducted with ImageJ.</w:t>
      </w:r>
      <w:r w:rsidR="006A345D">
        <w:rPr>
          <w:rFonts w:ascii="Times New Roman" w:hAnsi="Times New Roman" w:cs="Times New Roman"/>
          <w:sz w:val="24"/>
        </w:rPr>
        <w:t xml:space="preserve"> </w:t>
      </w:r>
      <w:r w:rsidRPr="004F41C0">
        <w:rPr>
          <w:rFonts w:ascii="Times New Roman" w:hAnsi="Times New Roman" w:cs="Times New Roman"/>
          <w:sz w:val="24"/>
        </w:rPr>
        <w:t xml:space="preserve">Tumor tissues were dissociated into single‑cell suspensions for flow‑cytometry immune‑cell profiling (mature DCs, M1/M2‑TAMs, CD8⁺ T cells). Immunofluorescence staining (CRT, HMGB1, HSP70, </w:t>
      </w:r>
      <w:r w:rsidRPr="004F41C0">
        <w:rPr>
          <w:rFonts w:ascii="Times New Roman" w:hAnsi="Times New Roman" w:cs="Times New Roman"/>
          <w:sz w:val="24"/>
        </w:rPr>
        <w:lastRenderedPageBreak/>
        <w:t>F4/80‑iNOS, CD3‑CD8) was performed on frozen tumor sections. Lung metastatic nodules were quantified from H&amp;E‑stained whole‑lung sections.</w:t>
      </w:r>
    </w:p>
    <w:p w14:paraId="59E42E24" w14:textId="2E8000EA" w:rsidR="004F41C0" w:rsidRPr="004F41C0" w:rsidRDefault="004F41C0" w:rsidP="004F41C0">
      <w:pPr>
        <w:spacing w:line="360" w:lineRule="auto"/>
        <w:ind w:firstLineChars="200" w:firstLine="480"/>
        <w:rPr>
          <w:rFonts w:ascii="Times New Roman" w:hAnsi="Times New Roman" w:cs="Times New Roman"/>
          <w:sz w:val="24"/>
        </w:rPr>
      </w:pPr>
      <w:r w:rsidRPr="006A345D">
        <w:rPr>
          <w:rFonts w:ascii="Times New Roman" w:hAnsi="Times New Roman" w:cs="Times New Roman"/>
          <w:b/>
          <w:sz w:val="24"/>
        </w:rPr>
        <w:t>Transcriptome RNA‑seq and detailed bioinformatic procedures</w:t>
      </w:r>
      <w:r w:rsidR="006A345D">
        <w:rPr>
          <w:rFonts w:ascii="Times New Roman" w:hAnsi="Times New Roman" w:cs="Times New Roman"/>
          <w:b/>
          <w:sz w:val="24"/>
        </w:rPr>
        <w:t xml:space="preserve">: </w:t>
      </w:r>
      <w:r w:rsidRPr="004F41C0">
        <w:rPr>
          <w:rFonts w:ascii="Times New Roman" w:hAnsi="Times New Roman" w:cs="Times New Roman"/>
          <w:sz w:val="24"/>
        </w:rPr>
        <w:t>1</w:t>
      </w:r>
      <w:r w:rsidR="006A345D">
        <w:rPr>
          <w:rFonts w:ascii="Times New Roman" w:hAnsi="Times New Roman" w:cs="Times New Roman"/>
          <w:sz w:val="24"/>
        </w:rPr>
        <w:t>.</w:t>
      </w:r>
      <w:r w:rsidRPr="004F41C0">
        <w:rPr>
          <w:rFonts w:ascii="Times New Roman" w:hAnsi="Times New Roman" w:cs="Times New Roman"/>
          <w:sz w:val="24"/>
        </w:rPr>
        <w:t xml:space="preserve"> Sample collection and total RNA extraction</w:t>
      </w:r>
      <w:r w:rsidR="006A345D">
        <w:rPr>
          <w:rFonts w:ascii="Times New Roman" w:hAnsi="Times New Roman" w:cs="Times New Roman"/>
          <w:sz w:val="24"/>
        </w:rPr>
        <w:t xml:space="preserve">: </w:t>
      </w:r>
      <w:r w:rsidRPr="004F41C0">
        <w:rPr>
          <w:rFonts w:ascii="Times New Roman" w:hAnsi="Times New Roman" w:cs="Times New Roman"/>
          <w:sz w:val="24"/>
        </w:rPr>
        <w:t xml:space="preserve">At 14 days post‑TACE, tumor tissues from the Control group and </w:t>
      </w:r>
      <w:proofErr w:type="spellStart"/>
      <w:r w:rsidRPr="004F41C0">
        <w:rPr>
          <w:rFonts w:ascii="Times New Roman" w:hAnsi="Times New Roman" w:cs="Times New Roman"/>
          <w:sz w:val="24"/>
        </w:rPr>
        <w:t>Sp</w:t>
      </w:r>
      <w:proofErr w:type="spellEnd"/>
      <w:r w:rsidRPr="004F41C0">
        <w:rPr>
          <w:rFonts w:ascii="Times New Roman" w:hAnsi="Times New Roman" w:cs="Times New Roman"/>
          <w:sz w:val="24"/>
        </w:rPr>
        <w:t xml:space="preserve">/TPZ@MNs group were rapidly dissected, rinsed with pre‑cooled sterile PBS, immediately frozen in liquid nitrogen, and stored at −80 °C. Three biological replicate tumor samples were collected for each group. Total RNA was isolated using </w:t>
      </w:r>
      <w:proofErr w:type="spellStart"/>
      <w:r w:rsidRPr="004F41C0">
        <w:rPr>
          <w:rFonts w:ascii="Times New Roman" w:hAnsi="Times New Roman" w:cs="Times New Roman"/>
          <w:sz w:val="24"/>
        </w:rPr>
        <w:t>Trizol</w:t>
      </w:r>
      <w:proofErr w:type="spellEnd"/>
      <w:r w:rsidRPr="004F41C0">
        <w:rPr>
          <w:rFonts w:ascii="Times New Roman" w:hAnsi="Times New Roman" w:cs="Times New Roman"/>
          <w:sz w:val="24"/>
        </w:rPr>
        <w:t xml:space="preserve"> reagent following manufacturer protocols. Briefly, tumor tissue was ground under liquid‑nitrogen cooling; </w:t>
      </w:r>
      <w:proofErr w:type="spellStart"/>
      <w:r w:rsidRPr="004F41C0">
        <w:rPr>
          <w:rFonts w:ascii="Times New Roman" w:hAnsi="Times New Roman" w:cs="Times New Roman"/>
          <w:sz w:val="24"/>
        </w:rPr>
        <w:t>TRIzol</w:t>
      </w:r>
      <w:proofErr w:type="spellEnd"/>
      <w:r w:rsidRPr="004F41C0">
        <w:rPr>
          <w:rFonts w:ascii="Times New Roman" w:hAnsi="Times New Roman" w:cs="Times New Roman"/>
          <w:sz w:val="24"/>
        </w:rPr>
        <w:t xml:space="preserve"> lysis buffer was added for homogenization; chloroform phase separation was performed; RNA was precipitated with isopropanol, washed with 75 % ethanol, and dissolved in RNase‑free water. RNA integrity was assessed by Agilent 2100 Bioanalyzer (RIN &gt; 7.0 was required for subsequent library construction). RNA purity and concentration were quantified using Nanodrop and Qubit fluorometer.</w:t>
      </w:r>
      <w:r w:rsidR="006A345D">
        <w:rPr>
          <w:rFonts w:ascii="Times New Roman" w:hAnsi="Times New Roman" w:cs="Times New Roman"/>
          <w:sz w:val="24"/>
        </w:rPr>
        <w:t xml:space="preserve"> 2.</w:t>
      </w:r>
      <w:r w:rsidRPr="004F41C0">
        <w:rPr>
          <w:rFonts w:ascii="Times New Roman" w:hAnsi="Times New Roman" w:cs="Times New Roman"/>
          <w:sz w:val="24"/>
        </w:rPr>
        <w:t xml:space="preserve"> mRNA enrichment and library construction</w:t>
      </w:r>
      <w:r w:rsidR="006A345D">
        <w:rPr>
          <w:rFonts w:ascii="Times New Roman" w:hAnsi="Times New Roman" w:cs="Times New Roman"/>
          <w:sz w:val="24"/>
        </w:rPr>
        <w:t xml:space="preserve">: </w:t>
      </w:r>
      <w:r w:rsidRPr="004F41C0">
        <w:rPr>
          <w:rFonts w:ascii="Times New Roman" w:hAnsi="Times New Roman" w:cs="Times New Roman"/>
          <w:sz w:val="24"/>
        </w:rPr>
        <w:t>mRNA was enriched from total RNA using oligo‑dT magnetic beads to capture poly‑A‑containing mRNA molecules. Purified mRNA was fragmented into short fragments (200‑300 bp) under high‑temperature metal‑ion conditions. First‑strand cDNA was synthesized using random hexamer primers and reverse transcriptase. Second‑strand cDNA was synthesized with dNTP, DNA polymerase I and RNase H. End‑repair, A‑tailing and adapter ligation were performed sequentially. After adapter ligation, cDNA fragments were purified, followed by PCR amplification to construct strand‑specific RNA‑seq libraries. Library quality was validated by Agilent 2100 and qPCR quantification.</w:t>
      </w:r>
      <w:r w:rsidR="006A345D">
        <w:rPr>
          <w:rFonts w:ascii="Times New Roman" w:hAnsi="Times New Roman" w:cs="Times New Roman"/>
          <w:sz w:val="24"/>
        </w:rPr>
        <w:t xml:space="preserve"> 3.</w:t>
      </w:r>
      <w:r w:rsidRPr="004F41C0">
        <w:rPr>
          <w:rFonts w:ascii="Times New Roman" w:hAnsi="Times New Roman" w:cs="Times New Roman"/>
          <w:sz w:val="24"/>
        </w:rPr>
        <w:t xml:space="preserve"> Illumina high‑throughput sequencing</w:t>
      </w:r>
      <w:r w:rsidR="006A345D">
        <w:rPr>
          <w:rFonts w:ascii="Times New Roman" w:hAnsi="Times New Roman" w:cs="Times New Roman"/>
          <w:sz w:val="24"/>
        </w:rPr>
        <w:t xml:space="preserve">: </w:t>
      </w:r>
      <w:r w:rsidRPr="004F41C0">
        <w:rPr>
          <w:rFonts w:ascii="Times New Roman" w:hAnsi="Times New Roman" w:cs="Times New Roman"/>
          <w:sz w:val="24"/>
        </w:rPr>
        <w:t xml:space="preserve">Qualified libraries were loaded onto Illumina </w:t>
      </w:r>
      <w:proofErr w:type="spellStart"/>
      <w:r w:rsidRPr="004F41C0">
        <w:rPr>
          <w:rFonts w:ascii="Times New Roman" w:hAnsi="Times New Roman" w:cs="Times New Roman"/>
          <w:sz w:val="24"/>
        </w:rPr>
        <w:t>NovaSeq</w:t>
      </w:r>
      <w:proofErr w:type="spellEnd"/>
      <w:r w:rsidRPr="004F41C0">
        <w:rPr>
          <w:rFonts w:ascii="Times New Roman" w:hAnsi="Times New Roman" w:cs="Times New Roman"/>
          <w:sz w:val="24"/>
        </w:rPr>
        <w:t xml:space="preserve"> 6000 platform for paired‑end 150 bp (PE150) sequencing. Raw sequencing reads were generated.</w:t>
      </w:r>
      <w:r w:rsidR="00B507DE">
        <w:rPr>
          <w:rFonts w:ascii="Times New Roman" w:hAnsi="Times New Roman" w:cs="Times New Roman"/>
          <w:sz w:val="24"/>
        </w:rPr>
        <w:t xml:space="preserve"> 4. </w:t>
      </w:r>
      <w:r w:rsidRPr="004F41C0">
        <w:rPr>
          <w:rFonts w:ascii="Times New Roman" w:hAnsi="Times New Roman" w:cs="Times New Roman"/>
          <w:sz w:val="24"/>
        </w:rPr>
        <w:t>Raw data filtering and genome mapping</w:t>
      </w:r>
      <w:r w:rsidR="00B507DE">
        <w:rPr>
          <w:rFonts w:ascii="Times New Roman" w:hAnsi="Times New Roman" w:cs="Times New Roman"/>
          <w:sz w:val="24"/>
        </w:rPr>
        <w:t xml:space="preserve">: </w:t>
      </w:r>
      <w:r w:rsidRPr="004F41C0">
        <w:rPr>
          <w:rFonts w:ascii="Times New Roman" w:hAnsi="Times New Roman" w:cs="Times New Roman"/>
          <w:sz w:val="24"/>
        </w:rPr>
        <w:t xml:space="preserve">Raw reads were processed by </w:t>
      </w:r>
      <w:proofErr w:type="spellStart"/>
      <w:r w:rsidRPr="004F41C0">
        <w:rPr>
          <w:rFonts w:ascii="Times New Roman" w:hAnsi="Times New Roman" w:cs="Times New Roman"/>
          <w:sz w:val="24"/>
        </w:rPr>
        <w:t>fastp</w:t>
      </w:r>
      <w:proofErr w:type="spellEnd"/>
      <w:r w:rsidRPr="004F41C0">
        <w:rPr>
          <w:rFonts w:ascii="Times New Roman" w:hAnsi="Times New Roman" w:cs="Times New Roman"/>
          <w:sz w:val="24"/>
        </w:rPr>
        <w:t xml:space="preserve"> software to remove adapter sequences, low‑quality reads and reads containing N base. Clean reads were mapped to the rabbit reference genome (OryCun2.0) using HISAT2 software. Gene expression level was calculated as fragments per kilobase of transcript per million mapped reads (FPKM).</w:t>
      </w:r>
      <w:r w:rsidR="00B507DE">
        <w:rPr>
          <w:rFonts w:ascii="Times New Roman" w:hAnsi="Times New Roman" w:cs="Times New Roman"/>
          <w:sz w:val="24"/>
        </w:rPr>
        <w:t xml:space="preserve"> </w:t>
      </w:r>
      <w:r w:rsidRPr="004F41C0">
        <w:rPr>
          <w:rFonts w:ascii="Times New Roman" w:hAnsi="Times New Roman" w:cs="Times New Roman"/>
          <w:sz w:val="24"/>
        </w:rPr>
        <w:t>5</w:t>
      </w:r>
      <w:r w:rsidR="00B507DE">
        <w:rPr>
          <w:rFonts w:ascii="Times New Roman" w:hAnsi="Times New Roman" w:cs="Times New Roman"/>
          <w:sz w:val="24"/>
        </w:rPr>
        <w:t>.</w:t>
      </w:r>
      <w:r w:rsidRPr="004F41C0">
        <w:rPr>
          <w:rFonts w:ascii="Times New Roman" w:hAnsi="Times New Roman" w:cs="Times New Roman"/>
          <w:sz w:val="24"/>
        </w:rPr>
        <w:t xml:space="preserve"> Differential gene expression analysis</w:t>
      </w:r>
      <w:r w:rsidR="00B507DE">
        <w:rPr>
          <w:rFonts w:ascii="Times New Roman" w:hAnsi="Times New Roman" w:cs="Times New Roman"/>
          <w:sz w:val="24"/>
        </w:rPr>
        <w:t xml:space="preserve">: </w:t>
      </w:r>
      <w:r w:rsidRPr="004F41C0">
        <w:rPr>
          <w:rFonts w:ascii="Times New Roman" w:hAnsi="Times New Roman" w:cs="Times New Roman"/>
          <w:sz w:val="24"/>
        </w:rPr>
        <w:t xml:space="preserve">DESeq2 R package was used for </w:t>
      </w:r>
      <w:r w:rsidRPr="004F41C0">
        <w:rPr>
          <w:rFonts w:ascii="Times New Roman" w:hAnsi="Times New Roman" w:cs="Times New Roman"/>
          <w:sz w:val="24"/>
        </w:rPr>
        <w:lastRenderedPageBreak/>
        <w:t xml:space="preserve">differential‑expression analysis between Control and </w:t>
      </w:r>
      <w:proofErr w:type="spellStart"/>
      <w:r w:rsidRPr="004F41C0">
        <w:rPr>
          <w:rFonts w:ascii="Times New Roman" w:hAnsi="Times New Roman" w:cs="Times New Roman"/>
          <w:sz w:val="24"/>
        </w:rPr>
        <w:t>Sp</w:t>
      </w:r>
      <w:proofErr w:type="spellEnd"/>
      <w:r w:rsidRPr="004F41C0">
        <w:rPr>
          <w:rFonts w:ascii="Times New Roman" w:hAnsi="Times New Roman" w:cs="Times New Roman"/>
          <w:sz w:val="24"/>
        </w:rPr>
        <w:t>/TPZ@MNs groups. Screening thresholds for differentially expressed genes (DEGs): |log₂(fold‑change)| &gt; 1, adjusted *P*‑value &lt; 0.05. Volcano plot and expression heatmap were generated to visualize DEG profiles.</w:t>
      </w:r>
      <w:r w:rsidR="00B507DE">
        <w:rPr>
          <w:rFonts w:ascii="Times New Roman" w:hAnsi="Times New Roman" w:cs="Times New Roman"/>
          <w:sz w:val="24"/>
        </w:rPr>
        <w:t xml:space="preserve"> </w:t>
      </w:r>
      <w:r w:rsidRPr="004F41C0">
        <w:rPr>
          <w:rFonts w:ascii="Times New Roman" w:hAnsi="Times New Roman" w:cs="Times New Roman"/>
          <w:sz w:val="24"/>
        </w:rPr>
        <w:t>6</w:t>
      </w:r>
      <w:r w:rsidR="00B507DE">
        <w:rPr>
          <w:rFonts w:ascii="Times New Roman" w:hAnsi="Times New Roman" w:cs="Times New Roman"/>
          <w:sz w:val="24"/>
        </w:rPr>
        <w:t>.</w:t>
      </w:r>
      <w:r w:rsidRPr="004F41C0">
        <w:rPr>
          <w:rFonts w:ascii="Times New Roman" w:hAnsi="Times New Roman" w:cs="Times New Roman"/>
          <w:sz w:val="24"/>
        </w:rPr>
        <w:t xml:space="preserve"> Functional enrichment and GSEA</w:t>
      </w:r>
      <w:r w:rsidR="00B507DE">
        <w:rPr>
          <w:rFonts w:ascii="Times New Roman" w:hAnsi="Times New Roman" w:cs="Times New Roman"/>
          <w:sz w:val="24"/>
        </w:rPr>
        <w:t xml:space="preserve">: </w:t>
      </w:r>
      <w:proofErr w:type="spellStart"/>
      <w:r w:rsidRPr="004F41C0">
        <w:rPr>
          <w:rFonts w:ascii="Times New Roman" w:hAnsi="Times New Roman" w:cs="Times New Roman"/>
          <w:sz w:val="24"/>
        </w:rPr>
        <w:t>ClusterProfiler</w:t>
      </w:r>
      <w:proofErr w:type="spellEnd"/>
      <w:r w:rsidRPr="004F41C0">
        <w:rPr>
          <w:rFonts w:ascii="Times New Roman" w:hAnsi="Times New Roman" w:cs="Times New Roman"/>
          <w:sz w:val="24"/>
        </w:rPr>
        <w:t xml:space="preserve"> R package was applied for Gene Ontology (GO) biological‑process, cellular‑component, molecular‑function enrichment and KEGG pathway enrichment analysis, with adjusted *P* &lt; 0.05 considered significantly enriched. Gene Set Enrichment Analysis (GSEA) was performed using pre‑ranked gene list to identify perturbed signaling pathways; normalized enrichment score (NES) and nominal P‑value were reported.</w:t>
      </w:r>
    </w:p>
    <w:p w14:paraId="7376015A" w14:textId="77777777" w:rsidR="005912C4" w:rsidRDefault="004F41C0" w:rsidP="004F41C0">
      <w:pPr>
        <w:spacing w:line="360" w:lineRule="auto"/>
        <w:ind w:firstLineChars="200" w:firstLine="480"/>
        <w:rPr>
          <w:rFonts w:ascii="Times New Roman" w:hAnsi="Times New Roman" w:cs="Times New Roman"/>
          <w:sz w:val="24"/>
        </w:rPr>
        <w:sectPr w:rsidR="005912C4">
          <w:pgSz w:w="11906" w:h="16838"/>
          <w:pgMar w:top="1440" w:right="1800" w:bottom="1440" w:left="1800" w:header="851" w:footer="992" w:gutter="0"/>
          <w:cols w:space="425"/>
          <w:docGrid w:type="lines" w:linePitch="312"/>
        </w:sectPr>
      </w:pPr>
      <w:r w:rsidRPr="00B507DE">
        <w:rPr>
          <w:rFonts w:ascii="Times New Roman" w:hAnsi="Times New Roman" w:cs="Times New Roman"/>
          <w:b/>
          <w:sz w:val="24"/>
        </w:rPr>
        <w:t>Statistical analysis</w:t>
      </w:r>
      <w:r w:rsidR="00B507DE" w:rsidRPr="00B507DE">
        <w:rPr>
          <w:rFonts w:ascii="Times New Roman" w:hAnsi="Times New Roman" w:cs="Times New Roman"/>
          <w:b/>
          <w:sz w:val="24"/>
        </w:rPr>
        <w:t>:</w:t>
      </w:r>
      <w:r w:rsidR="00B507DE">
        <w:rPr>
          <w:rFonts w:ascii="Times New Roman" w:hAnsi="Times New Roman" w:cs="Times New Roman"/>
          <w:b/>
          <w:sz w:val="24"/>
        </w:rPr>
        <w:t xml:space="preserve"> </w:t>
      </w:r>
      <w:r w:rsidRPr="004F41C0">
        <w:rPr>
          <w:rFonts w:ascii="Times New Roman" w:hAnsi="Times New Roman" w:cs="Times New Roman"/>
          <w:sz w:val="24"/>
        </w:rPr>
        <w:t>All quantitative data were presented as mean ± standard deviation (SD). Statistical comparisons were performed using GraphPad Prism 9. Student’s t‑test was applied for two‑group comparison; one‑way or two‑way ANOVA followed by Tukey’s post‑hoc test was used for multi‑group comparisons. P &lt; 0.05 was considered statistically significant. ns, not significant; *P &lt; 0.05, **P &lt; 0.01, ***P &lt; 0.001, ****P &lt; 0.0001.</w:t>
      </w:r>
    </w:p>
    <w:p w14:paraId="71EEB416" w14:textId="0E74BC32" w:rsidR="003A1C27" w:rsidRDefault="00375BDB" w:rsidP="00375BDB">
      <w:pPr>
        <w:spacing w:line="360" w:lineRule="auto"/>
        <w:ind w:firstLineChars="200" w:firstLine="480"/>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5D0E3B18" wp14:editId="605C7E91">
            <wp:extent cx="2882900" cy="259810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8765" cy="2603395"/>
                    </a:xfrm>
                    <a:prstGeom prst="rect">
                      <a:avLst/>
                    </a:prstGeom>
                    <a:noFill/>
                  </pic:spPr>
                </pic:pic>
              </a:graphicData>
            </a:graphic>
          </wp:inline>
        </w:drawing>
      </w:r>
    </w:p>
    <w:p w14:paraId="0C250D70" w14:textId="51857466" w:rsidR="00375BDB" w:rsidRDefault="00375BDB" w:rsidP="00C608D0">
      <w:pPr>
        <w:spacing w:line="360" w:lineRule="auto"/>
        <w:rPr>
          <w:rFonts w:ascii="Times New Roman" w:hAnsi="Times New Roman" w:cs="Times New Roman"/>
          <w:sz w:val="24"/>
        </w:rPr>
      </w:pPr>
      <w:r w:rsidRPr="00375BDB">
        <w:rPr>
          <w:rFonts w:ascii="Times New Roman" w:hAnsi="Times New Roman" w:cs="Times New Roman" w:hint="eastAsia"/>
          <w:b/>
          <w:bCs/>
          <w:sz w:val="24"/>
        </w:rPr>
        <w:t xml:space="preserve">Figure S1. </w:t>
      </w:r>
      <w:r w:rsidR="00D90313" w:rsidRPr="00D90313">
        <w:rPr>
          <w:rFonts w:ascii="Times New Roman" w:hAnsi="Times New Roman" w:cs="Times New Roman" w:hint="eastAsia"/>
          <w:sz w:val="24"/>
        </w:rPr>
        <w:t xml:space="preserve">Optical microscope image of </w:t>
      </w:r>
      <w:proofErr w:type="spellStart"/>
      <w:r w:rsidR="00D90313" w:rsidRPr="00D90313">
        <w:rPr>
          <w:rFonts w:ascii="Times New Roman" w:hAnsi="Times New Roman" w:cs="Times New Roman" w:hint="eastAsia"/>
          <w:sz w:val="24"/>
        </w:rPr>
        <w:t>Sp</w:t>
      </w:r>
      <w:proofErr w:type="spellEnd"/>
      <w:r w:rsidR="00D90313" w:rsidRPr="00D90313">
        <w:rPr>
          <w:rFonts w:ascii="Times New Roman" w:hAnsi="Times New Roman" w:cs="Times New Roman" w:hint="eastAsia"/>
          <w:sz w:val="24"/>
        </w:rPr>
        <w:t>/TPZ@MNs.</w:t>
      </w:r>
    </w:p>
    <w:p w14:paraId="6F968F8A" w14:textId="77777777" w:rsidR="00C608D0" w:rsidRDefault="00C608D0" w:rsidP="00D90313">
      <w:pPr>
        <w:spacing w:line="360" w:lineRule="auto"/>
        <w:ind w:firstLineChars="200" w:firstLine="480"/>
        <w:rPr>
          <w:rFonts w:ascii="Times New Roman" w:hAnsi="Times New Roman" w:cs="Times New Roman"/>
          <w:sz w:val="24"/>
        </w:rPr>
      </w:pPr>
    </w:p>
    <w:p w14:paraId="6CAE0981" w14:textId="77777777" w:rsidR="00C608D0" w:rsidRPr="00D90313" w:rsidRDefault="00C608D0" w:rsidP="00D90313">
      <w:pPr>
        <w:spacing w:line="360" w:lineRule="auto"/>
        <w:ind w:firstLineChars="200" w:firstLine="480"/>
        <w:rPr>
          <w:rFonts w:ascii="Times New Roman" w:hAnsi="Times New Roman" w:cs="Times New Roman"/>
          <w:sz w:val="24"/>
        </w:rPr>
      </w:pPr>
    </w:p>
    <w:p w14:paraId="17CEC90E" w14:textId="149BB0A5" w:rsidR="00375BDB" w:rsidRDefault="00375BDB" w:rsidP="00375BDB">
      <w:pPr>
        <w:spacing w:line="360" w:lineRule="auto"/>
        <w:ind w:firstLineChars="200" w:firstLine="420"/>
        <w:jc w:val="center"/>
        <w:rPr>
          <w:rFonts w:ascii="Times New Roman" w:hAnsi="Times New Roman" w:cs="Times New Roman"/>
          <w:sz w:val="24"/>
        </w:rPr>
      </w:pPr>
      <w:r w:rsidRPr="00375BDB">
        <w:rPr>
          <w:rFonts w:hint="eastAsia"/>
          <w:noProof/>
        </w:rPr>
        <w:drawing>
          <wp:inline distT="0" distB="0" distL="0" distR="0" wp14:anchorId="33EEAF27" wp14:editId="4F5896BD">
            <wp:extent cx="2927350" cy="2095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7350" cy="2095500"/>
                    </a:xfrm>
                    <a:prstGeom prst="rect">
                      <a:avLst/>
                    </a:prstGeom>
                    <a:noFill/>
                    <a:ln>
                      <a:noFill/>
                    </a:ln>
                  </pic:spPr>
                </pic:pic>
              </a:graphicData>
            </a:graphic>
          </wp:inline>
        </w:drawing>
      </w:r>
    </w:p>
    <w:p w14:paraId="47AE576F" w14:textId="4AC1CF68" w:rsidR="00C608D0" w:rsidRDefault="00C608D0" w:rsidP="00C608D0">
      <w:pPr>
        <w:spacing w:line="360" w:lineRule="auto"/>
        <w:rPr>
          <w:rFonts w:ascii="Times New Roman" w:hAnsi="Times New Roman" w:cs="Times New Roman"/>
          <w:sz w:val="24"/>
        </w:rPr>
      </w:pPr>
      <w:r w:rsidRPr="00375BDB">
        <w:rPr>
          <w:rFonts w:ascii="Times New Roman" w:hAnsi="Times New Roman" w:cs="Times New Roman" w:hint="eastAsia"/>
          <w:b/>
          <w:bCs/>
          <w:sz w:val="24"/>
        </w:rPr>
        <w:t>Figure S</w:t>
      </w:r>
      <w:r>
        <w:rPr>
          <w:rFonts w:ascii="Times New Roman" w:hAnsi="Times New Roman" w:cs="Times New Roman" w:hint="eastAsia"/>
          <w:b/>
          <w:bCs/>
          <w:sz w:val="24"/>
        </w:rPr>
        <w:t>2</w:t>
      </w:r>
      <w:r w:rsidRPr="00375BDB">
        <w:rPr>
          <w:rFonts w:ascii="Times New Roman" w:hAnsi="Times New Roman" w:cs="Times New Roman" w:hint="eastAsia"/>
          <w:b/>
          <w:bCs/>
          <w:sz w:val="24"/>
        </w:rPr>
        <w:t xml:space="preserve">. </w:t>
      </w:r>
      <w:r w:rsidRPr="00C608D0">
        <w:rPr>
          <w:rFonts w:ascii="Times New Roman" w:hAnsi="Times New Roman" w:cs="Times New Roman"/>
          <w:sz w:val="24"/>
        </w:rPr>
        <w:t xml:space="preserve">Degradation profiles of </w:t>
      </w:r>
      <w:proofErr w:type="spellStart"/>
      <w:r w:rsidRPr="00C608D0">
        <w:rPr>
          <w:rFonts w:ascii="Times New Roman" w:hAnsi="Times New Roman" w:cs="Times New Roman"/>
          <w:sz w:val="24"/>
        </w:rPr>
        <w:t>Sp</w:t>
      </w:r>
      <w:proofErr w:type="spellEnd"/>
      <w:r w:rsidRPr="00C608D0">
        <w:rPr>
          <w:rFonts w:ascii="Times New Roman" w:hAnsi="Times New Roman" w:cs="Times New Roman"/>
          <w:sz w:val="24"/>
        </w:rPr>
        <w:t>/TPZ@MNs at hyaluronidase (</w:t>
      </w:r>
      <w:proofErr w:type="spellStart"/>
      <w:r w:rsidRPr="00C608D0">
        <w:rPr>
          <w:rFonts w:ascii="Times New Roman" w:hAnsi="Times New Roman" w:cs="Times New Roman"/>
          <w:sz w:val="24"/>
        </w:rPr>
        <w:t>HAase</w:t>
      </w:r>
      <w:proofErr w:type="spellEnd"/>
      <w:r w:rsidRPr="00C608D0">
        <w:rPr>
          <w:rFonts w:ascii="Times New Roman" w:hAnsi="Times New Roman" w:cs="Times New Roman"/>
          <w:sz w:val="24"/>
        </w:rPr>
        <w:t>) concentrations of 25 and 50 U/mL (n = 3 biological samples)</w:t>
      </w:r>
      <w:r>
        <w:rPr>
          <w:rFonts w:ascii="Times New Roman" w:hAnsi="Times New Roman" w:cs="Times New Roman" w:hint="eastAsia"/>
          <w:sz w:val="24"/>
        </w:rPr>
        <w:t>.</w:t>
      </w:r>
    </w:p>
    <w:p w14:paraId="64761081" w14:textId="77777777" w:rsidR="00C608D0" w:rsidRDefault="00C608D0" w:rsidP="00C608D0">
      <w:pPr>
        <w:spacing w:line="360" w:lineRule="auto"/>
        <w:rPr>
          <w:rFonts w:ascii="Times New Roman" w:hAnsi="Times New Roman" w:cs="Times New Roman"/>
          <w:sz w:val="24"/>
        </w:rPr>
      </w:pPr>
    </w:p>
    <w:p w14:paraId="382645F1" w14:textId="262DC027" w:rsidR="00C608D0" w:rsidRDefault="00C608D0" w:rsidP="00C608D0">
      <w:pPr>
        <w:spacing w:line="360" w:lineRule="auto"/>
        <w:jc w:val="center"/>
        <w:rPr>
          <w:rFonts w:ascii="Times New Roman" w:hAnsi="Times New Roman" w:cs="Times New Roman"/>
          <w:sz w:val="24"/>
        </w:rPr>
      </w:pPr>
      <w:r w:rsidRPr="00C608D0">
        <w:rPr>
          <w:rFonts w:hint="eastAsia"/>
          <w:noProof/>
        </w:rPr>
        <w:lastRenderedPageBreak/>
        <w:drawing>
          <wp:inline distT="0" distB="0" distL="0" distR="0" wp14:anchorId="64226805" wp14:editId="432AD96A">
            <wp:extent cx="2609850" cy="2280297"/>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976" cy="2280407"/>
                    </a:xfrm>
                    <a:prstGeom prst="rect">
                      <a:avLst/>
                    </a:prstGeom>
                    <a:noFill/>
                    <a:ln>
                      <a:noFill/>
                    </a:ln>
                  </pic:spPr>
                </pic:pic>
              </a:graphicData>
            </a:graphic>
          </wp:inline>
        </w:drawing>
      </w:r>
    </w:p>
    <w:p w14:paraId="7D68BF38" w14:textId="226C6D38" w:rsidR="00C608D0" w:rsidRDefault="00C608D0" w:rsidP="00C608D0">
      <w:pPr>
        <w:spacing w:line="360" w:lineRule="auto"/>
        <w:rPr>
          <w:rFonts w:ascii="Times New Roman" w:hAnsi="Times New Roman" w:cs="Times New Roman"/>
          <w:sz w:val="24"/>
        </w:rPr>
      </w:pPr>
      <w:r w:rsidRPr="00375BDB">
        <w:rPr>
          <w:rFonts w:ascii="Times New Roman" w:hAnsi="Times New Roman" w:cs="Times New Roman" w:hint="eastAsia"/>
          <w:b/>
          <w:bCs/>
          <w:sz w:val="24"/>
        </w:rPr>
        <w:t>Figure S</w:t>
      </w:r>
      <w:r>
        <w:rPr>
          <w:rFonts w:ascii="Times New Roman" w:hAnsi="Times New Roman" w:cs="Times New Roman" w:hint="eastAsia"/>
          <w:b/>
          <w:bCs/>
          <w:sz w:val="24"/>
        </w:rPr>
        <w:t>3</w:t>
      </w:r>
      <w:r w:rsidRPr="00375BDB">
        <w:rPr>
          <w:rFonts w:ascii="Times New Roman" w:hAnsi="Times New Roman" w:cs="Times New Roman" w:hint="eastAsia"/>
          <w:b/>
          <w:bCs/>
          <w:sz w:val="24"/>
        </w:rPr>
        <w:t xml:space="preserve">. </w:t>
      </w:r>
      <w:r w:rsidRPr="00C608D0">
        <w:rPr>
          <w:rFonts w:ascii="Times New Roman" w:hAnsi="Times New Roman" w:cs="Times New Roman"/>
          <w:sz w:val="24"/>
        </w:rPr>
        <w:t>Quantitative flow‑cytometric analysis of apoptosis in HepG2 cells treated with different gel systems under varied experimental conditions.</w:t>
      </w:r>
    </w:p>
    <w:p w14:paraId="7BD30E8E" w14:textId="77777777" w:rsidR="002E7ADC" w:rsidRDefault="002E7ADC" w:rsidP="00C608D0">
      <w:pPr>
        <w:spacing w:line="360" w:lineRule="auto"/>
        <w:rPr>
          <w:rFonts w:ascii="Times New Roman" w:hAnsi="Times New Roman" w:cs="Times New Roman"/>
          <w:sz w:val="24"/>
        </w:rPr>
      </w:pPr>
    </w:p>
    <w:p w14:paraId="0918216D" w14:textId="77777777" w:rsidR="002E7ADC" w:rsidRDefault="002E7ADC" w:rsidP="00C608D0">
      <w:pPr>
        <w:spacing w:line="360" w:lineRule="auto"/>
        <w:rPr>
          <w:rFonts w:ascii="Times New Roman" w:hAnsi="Times New Roman" w:cs="Times New Roman"/>
          <w:sz w:val="24"/>
        </w:rPr>
      </w:pPr>
    </w:p>
    <w:p w14:paraId="64521D6D" w14:textId="13C184A7" w:rsidR="002E7ADC" w:rsidRDefault="002E7ADC" w:rsidP="002E7ADC">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52B879A8" wp14:editId="61A32201">
            <wp:extent cx="5234305" cy="1923146"/>
            <wp:effectExtent l="0" t="0" r="4445"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8774" cy="1928462"/>
                    </a:xfrm>
                    <a:prstGeom prst="rect">
                      <a:avLst/>
                    </a:prstGeom>
                    <a:noFill/>
                  </pic:spPr>
                </pic:pic>
              </a:graphicData>
            </a:graphic>
          </wp:inline>
        </w:drawing>
      </w:r>
    </w:p>
    <w:p w14:paraId="40D23D83" w14:textId="0EDF7A59" w:rsidR="002E7ADC" w:rsidRDefault="002E7ADC" w:rsidP="002E7ADC">
      <w:pPr>
        <w:spacing w:line="360" w:lineRule="auto"/>
        <w:rPr>
          <w:rFonts w:ascii="Times New Roman" w:hAnsi="Times New Roman" w:cs="Times New Roman"/>
          <w:sz w:val="24"/>
        </w:rPr>
      </w:pPr>
      <w:r w:rsidRPr="00375BDB">
        <w:rPr>
          <w:rFonts w:ascii="Times New Roman" w:hAnsi="Times New Roman" w:cs="Times New Roman" w:hint="eastAsia"/>
          <w:b/>
          <w:bCs/>
          <w:sz w:val="24"/>
        </w:rPr>
        <w:t>Figure S</w:t>
      </w:r>
      <w:r>
        <w:rPr>
          <w:rFonts w:ascii="Times New Roman" w:hAnsi="Times New Roman" w:cs="Times New Roman" w:hint="eastAsia"/>
          <w:b/>
          <w:bCs/>
          <w:sz w:val="24"/>
        </w:rPr>
        <w:t>4</w:t>
      </w:r>
      <w:r w:rsidRPr="00375BDB">
        <w:rPr>
          <w:rFonts w:ascii="Times New Roman" w:hAnsi="Times New Roman" w:cs="Times New Roman" w:hint="eastAsia"/>
          <w:b/>
          <w:bCs/>
          <w:sz w:val="24"/>
        </w:rPr>
        <w:t xml:space="preserve">. </w:t>
      </w:r>
      <w:r w:rsidRPr="002E7ADC">
        <w:rPr>
          <w:rFonts w:ascii="Times New Roman" w:hAnsi="Times New Roman" w:cs="Times New Roman" w:hint="eastAsia"/>
          <w:sz w:val="24"/>
        </w:rPr>
        <w:t xml:space="preserve">Immunofluorescence micrographs of tumor tissue sections displaying intrinsic </w:t>
      </w:r>
      <w:proofErr w:type="spellStart"/>
      <w:r w:rsidRPr="002E7ADC">
        <w:rPr>
          <w:rFonts w:ascii="Times New Roman" w:hAnsi="Times New Roman" w:cs="Times New Roman" w:hint="eastAsia"/>
          <w:sz w:val="24"/>
        </w:rPr>
        <w:t>Sp</w:t>
      </w:r>
      <w:proofErr w:type="spellEnd"/>
      <w:r w:rsidRPr="002E7ADC">
        <w:rPr>
          <w:rFonts w:ascii="Times New Roman" w:hAnsi="Times New Roman" w:cs="Times New Roman" w:hint="eastAsia"/>
          <w:sz w:val="24"/>
        </w:rPr>
        <w:t xml:space="preserve"> autofluorescence within tumor parenchyma.</w:t>
      </w:r>
    </w:p>
    <w:p w14:paraId="50755888" w14:textId="77777777" w:rsidR="002E7ADC" w:rsidRPr="002E7ADC" w:rsidRDefault="002E7ADC" w:rsidP="002E7ADC">
      <w:pPr>
        <w:spacing w:line="360" w:lineRule="auto"/>
        <w:jc w:val="center"/>
        <w:rPr>
          <w:rFonts w:ascii="Times New Roman" w:hAnsi="Times New Roman" w:cs="Times New Roman"/>
          <w:sz w:val="24"/>
        </w:rPr>
      </w:pPr>
    </w:p>
    <w:p w14:paraId="79525287" w14:textId="5FC9EC1A" w:rsidR="000F526F" w:rsidRDefault="000C4822" w:rsidP="000C4822">
      <w:pPr>
        <w:spacing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24446676" wp14:editId="711175C1">
            <wp:extent cx="3736340" cy="3827642"/>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1496" cy="3832924"/>
                    </a:xfrm>
                    <a:prstGeom prst="rect">
                      <a:avLst/>
                    </a:prstGeom>
                    <a:noFill/>
                  </pic:spPr>
                </pic:pic>
              </a:graphicData>
            </a:graphic>
          </wp:inline>
        </w:drawing>
      </w:r>
    </w:p>
    <w:p w14:paraId="5ACFAE8D" w14:textId="6563F75C" w:rsidR="000C4822" w:rsidRDefault="000C4822" w:rsidP="000C4822">
      <w:pPr>
        <w:spacing w:line="360" w:lineRule="auto"/>
        <w:rPr>
          <w:rFonts w:ascii="Times New Roman" w:hAnsi="Times New Roman" w:cs="Times New Roman"/>
          <w:sz w:val="24"/>
        </w:rPr>
      </w:pPr>
      <w:r w:rsidRPr="00375BDB">
        <w:rPr>
          <w:rFonts w:ascii="Times New Roman" w:hAnsi="Times New Roman" w:cs="Times New Roman" w:hint="eastAsia"/>
          <w:b/>
          <w:bCs/>
          <w:sz w:val="24"/>
        </w:rPr>
        <w:t>Figure S</w:t>
      </w:r>
      <w:r w:rsidR="002E7ADC">
        <w:rPr>
          <w:rFonts w:ascii="Times New Roman" w:hAnsi="Times New Roman" w:cs="Times New Roman" w:hint="eastAsia"/>
          <w:b/>
          <w:bCs/>
          <w:sz w:val="24"/>
        </w:rPr>
        <w:t>5</w:t>
      </w:r>
      <w:r w:rsidRPr="00375BDB">
        <w:rPr>
          <w:rFonts w:ascii="Times New Roman" w:hAnsi="Times New Roman" w:cs="Times New Roman" w:hint="eastAsia"/>
          <w:b/>
          <w:bCs/>
          <w:sz w:val="24"/>
        </w:rPr>
        <w:t xml:space="preserve">. </w:t>
      </w:r>
      <w:r w:rsidRPr="000C4822">
        <w:rPr>
          <w:rFonts w:ascii="Times New Roman" w:hAnsi="Times New Roman" w:cs="Times New Roman" w:hint="eastAsia"/>
          <w:sz w:val="24"/>
        </w:rPr>
        <w:t>H&amp;E-stained</w:t>
      </w:r>
      <w:r>
        <w:rPr>
          <w:rFonts w:ascii="Times New Roman" w:hAnsi="Times New Roman" w:cs="Times New Roman" w:hint="eastAsia"/>
          <w:sz w:val="24"/>
        </w:rPr>
        <w:t xml:space="preserve"> liver</w:t>
      </w:r>
      <w:r w:rsidRPr="000C4822">
        <w:rPr>
          <w:rFonts w:ascii="Times New Roman" w:hAnsi="Times New Roman" w:cs="Times New Roman" w:hint="eastAsia"/>
          <w:sz w:val="24"/>
        </w:rPr>
        <w:t xml:space="preserve"> sections of tumor-bearing rabbits</w:t>
      </w:r>
      <w:r>
        <w:rPr>
          <w:rFonts w:ascii="Times New Roman" w:hAnsi="Times New Roman" w:cs="Times New Roman" w:hint="eastAsia"/>
          <w:sz w:val="24"/>
        </w:rPr>
        <w:t xml:space="preserve"> before and</w:t>
      </w:r>
      <w:r w:rsidRPr="000C4822">
        <w:rPr>
          <w:rFonts w:ascii="Times New Roman" w:hAnsi="Times New Roman" w:cs="Times New Roman" w:hint="eastAsia"/>
          <w:sz w:val="24"/>
        </w:rPr>
        <w:t xml:space="preserve"> post-embolization with </w:t>
      </w:r>
      <w:proofErr w:type="spellStart"/>
      <w:r w:rsidRPr="000C4822">
        <w:rPr>
          <w:rFonts w:ascii="Times New Roman" w:hAnsi="Times New Roman" w:cs="Times New Roman" w:hint="eastAsia"/>
          <w:sz w:val="24"/>
        </w:rPr>
        <w:t>Sp</w:t>
      </w:r>
      <w:proofErr w:type="spellEnd"/>
      <w:r w:rsidRPr="000C4822">
        <w:rPr>
          <w:rFonts w:ascii="Times New Roman" w:hAnsi="Times New Roman" w:cs="Times New Roman" w:hint="eastAsia"/>
          <w:sz w:val="24"/>
        </w:rPr>
        <w:t>/TPZ@MNs.</w:t>
      </w:r>
    </w:p>
    <w:p w14:paraId="61E20A2E" w14:textId="77777777" w:rsidR="00100D15" w:rsidRDefault="00100D15" w:rsidP="000C4822">
      <w:pPr>
        <w:spacing w:line="360" w:lineRule="auto"/>
        <w:rPr>
          <w:rFonts w:ascii="Times New Roman" w:hAnsi="Times New Roman" w:cs="Times New Roman"/>
          <w:sz w:val="24"/>
        </w:rPr>
      </w:pPr>
    </w:p>
    <w:p w14:paraId="13FE74A3" w14:textId="77777777" w:rsidR="00100D15" w:rsidRDefault="00100D15" w:rsidP="000C4822">
      <w:pPr>
        <w:spacing w:line="360" w:lineRule="auto"/>
        <w:rPr>
          <w:rFonts w:ascii="Times New Roman" w:hAnsi="Times New Roman" w:cs="Times New Roman"/>
          <w:sz w:val="24"/>
        </w:rPr>
      </w:pPr>
    </w:p>
    <w:p w14:paraId="1ACC5700" w14:textId="2AE81C9A" w:rsidR="000F526F" w:rsidRDefault="000F526F" w:rsidP="000F526F">
      <w:pPr>
        <w:spacing w:line="360" w:lineRule="auto"/>
        <w:jc w:val="center"/>
        <w:rPr>
          <w:rFonts w:ascii="Times New Roman" w:hAnsi="Times New Roman" w:cs="Times New Roman"/>
          <w:sz w:val="24"/>
        </w:rPr>
      </w:pPr>
      <w:r>
        <w:rPr>
          <w:noProof/>
        </w:rPr>
        <w:drawing>
          <wp:inline distT="0" distB="0" distL="0" distR="0" wp14:anchorId="259DF91E" wp14:editId="2DABCF2F">
            <wp:extent cx="3054350" cy="2384514"/>
            <wp:effectExtent l="0" t="0" r="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9"/>
                    <a:srcRect l="27388" t="11889" r="7292"/>
                    <a:stretch>
                      <a:fillRect/>
                    </a:stretch>
                  </pic:blipFill>
                  <pic:spPr>
                    <a:xfrm>
                      <a:off x="0" y="0"/>
                      <a:ext cx="3058586" cy="2387821"/>
                    </a:xfrm>
                    <a:prstGeom prst="rect">
                      <a:avLst/>
                    </a:prstGeom>
                  </pic:spPr>
                </pic:pic>
              </a:graphicData>
            </a:graphic>
          </wp:inline>
        </w:drawing>
      </w:r>
    </w:p>
    <w:p w14:paraId="3F25FD7F" w14:textId="1A01BFB0" w:rsidR="000F526F" w:rsidRDefault="000F526F" w:rsidP="000F526F">
      <w:pPr>
        <w:spacing w:line="360" w:lineRule="auto"/>
        <w:rPr>
          <w:rFonts w:ascii="Times New Roman" w:hAnsi="Times New Roman" w:cs="Times New Roman"/>
          <w:sz w:val="24"/>
        </w:rPr>
      </w:pPr>
      <w:r w:rsidRPr="00375BDB">
        <w:rPr>
          <w:rFonts w:ascii="Times New Roman" w:hAnsi="Times New Roman" w:cs="Times New Roman" w:hint="eastAsia"/>
          <w:b/>
          <w:bCs/>
          <w:sz w:val="24"/>
        </w:rPr>
        <w:t>Figure S</w:t>
      </w:r>
      <w:r w:rsidR="002E7ADC">
        <w:rPr>
          <w:rFonts w:ascii="Times New Roman" w:hAnsi="Times New Roman" w:cs="Times New Roman" w:hint="eastAsia"/>
          <w:b/>
          <w:bCs/>
          <w:sz w:val="24"/>
        </w:rPr>
        <w:t>7</w:t>
      </w:r>
      <w:r w:rsidRPr="00375BDB">
        <w:rPr>
          <w:rFonts w:ascii="Times New Roman" w:hAnsi="Times New Roman" w:cs="Times New Roman" w:hint="eastAsia"/>
          <w:b/>
          <w:bCs/>
          <w:sz w:val="24"/>
        </w:rPr>
        <w:t xml:space="preserve">. </w:t>
      </w:r>
      <w:r w:rsidRPr="000F526F">
        <w:rPr>
          <w:rFonts w:ascii="Times New Roman" w:hAnsi="Times New Roman" w:cs="Times New Roman"/>
          <w:sz w:val="24"/>
        </w:rPr>
        <w:t>Representative in‑vivo ultrasound image of the tumor. The cross‑calipers indicate the longitudinal (1.27 cm) and transverse (0.78 cm) dimensions of the tumor lesion.</w:t>
      </w:r>
    </w:p>
    <w:p w14:paraId="063A28E1" w14:textId="78EBA110" w:rsidR="000F526F" w:rsidRDefault="004006A1" w:rsidP="000F526F">
      <w:pPr>
        <w:spacing w:line="360" w:lineRule="auto"/>
        <w:jc w:val="center"/>
        <w:rPr>
          <w:rFonts w:ascii="Times New Roman" w:hAnsi="Times New Roman" w:cs="Times New Roman"/>
          <w:sz w:val="24"/>
        </w:rPr>
      </w:pPr>
      <w:r w:rsidRPr="004006A1">
        <w:rPr>
          <w:rFonts w:hint="eastAsia"/>
          <w:noProof/>
        </w:rPr>
        <w:lastRenderedPageBreak/>
        <w:drawing>
          <wp:inline distT="0" distB="0" distL="0" distR="0" wp14:anchorId="17ABD7CA" wp14:editId="7E17FA56">
            <wp:extent cx="3333750" cy="28194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0" cy="2819400"/>
                    </a:xfrm>
                    <a:prstGeom prst="rect">
                      <a:avLst/>
                    </a:prstGeom>
                    <a:noFill/>
                    <a:ln>
                      <a:noFill/>
                    </a:ln>
                  </pic:spPr>
                </pic:pic>
              </a:graphicData>
            </a:graphic>
          </wp:inline>
        </w:drawing>
      </w:r>
    </w:p>
    <w:p w14:paraId="4E9E1D59" w14:textId="471DC717" w:rsidR="004006A1" w:rsidRDefault="004006A1" w:rsidP="004006A1">
      <w:pPr>
        <w:spacing w:line="360" w:lineRule="auto"/>
        <w:rPr>
          <w:rFonts w:ascii="Times New Roman" w:hAnsi="Times New Roman" w:cs="Times New Roman"/>
          <w:sz w:val="24"/>
        </w:rPr>
      </w:pPr>
      <w:r w:rsidRPr="004006A1">
        <w:rPr>
          <w:rFonts w:ascii="Times New Roman" w:hAnsi="Times New Roman" w:cs="Times New Roman" w:hint="eastAsia"/>
          <w:b/>
          <w:bCs/>
          <w:sz w:val="24"/>
        </w:rPr>
        <w:t>Figure S8.</w:t>
      </w:r>
      <w:r>
        <w:rPr>
          <w:rFonts w:ascii="Times New Roman" w:hAnsi="Times New Roman" w:cs="Times New Roman" w:hint="eastAsia"/>
          <w:sz w:val="24"/>
        </w:rPr>
        <w:t xml:space="preserve"> </w:t>
      </w:r>
      <w:r w:rsidRPr="004006A1">
        <w:rPr>
          <w:rFonts w:ascii="Times New Roman" w:hAnsi="Times New Roman" w:cs="Times New Roman"/>
          <w:sz w:val="24"/>
        </w:rPr>
        <w:t xml:space="preserve">Quantitative statistical analysis of the relative fluorescence intensity of </w:t>
      </w:r>
      <w:r>
        <w:rPr>
          <w:rFonts w:ascii="Times New Roman" w:hAnsi="Times New Roman" w:cs="Times New Roman" w:hint="eastAsia"/>
          <w:sz w:val="24"/>
        </w:rPr>
        <w:t>HIF-</w:t>
      </w:r>
      <w:r w:rsidRPr="004006A1">
        <w:rPr>
          <w:rFonts w:ascii="Times New Roman" w:hAnsi="Times New Roman" w:cs="Times New Roman"/>
          <w:sz w:val="24"/>
        </w:rPr>
        <w:t>α from immunofluorescence</w:t>
      </w:r>
      <w:r w:rsidRPr="004006A1">
        <w:rPr>
          <w:rFonts w:ascii="Times New Roman" w:hAnsi="Times New Roman" w:cs="Times New Roman"/>
          <w:sz w:val="24"/>
        </w:rPr>
        <w:noBreakHyphen/>
        <w:t>stained tumor sections. Data are presented as mean ± SD.</w:t>
      </w:r>
    </w:p>
    <w:p w14:paraId="7A76D80A" w14:textId="77777777" w:rsidR="004006A1" w:rsidRDefault="004006A1" w:rsidP="000F526F">
      <w:pPr>
        <w:spacing w:line="360" w:lineRule="auto"/>
        <w:jc w:val="center"/>
        <w:rPr>
          <w:rFonts w:ascii="Times New Roman" w:hAnsi="Times New Roman" w:cs="Times New Roman"/>
          <w:sz w:val="24"/>
        </w:rPr>
      </w:pPr>
      <w:r w:rsidRPr="004006A1">
        <w:rPr>
          <w:rFonts w:hint="eastAsia"/>
          <w:noProof/>
        </w:rPr>
        <w:drawing>
          <wp:inline distT="0" distB="0" distL="0" distR="0" wp14:anchorId="3FF1EE14" wp14:editId="557DF217">
            <wp:extent cx="3333750" cy="28194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2819400"/>
                    </a:xfrm>
                    <a:prstGeom prst="rect">
                      <a:avLst/>
                    </a:prstGeom>
                    <a:noFill/>
                    <a:ln>
                      <a:noFill/>
                    </a:ln>
                  </pic:spPr>
                </pic:pic>
              </a:graphicData>
            </a:graphic>
          </wp:inline>
        </w:drawing>
      </w:r>
      <w:r w:rsidRPr="004006A1">
        <w:rPr>
          <w:rFonts w:ascii="Times New Roman" w:hAnsi="Times New Roman" w:cs="Times New Roman" w:hint="eastAsia"/>
          <w:sz w:val="24"/>
        </w:rPr>
        <w:t xml:space="preserve"> </w:t>
      </w:r>
    </w:p>
    <w:p w14:paraId="3C4AFE21" w14:textId="2CD49EB0" w:rsidR="004006A1" w:rsidRDefault="004006A1" w:rsidP="004006A1">
      <w:pPr>
        <w:spacing w:line="360" w:lineRule="auto"/>
        <w:rPr>
          <w:rFonts w:ascii="Times New Roman" w:hAnsi="Times New Roman" w:cs="Times New Roman"/>
          <w:sz w:val="24"/>
        </w:rPr>
      </w:pPr>
      <w:r w:rsidRPr="004006A1">
        <w:rPr>
          <w:rFonts w:ascii="Times New Roman" w:hAnsi="Times New Roman" w:cs="Times New Roman" w:hint="eastAsia"/>
          <w:b/>
          <w:bCs/>
          <w:sz w:val="24"/>
        </w:rPr>
        <w:t>Figure S</w:t>
      </w:r>
      <w:r w:rsidR="004E4577">
        <w:rPr>
          <w:rFonts w:ascii="Times New Roman" w:hAnsi="Times New Roman" w:cs="Times New Roman" w:hint="eastAsia"/>
          <w:b/>
          <w:bCs/>
          <w:sz w:val="24"/>
        </w:rPr>
        <w:t>9</w:t>
      </w:r>
      <w:r w:rsidRPr="004006A1">
        <w:rPr>
          <w:rFonts w:ascii="Times New Roman" w:hAnsi="Times New Roman" w:cs="Times New Roman" w:hint="eastAsia"/>
          <w:b/>
          <w:bCs/>
          <w:sz w:val="24"/>
        </w:rPr>
        <w:t>.</w:t>
      </w:r>
      <w:r>
        <w:rPr>
          <w:rFonts w:ascii="Times New Roman" w:hAnsi="Times New Roman" w:cs="Times New Roman" w:hint="eastAsia"/>
          <w:sz w:val="24"/>
        </w:rPr>
        <w:t xml:space="preserve"> </w:t>
      </w:r>
      <w:r w:rsidRPr="004006A1">
        <w:rPr>
          <w:rFonts w:ascii="Times New Roman" w:hAnsi="Times New Roman" w:cs="Times New Roman"/>
          <w:sz w:val="24"/>
        </w:rPr>
        <w:t xml:space="preserve">Quantitative statistical analysis of the relative fluorescence intensity of </w:t>
      </w:r>
      <w:r>
        <w:rPr>
          <w:rFonts w:ascii="Times New Roman" w:hAnsi="Times New Roman" w:cs="Times New Roman" w:hint="eastAsia"/>
          <w:sz w:val="24"/>
        </w:rPr>
        <w:t xml:space="preserve">TUNEL </w:t>
      </w:r>
      <w:r w:rsidRPr="004006A1">
        <w:rPr>
          <w:rFonts w:ascii="Times New Roman" w:hAnsi="Times New Roman" w:cs="Times New Roman"/>
          <w:sz w:val="24"/>
        </w:rPr>
        <w:t>from immunofluorescence</w:t>
      </w:r>
      <w:r w:rsidRPr="004006A1">
        <w:rPr>
          <w:rFonts w:ascii="Times New Roman" w:hAnsi="Times New Roman" w:cs="Times New Roman"/>
          <w:sz w:val="24"/>
        </w:rPr>
        <w:noBreakHyphen/>
        <w:t>stained tumor sections. Data are presented as mean ± SD.</w:t>
      </w:r>
    </w:p>
    <w:p w14:paraId="61EA4D13" w14:textId="62A80798" w:rsidR="004006A1" w:rsidRDefault="004006A1" w:rsidP="000F526F">
      <w:pPr>
        <w:spacing w:line="360" w:lineRule="auto"/>
        <w:jc w:val="center"/>
        <w:rPr>
          <w:rFonts w:ascii="Times New Roman" w:hAnsi="Times New Roman" w:cs="Times New Roman"/>
          <w:sz w:val="24"/>
        </w:rPr>
      </w:pPr>
      <w:r w:rsidRPr="004006A1">
        <w:rPr>
          <w:noProof/>
        </w:rPr>
        <w:lastRenderedPageBreak/>
        <w:drawing>
          <wp:inline distT="0" distB="0" distL="0" distR="0" wp14:anchorId="75D9DC77" wp14:editId="3A9E36C5">
            <wp:extent cx="3333750" cy="28194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0" cy="2819400"/>
                    </a:xfrm>
                    <a:prstGeom prst="rect">
                      <a:avLst/>
                    </a:prstGeom>
                    <a:noFill/>
                    <a:ln>
                      <a:noFill/>
                    </a:ln>
                  </pic:spPr>
                </pic:pic>
              </a:graphicData>
            </a:graphic>
          </wp:inline>
        </w:drawing>
      </w:r>
    </w:p>
    <w:p w14:paraId="65F5FDB3" w14:textId="11010AB3" w:rsidR="004006A1" w:rsidRDefault="004006A1" w:rsidP="004006A1">
      <w:pPr>
        <w:spacing w:line="360" w:lineRule="auto"/>
        <w:rPr>
          <w:rFonts w:ascii="Times New Roman" w:hAnsi="Times New Roman" w:cs="Times New Roman"/>
          <w:sz w:val="24"/>
        </w:rPr>
      </w:pPr>
      <w:r w:rsidRPr="004006A1">
        <w:rPr>
          <w:rFonts w:ascii="Times New Roman" w:hAnsi="Times New Roman" w:cs="Times New Roman" w:hint="eastAsia"/>
          <w:b/>
          <w:bCs/>
          <w:sz w:val="24"/>
        </w:rPr>
        <w:t>Figure S</w:t>
      </w:r>
      <w:r w:rsidR="004E4577">
        <w:rPr>
          <w:rFonts w:ascii="Times New Roman" w:hAnsi="Times New Roman" w:cs="Times New Roman" w:hint="eastAsia"/>
          <w:b/>
          <w:bCs/>
          <w:sz w:val="24"/>
        </w:rPr>
        <w:t>10</w:t>
      </w:r>
      <w:r w:rsidRPr="004006A1">
        <w:rPr>
          <w:rFonts w:ascii="Times New Roman" w:hAnsi="Times New Roman" w:cs="Times New Roman" w:hint="eastAsia"/>
          <w:b/>
          <w:bCs/>
          <w:sz w:val="24"/>
        </w:rPr>
        <w:t>.</w:t>
      </w:r>
      <w:r>
        <w:rPr>
          <w:rFonts w:ascii="Times New Roman" w:hAnsi="Times New Roman" w:cs="Times New Roman" w:hint="eastAsia"/>
          <w:sz w:val="24"/>
        </w:rPr>
        <w:t xml:space="preserve"> </w:t>
      </w:r>
      <w:r w:rsidRPr="004006A1">
        <w:rPr>
          <w:rFonts w:ascii="Times New Roman" w:hAnsi="Times New Roman" w:cs="Times New Roman"/>
          <w:sz w:val="24"/>
        </w:rPr>
        <w:t xml:space="preserve">Quantitative statistical analysis of the relative fluorescence intensity of </w:t>
      </w:r>
      <w:r>
        <w:rPr>
          <w:rFonts w:ascii="Times New Roman" w:hAnsi="Times New Roman" w:cs="Times New Roman" w:hint="eastAsia"/>
          <w:sz w:val="24"/>
        </w:rPr>
        <w:t>Ki-67</w:t>
      </w:r>
      <w:r w:rsidRPr="004006A1">
        <w:rPr>
          <w:rFonts w:ascii="Times New Roman" w:hAnsi="Times New Roman" w:cs="Times New Roman"/>
          <w:sz w:val="24"/>
        </w:rPr>
        <w:t xml:space="preserve"> from immunofluorescence</w:t>
      </w:r>
      <w:r w:rsidRPr="004006A1">
        <w:rPr>
          <w:rFonts w:ascii="Times New Roman" w:hAnsi="Times New Roman" w:cs="Times New Roman"/>
          <w:sz w:val="24"/>
        </w:rPr>
        <w:noBreakHyphen/>
        <w:t>stained tumor sections. Data are presented as mean ± SD.</w:t>
      </w:r>
    </w:p>
    <w:p w14:paraId="0BAD663B" w14:textId="77777777" w:rsidR="00C30FC5" w:rsidRDefault="00C30FC5" w:rsidP="004006A1">
      <w:pPr>
        <w:spacing w:line="360" w:lineRule="auto"/>
        <w:rPr>
          <w:rFonts w:ascii="Times New Roman" w:hAnsi="Times New Roman" w:cs="Times New Roman"/>
          <w:sz w:val="24"/>
        </w:rPr>
      </w:pPr>
    </w:p>
    <w:p w14:paraId="6F5F03E4" w14:textId="77777777" w:rsidR="00C30FC5" w:rsidRDefault="00C30FC5" w:rsidP="004006A1">
      <w:pPr>
        <w:spacing w:line="360" w:lineRule="auto"/>
        <w:rPr>
          <w:rFonts w:ascii="Times New Roman" w:hAnsi="Times New Roman" w:cs="Times New Roman"/>
          <w:sz w:val="24"/>
        </w:rPr>
      </w:pPr>
    </w:p>
    <w:p w14:paraId="4B71C095" w14:textId="177F4127" w:rsidR="004006A1" w:rsidRDefault="00C30FC5" w:rsidP="000F526F">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45315D85" wp14:editId="0348E2FF">
            <wp:extent cx="5401945" cy="16791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6784" cy="1683738"/>
                    </a:xfrm>
                    <a:prstGeom prst="rect">
                      <a:avLst/>
                    </a:prstGeom>
                    <a:noFill/>
                  </pic:spPr>
                </pic:pic>
              </a:graphicData>
            </a:graphic>
          </wp:inline>
        </w:drawing>
      </w:r>
    </w:p>
    <w:p w14:paraId="56F668C1" w14:textId="0697DE8F" w:rsidR="00C30FC5" w:rsidRPr="000F526F" w:rsidRDefault="00C30FC5" w:rsidP="00C30FC5">
      <w:pPr>
        <w:spacing w:line="360" w:lineRule="auto"/>
        <w:rPr>
          <w:rFonts w:ascii="Times New Roman" w:hAnsi="Times New Roman" w:cs="Times New Roman"/>
          <w:sz w:val="24"/>
        </w:rPr>
      </w:pPr>
      <w:r w:rsidRPr="004006A1">
        <w:rPr>
          <w:rFonts w:ascii="Times New Roman" w:hAnsi="Times New Roman" w:cs="Times New Roman" w:hint="eastAsia"/>
          <w:b/>
          <w:bCs/>
          <w:sz w:val="24"/>
        </w:rPr>
        <w:t>Figure S</w:t>
      </w:r>
      <w:r>
        <w:rPr>
          <w:rFonts w:ascii="Times New Roman" w:hAnsi="Times New Roman" w:cs="Times New Roman" w:hint="eastAsia"/>
          <w:b/>
          <w:bCs/>
          <w:sz w:val="24"/>
        </w:rPr>
        <w:t>11</w:t>
      </w:r>
      <w:r w:rsidRPr="004006A1">
        <w:rPr>
          <w:rFonts w:ascii="Times New Roman" w:hAnsi="Times New Roman" w:cs="Times New Roman" w:hint="eastAsia"/>
          <w:b/>
          <w:bCs/>
          <w:sz w:val="24"/>
        </w:rPr>
        <w:t>.</w:t>
      </w:r>
      <w:r w:rsidRPr="00C30FC5">
        <w:rPr>
          <w:rFonts w:ascii="Times New Roman" w:hAnsi="Times New Roman" w:cs="Times New Roman"/>
          <w:sz w:val="24"/>
        </w:rPr>
        <w:t xml:space="preserve"> (A‑C) ELISA measurements of pro‑inflammatory IFN‑γ (A), TNF‑α (B) and anti‑inflammatory IL‑10 (C) across different experimental groups. Elevated pro‑inflammatory cytokines and decreased IL‑10 indicate the activation of anti‑tumor immune responses. Data are</w:t>
      </w:r>
      <w:r w:rsidRPr="00C30FC5">
        <w:rPr>
          <w:rFonts w:ascii="Times New Roman" w:hAnsi="Times New Roman" w:cs="Times New Roman" w:hint="eastAsia"/>
          <w:sz w:val="24"/>
        </w:rPr>
        <w:t xml:space="preserve"> mean </w:t>
      </w:r>
      <w:r w:rsidRPr="00C30FC5">
        <w:rPr>
          <w:rFonts w:ascii="Times New Roman" w:hAnsi="Times New Roman" w:cs="Times New Roman" w:hint="eastAsia"/>
          <w:sz w:val="24"/>
        </w:rPr>
        <w:t>±</w:t>
      </w:r>
      <w:r w:rsidRPr="00C30FC5">
        <w:rPr>
          <w:rFonts w:ascii="Times New Roman" w:hAnsi="Times New Roman" w:cs="Times New Roman" w:hint="eastAsia"/>
          <w:sz w:val="24"/>
        </w:rPr>
        <w:t xml:space="preserve"> SD. ns, not significant. **p &lt; 0.01, ***p &lt; 0.001, ****p &lt; 0.0001.</w:t>
      </w:r>
    </w:p>
    <w:sectPr w:rsidR="00C30FC5" w:rsidRPr="000F52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1B"/>
    <w:rsid w:val="0009381D"/>
    <w:rsid w:val="000C4822"/>
    <w:rsid w:val="000F526F"/>
    <w:rsid w:val="00100D15"/>
    <w:rsid w:val="001C74AF"/>
    <w:rsid w:val="002126B2"/>
    <w:rsid w:val="002622FF"/>
    <w:rsid w:val="00287FD1"/>
    <w:rsid w:val="002B4F8A"/>
    <w:rsid w:val="002B500A"/>
    <w:rsid w:val="002E7ADC"/>
    <w:rsid w:val="0035162F"/>
    <w:rsid w:val="00361EEB"/>
    <w:rsid w:val="00375BDB"/>
    <w:rsid w:val="003A1C27"/>
    <w:rsid w:val="003A310A"/>
    <w:rsid w:val="003A51C5"/>
    <w:rsid w:val="004006A1"/>
    <w:rsid w:val="0046707D"/>
    <w:rsid w:val="004E4577"/>
    <w:rsid w:val="004F41C0"/>
    <w:rsid w:val="0052677D"/>
    <w:rsid w:val="005912C4"/>
    <w:rsid w:val="00615BFA"/>
    <w:rsid w:val="0066152E"/>
    <w:rsid w:val="006A345D"/>
    <w:rsid w:val="006B5EAE"/>
    <w:rsid w:val="00797A30"/>
    <w:rsid w:val="0084691B"/>
    <w:rsid w:val="008C1FB3"/>
    <w:rsid w:val="008D1BE4"/>
    <w:rsid w:val="009859DF"/>
    <w:rsid w:val="00B41680"/>
    <w:rsid w:val="00B507DE"/>
    <w:rsid w:val="00BE0F34"/>
    <w:rsid w:val="00C30FC5"/>
    <w:rsid w:val="00C608D0"/>
    <w:rsid w:val="00D90313"/>
    <w:rsid w:val="00E23A7C"/>
    <w:rsid w:val="00E62578"/>
    <w:rsid w:val="00FB73F1"/>
    <w:rsid w:val="00FD0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53B5"/>
  <w14:defaultImageDpi w14:val="32767"/>
  <w15:chartTrackingRefBased/>
  <w15:docId w15:val="{10FB687E-EE66-4CAA-977C-3BFA1A350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90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1291</TotalTime>
  <Pages>14</Pages>
  <Words>2755</Words>
  <Characters>15710</Characters>
  <Application>Microsoft Office Word</Application>
  <DocSecurity>0</DocSecurity>
  <Lines>130</Lines>
  <Paragraphs>36</Paragraphs>
  <ScaleCrop>false</ScaleCrop>
  <Company/>
  <LinksUpToDate>false</LinksUpToDate>
  <CharactersWithSpaces>18429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 wu</dc:creator>
  <cp:keywords/>
  <dc:description/>
  <cp:lastModifiedBy>Wencheng Wu</cp:lastModifiedBy>
  <cp:revision>17</cp:revision>
  <dcterms:created xsi:type="dcterms:W3CDTF">2026-09-06T01:34:00Z</dcterms:created>
  <dcterms:modified xsi:type="dcterms:W3CDTF">2026-09-20T07:38:00Z</dcterms:modified>
</cp:coreProperties>
</file>