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aption"/>
        <w:keepNext/>
        <w:keepLines/>
        <w:spacing w:line="259" w:lineRule="auto" w:before="160" w:after="100"/>
      </w:pPr>
      <w:r>
        <w:rPr>
          <w:b/>
          <w:i w:val="0"/>
          <w:sz w:val="22"/>
        </w:rPr>
        <w:t>Table 1 Sociodemographic and lifestyle characteristics by mental health literacy attainment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nil" w:sz="8" w:color="000000"/>
          <w:bottom w:val="single" w:sz="8" w:color="000000"/>
          <w:right w:val="nil" w:sz="8" w:color="000000"/>
          <w:insideH w:val="nil" w:sz="8" w:color="000000"/>
          <w:insideV w:val="nil" w:sz="8" w:color="000000"/>
        </w:tblBorders>
        <w:tblCellMar>
          <w:top w:w="35" w:type="dxa"/>
          <w:bottom w:w="35" w:type="dxa"/>
          <w:left w:w="65" w:type="dxa"/>
          <w:right w:w="65" w:type="dxa"/>
        </w:tblCellMar>
      </w:tblPr>
      <w:tblGrid>
        <w:gridCol w:w="2160"/>
        <w:gridCol w:w="1944"/>
        <w:gridCol w:w="1440"/>
        <w:gridCol w:w="1440"/>
        <w:gridCol w:w="2621"/>
      </w:tblGrid>
      <w:tr>
        <w:trPr>
          <w:cantSplit/>
          <w:tblHeader/>
        </w:trPr>
        <w:tc>
          <w:tcPr>
            <w:tcW w:type="dxa" w:w="2160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Characteristic</w:t>
            </w:r>
          </w:p>
        </w:tc>
        <w:tc>
          <w:tcPr>
            <w:tcW w:type="dxa" w:w="1944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Category/statistic</w:t>
            </w:r>
          </w:p>
        </w:tc>
        <w:tc>
          <w:tcPr>
            <w:tcW w:type="dxa" w:w="1440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Overall (n=6322)</w:t>
            </w:r>
          </w:p>
        </w:tc>
        <w:tc>
          <w:tcPr>
            <w:tcW w:type="dxa" w:w="1440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MHL standard met (n=1300)</w:t>
            </w:r>
          </w:p>
        </w:tc>
        <w:tc>
          <w:tcPr>
            <w:tcW w:type="dxa" w:w="2621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MHL standard not met (n=5022)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Age (years)</w:t>
            </w: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Mean (SD)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45.97 (14.01)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42.22 (12.69)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46.94 (14.17)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Median (IQR)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47.00 (34.00–56.00)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41.00 (32.00–52.00)</w:t>
            </w:r>
          </w:p>
        </w:tc>
        <w:tc>
          <w:tcPr>
            <w:tcW w:type="dxa" w:w="262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48.00 (35.00–56.00)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Sex</w:t>
            </w: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Male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2468 (39.0%)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447 (34.4%)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2021 (40.2%)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Female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3854 (61.0%)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853 (65.6%)</w:t>
            </w:r>
          </w:p>
        </w:tc>
        <w:tc>
          <w:tcPr>
            <w:tcW w:type="dxa" w:w="262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3001 (59.8%)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Age group</w:t>
            </w: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18–44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2854 (45.1%)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753 (57.9%)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2101 (41.8%)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45–59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2492 (39.4%)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437 (33.6%)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2055 (40.9%)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60–100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976 (15.4%)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110 (8.5%)</w:t>
            </w:r>
          </w:p>
        </w:tc>
        <w:tc>
          <w:tcPr>
            <w:tcW w:type="dxa" w:w="262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866 (17.2%)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Household registration</w:t>
            </w: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Rural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3951 (62.5%)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730 (56.2%)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3221 (64.1%)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Urban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2371 (37.5%)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570 (43.8%)</w:t>
            </w:r>
          </w:p>
        </w:tc>
        <w:tc>
          <w:tcPr>
            <w:tcW w:type="dxa" w:w="262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1801 (35.9%)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Education</w:t>
            </w: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Primary or below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1189 (18.8%)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155 (11.9%)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1034 (20.6%)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Junior middle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1874 (29.6%)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313 (24.1%)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1561 (31.1%)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Senior high/technical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1203 (19.0%)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234 (18.0%)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969 (19.3%)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College or above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2056 (32.5%)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598 (46.0%)</w:t>
            </w:r>
          </w:p>
        </w:tc>
        <w:tc>
          <w:tcPr>
            <w:tcW w:type="dxa" w:w="262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1458 (29.0%)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Monthly income</w:t>
            </w: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≥8000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271 (4.3%)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68 (5.2%)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203 (4.0%)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5000–7999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842 (13.3%)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225 (17.3%)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617 (12.3%)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3000–4999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1793 (28.4%)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425 (32.7%)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1368 (27.2%)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1500–2999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2101 (33.2%)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389 (29.9%)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1712 (34.1%)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0–1499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1315 (20.8%)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193 (14.8%)</w:t>
            </w:r>
          </w:p>
        </w:tc>
        <w:tc>
          <w:tcPr>
            <w:tcW w:type="dxa" w:w="262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1122 (22.3%)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Marital status</w:t>
            </w: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Married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5177 (81.9%)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1039 (79.9%)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4138 (82.4%)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Not married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1145 (18.1%)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261 (20.1%)</w:t>
            </w:r>
          </w:p>
        </w:tc>
        <w:tc>
          <w:tcPr>
            <w:tcW w:type="dxa" w:w="262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884 (17.6%)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Occupation</w:t>
            </w: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Farmer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2527 (40.0%)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445 (34.2%)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2082 (41.5%)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Worker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334 (5.3%)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66 (5.1%)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268 (5.3%)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Civil servant/teacher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286 (4.5%)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74 (5.7%)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212 (4.2%)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Professional/medical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1103 (17.4%)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341 (26.2%)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762 (15.2%)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Business/service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574 (9.1%)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149 (11.5%)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425 (8.5%)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Retired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455 (7.2%)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66 (5.1%)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389 (7.7%)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Other/student/military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1043 (16.5%)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159 (12.2%)</w:t>
            </w:r>
          </w:p>
        </w:tc>
        <w:tc>
          <w:tcPr>
            <w:tcW w:type="dxa" w:w="262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884 (17.6%)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Current smoking</w:t>
            </w: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No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5237 (82.8%)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1125 (86.5%)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4112 (81.9%)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Yes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1085 (17.2%)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175 (13.5%)</w:t>
            </w:r>
          </w:p>
        </w:tc>
        <w:tc>
          <w:tcPr>
            <w:tcW w:type="dxa" w:w="262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910 (18.1%)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Alcohol drinking</w:t>
            </w: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No/quit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3982 (63.0%)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844 (64.9%)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3138 (62.5%)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194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Current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2340 (37.0%)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456 (35.1%)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1884 (37.5%)</w:t>
            </w:r>
          </w:p>
        </w:tc>
      </w:tr>
    </w:tbl>
    <w:p>
      <w:pPr>
        <w:keepNext/>
        <w:keepLines/>
        <w:spacing w:line="259" w:lineRule="auto" w:after="100"/>
      </w:pPr>
      <w:r>
        <w:rPr>
          <w:sz w:val="20"/>
        </w:rPr>
        <w:t>Note: Values are n (%) unless stated. Group percentages use column denominators. Age refers to the retained calculation as of 1 September 2022. All candidate covariates were complete in the primary analytic sample.</w:t>
      </w:r>
    </w:p>
    <w:p>
      <w:pPr>
        <w:keepNext w:val="0"/>
        <w:keepLines/>
        <w:spacing w:line="259" w:lineRule="auto" w:after="100"/>
      </w:pPr>
      <w:r>
        <w:rPr>
          <w:sz w:val="20"/>
        </w:rPr>
        <w:t>Abbreviations: n, number of participants; MHL, mental health literacy; SD, standard deviation; IQR, interquartile range.</w:t>
      </w:r>
    </w:p>
    <w:p>
      <w:pPr>
        <w:sectPr>
          <w:footerReference w:type="default" r:id="rId9"/>
          <w:headerReference w:type="default" r:id="rId10"/>
          <w:headerReference w:type="first" r:id="rId11"/>
          <w:headerReference w:type="even" r:id="rId12"/>
          <w:pgSz w:w="11909" w:h="16834"/>
          <w:pgMar w:top="1080" w:right="1080" w:bottom="1080" w:left="1224" w:header="360" w:footer="432" w:gutter="0"/>
          <w:cols w:space="720"/>
          <w:docGrid w:linePitch="360"/>
        </w:sectPr>
      </w:pPr>
    </w:p>
    <w:p>
      <w:pPr>
        <w:pStyle w:val="Caption"/>
        <w:keepNext/>
        <w:keepLines/>
        <w:spacing w:line="259" w:lineRule="auto" w:before="160" w:after="100"/>
      </w:pPr>
      <w:r>
        <w:rPr>
          <w:b/>
          <w:i w:val="0"/>
          <w:sz w:val="22"/>
        </w:rPr>
        <w:t>Table 2 Health and symptom characteristics by mental health literacy attainment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nil" w:sz="8" w:color="000000"/>
          <w:bottom w:val="single" w:sz="8" w:color="000000"/>
          <w:right w:val="nil" w:sz="8" w:color="000000"/>
          <w:insideH w:val="nil" w:sz="8" w:color="000000"/>
          <w:insideV w:val="nil" w:sz="8" w:color="000000"/>
        </w:tblBorders>
        <w:tblCellMar>
          <w:top w:w="35" w:type="dxa"/>
          <w:bottom w:w="35" w:type="dxa"/>
          <w:left w:w="65" w:type="dxa"/>
          <w:right w:w="65" w:type="dxa"/>
        </w:tblCellMar>
      </w:tblPr>
      <w:tblGrid>
        <w:gridCol w:w="2304"/>
        <w:gridCol w:w="1800"/>
        <w:gridCol w:w="1440"/>
        <w:gridCol w:w="1440"/>
        <w:gridCol w:w="2621"/>
      </w:tblGrid>
      <w:tr>
        <w:trPr>
          <w:cantSplit/>
          <w:tblHeader/>
        </w:trPr>
        <w:tc>
          <w:tcPr>
            <w:tcW w:type="dxa" w:w="2304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Characteristic</w:t>
            </w:r>
          </w:p>
        </w:tc>
        <w:tc>
          <w:tcPr>
            <w:tcW w:type="dxa" w:w="1800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Category/statistic</w:t>
            </w:r>
          </w:p>
        </w:tc>
        <w:tc>
          <w:tcPr>
            <w:tcW w:type="dxa" w:w="1440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Overall (n=6322)</w:t>
            </w:r>
          </w:p>
        </w:tc>
        <w:tc>
          <w:tcPr>
            <w:tcW w:type="dxa" w:w="1440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MHL standard met (n=1300)</w:t>
            </w:r>
          </w:p>
        </w:tc>
        <w:tc>
          <w:tcPr>
            <w:tcW w:type="dxa" w:w="2621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MHL standard not met (n=5022)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Physician-diagnosed chronic condition</w:t>
            </w:r>
          </w:p>
        </w:tc>
        <w:tc>
          <w:tcPr>
            <w:tcW w:type="dxa" w:w="180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No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4429 (70.1%)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1033 (79.5%)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3396 (67.6%)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180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Yes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1893 (29.9%)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267 (20.5%)</w:t>
            </w:r>
          </w:p>
        </w:tc>
        <w:tc>
          <w:tcPr>
            <w:tcW w:type="dxa" w:w="262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1626 (32.4%)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Self-rated health</w:t>
            </w:r>
          </w:p>
        </w:tc>
        <w:tc>
          <w:tcPr>
            <w:tcW w:type="dxa" w:w="180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Good/very good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5006 (79.2%)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1105 (85.0%)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3901 (77.7%)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180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Fair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1158 (18.3%)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182 (14.0%)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976 (19.4%)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180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Poor/very poor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158 (2.5%)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13 (1.0%)</w:t>
            </w:r>
          </w:p>
        </w:tc>
        <w:tc>
          <w:tcPr>
            <w:tcW w:type="dxa" w:w="262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145 (2.9%)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Depressive-symptom indicator</w:t>
            </w:r>
          </w:p>
        </w:tc>
        <w:tc>
          <w:tcPr>
            <w:tcW w:type="dxa" w:w="180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No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5965 (94.4%)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1270 (97.7%)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4695 (93.5%)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180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Yes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357 (5.6%)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30 (2.3%)</w:t>
            </w:r>
          </w:p>
        </w:tc>
        <w:tc>
          <w:tcPr>
            <w:tcW w:type="dxa" w:w="262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327 (6.5%)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Anxiety-symptom indicator</w:t>
            </w:r>
          </w:p>
        </w:tc>
        <w:tc>
          <w:tcPr>
            <w:tcW w:type="dxa" w:w="180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No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5309 (84.0%)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1181 (90.8%)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4128 (82.2%)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180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Yes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1013 (16.0%)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119 (9.2%)</w:t>
            </w:r>
          </w:p>
        </w:tc>
        <w:tc>
          <w:tcPr>
            <w:tcW w:type="dxa" w:w="262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894 (17.8%)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Mental-health training</w:t>
            </w:r>
          </w:p>
        </w:tc>
        <w:tc>
          <w:tcPr>
            <w:tcW w:type="dxa" w:w="180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No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4570 (72.3%)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848 (65.2%)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3722 (74.1%)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180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Yes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1752 (27.7%)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452 (34.8%)</w:t>
            </w:r>
          </w:p>
        </w:tc>
        <w:tc>
          <w:tcPr>
            <w:tcW w:type="dxa" w:w="262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1300 (25.9%)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National MHL standard</w:t>
            </w:r>
          </w:p>
        </w:tc>
        <w:tc>
          <w:tcPr>
            <w:tcW w:type="dxa" w:w="180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Meets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1300 (20.6%)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1300 (100.0%)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 (0.0%)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180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Does not meet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5022 (79.4%)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 (0.0%)</w:t>
            </w:r>
          </w:p>
        </w:tc>
        <w:tc>
          <w:tcPr>
            <w:tcW w:type="dxa" w:w="262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5022 (100.0%)</w:t>
            </w:r>
          </w:p>
        </w:tc>
      </w:tr>
    </w:tbl>
    <w:p>
      <w:pPr>
        <w:keepNext/>
        <w:keepLines/>
        <w:spacing w:line="259" w:lineRule="auto" w:after="100"/>
      </w:pPr>
      <w:r>
        <w:rPr>
          <w:sz w:val="20"/>
        </w:rPr>
        <w:t>Note: Values are n (%). Chronic conditions were self-reported physician diagnoses. Symptom indicators use modified retrospective administration and project thresholds. National MHL attainment requires simultaneous NMHLQ scores of at least 80, 24, and 28.</w:t>
      </w:r>
    </w:p>
    <w:p>
      <w:pPr>
        <w:keepNext w:val="0"/>
        <w:keepLines/>
        <w:spacing w:line="259" w:lineRule="auto" w:after="100"/>
      </w:pPr>
      <w:r>
        <w:rPr>
          <w:sz w:val="20"/>
        </w:rPr>
        <w:t>Abbreviations: n, number of participants; MHL, mental health literacy; NMHLQ, National Mental Health Literacy Questionnaire.</w:t>
      </w:r>
    </w:p>
    <w:p>
      <w:pPr>
        <w:sectPr>
          <w:pgSz w:w="11909" w:h="16834"/>
          <w:pgMar w:top="1080" w:right="1080" w:bottom="1080" w:left="1224" w:header="360" w:footer="432" w:gutter="0"/>
          <w:cols w:space="720"/>
          <w:docGrid w:linePitch="360"/>
        </w:sectPr>
      </w:pPr>
    </w:p>
    <w:p>
      <w:pPr>
        <w:pStyle w:val="Caption"/>
        <w:keepNext/>
        <w:keepLines/>
        <w:spacing w:line="259" w:lineRule="auto" w:before="160" w:after="100"/>
      </w:pPr>
      <w:r>
        <w:rPr>
          <w:b/>
          <w:i w:val="0"/>
          <w:sz w:val="22"/>
        </w:rPr>
        <w:t>Table 3 Frequency of the composite sleep indicator and its components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nil" w:sz="8" w:color="000000"/>
          <w:bottom w:val="single" w:sz="8" w:color="000000"/>
          <w:right w:val="nil" w:sz="8" w:color="000000"/>
          <w:insideH w:val="nil" w:sz="8" w:color="000000"/>
          <w:insideV w:val="nil" w:sz="8" w:color="000000"/>
        </w:tblBorders>
        <w:tblCellMar>
          <w:top w:w="35" w:type="dxa"/>
          <w:bottom w:w="35" w:type="dxa"/>
          <w:left w:w="65" w:type="dxa"/>
          <w:right w:w="65" w:type="dxa"/>
        </w:tblCellMar>
      </w:tblPr>
      <w:tblGrid>
        <w:gridCol w:w="4392"/>
        <w:gridCol w:w="864"/>
        <w:gridCol w:w="864"/>
        <w:gridCol w:w="1613"/>
        <w:gridCol w:w="1872"/>
      </w:tblGrid>
      <w:tr>
        <w:trPr>
          <w:cantSplit/>
          <w:tblHeader/>
        </w:trPr>
        <w:tc>
          <w:tcPr>
            <w:tcW w:type="dxa" w:w="4392"/>
            <w:vAlign w:val="center"/>
            <w:tcBorders>
              <w:bottom w:val="single" w:sz="6" w:color="000000"/>
            </w:tcBorders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Indicator</w:t>
            </w:r>
          </w:p>
        </w:tc>
        <w:tc>
          <w:tcPr>
            <w:tcW w:type="dxa" w:w="864"/>
            <w:vAlign w:val="center"/>
            <w:tcBorders>
              <w:bottom w:val="single" w:sz="6" w:color="000000"/>
            </w:tcBorders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Cases</w:t>
            </w:r>
          </w:p>
        </w:tc>
        <w:tc>
          <w:tcPr>
            <w:tcW w:type="dxa" w:w="864"/>
            <w:vAlign w:val="center"/>
            <w:tcBorders>
              <w:bottom w:val="single" w:sz="6" w:color="000000"/>
            </w:tcBorders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N</w:t>
            </w:r>
          </w:p>
        </w:tc>
        <w:tc>
          <w:tcPr>
            <w:tcW w:type="dxa" w:w="1613"/>
            <w:vAlign w:val="center"/>
            <w:tcBorders>
              <w:bottom w:val="single" w:sz="6" w:color="000000"/>
            </w:tcBorders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Frequency (%)</w:t>
            </w:r>
          </w:p>
        </w:tc>
        <w:tc>
          <w:tcPr>
            <w:tcW w:type="dxa" w:w="1872"/>
            <w:vAlign w:val="center"/>
            <w:tcBorders>
              <w:bottom w:val="single" w:sz="6" w:color="000000"/>
            </w:tcBorders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95% CI (%)</w:t>
            </w:r>
          </w:p>
        </w:tc>
      </w:tr>
      <w:tr>
        <w:trPr>
          <w:cantSplit/>
        </w:trPr>
        <w:tc>
          <w:tcPr>
            <w:tcW w:type="dxa" w:w="4392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Composite indicator (≥1 component)</w:t>
            </w:r>
          </w:p>
        </w:tc>
        <w:tc>
          <w:tcPr>
            <w:tcW w:type="dxa" w:w="86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2425</w:t>
            </w:r>
          </w:p>
        </w:tc>
        <w:tc>
          <w:tcPr>
            <w:tcW w:type="dxa" w:w="86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6322</w:t>
            </w:r>
          </w:p>
        </w:tc>
        <w:tc>
          <w:tcPr>
            <w:tcW w:type="dxa" w:w="161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38.4</w:t>
            </w:r>
          </w:p>
        </w:tc>
        <w:tc>
          <w:tcPr>
            <w:tcW w:type="dxa" w:w="1872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37.2–39.6</w:t>
            </w:r>
          </w:p>
        </w:tc>
      </w:tr>
      <w:tr>
        <w:trPr>
          <w:cantSplit/>
        </w:trPr>
        <w:tc>
          <w:tcPr>
            <w:tcW w:type="dxa" w:w="4392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Low sleep efficiency (≤80%)</w:t>
            </w:r>
          </w:p>
        </w:tc>
        <w:tc>
          <w:tcPr>
            <w:tcW w:type="dxa" w:w="86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1594</w:t>
            </w:r>
          </w:p>
        </w:tc>
        <w:tc>
          <w:tcPr>
            <w:tcW w:type="dxa" w:w="86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6322</w:t>
            </w:r>
          </w:p>
        </w:tc>
        <w:tc>
          <w:tcPr>
            <w:tcW w:type="dxa" w:w="161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25.2</w:t>
            </w:r>
          </w:p>
        </w:tc>
        <w:tc>
          <w:tcPr>
            <w:tcW w:type="dxa" w:w="1872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24.2–26.3</w:t>
            </w:r>
          </w:p>
        </w:tc>
      </w:tr>
      <w:tr>
        <w:trPr>
          <w:cantSplit/>
        </w:trPr>
        <w:tc>
          <w:tcPr>
            <w:tcW w:type="dxa" w:w="4392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Poor subjective sleep quality</w:t>
            </w:r>
          </w:p>
        </w:tc>
        <w:tc>
          <w:tcPr>
            <w:tcW w:type="dxa" w:w="86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743</w:t>
            </w:r>
          </w:p>
        </w:tc>
        <w:tc>
          <w:tcPr>
            <w:tcW w:type="dxa" w:w="86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6322</w:t>
            </w:r>
          </w:p>
        </w:tc>
        <w:tc>
          <w:tcPr>
            <w:tcW w:type="dxa" w:w="161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11.8</w:t>
            </w:r>
          </w:p>
        </w:tc>
        <w:tc>
          <w:tcPr>
            <w:tcW w:type="dxa" w:w="1872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11.0–12.6</w:t>
            </w:r>
          </w:p>
        </w:tc>
      </w:tr>
      <w:tr>
        <w:trPr>
          <w:cantSplit/>
        </w:trPr>
        <w:tc>
          <w:tcPr>
            <w:tcW w:type="dxa" w:w="4392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Any hypnotic medication use</w:t>
            </w:r>
          </w:p>
        </w:tc>
        <w:tc>
          <w:tcPr>
            <w:tcW w:type="dxa" w:w="86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312</w:t>
            </w:r>
          </w:p>
        </w:tc>
        <w:tc>
          <w:tcPr>
            <w:tcW w:type="dxa" w:w="86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6322</w:t>
            </w:r>
          </w:p>
        </w:tc>
        <w:tc>
          <w:tcPr>
            <w:tcW w:type="dxa" w:w="161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4.9</w:t>
            </w:r>
          </w:p>
        </w:tc>
        <w:tc>
          <w:tcPr>
            <w:tcW w:type="dxa" w:w="1872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4.4–5.5</w:t>
            </w:r>
          </w:p>
        </w:tc>
      </w:tr>
      <w:tr>
        <w:trPr>
          <w:cantSplit/>
        </w:trPr>
        <w:tc>
          <w:tcPr>
            <w:tcW w:type="dxa" w:w="4392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Daytime dysfunction (either item ≥2)</w:t>
            </w:r>
          </w:p>
        </w:tc>
        <w:tc>
          <w:tcPr>
            <w:tcW w:type="dxa" w:w="86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785</w:t>
            </w:r>
          </w:p>
        </w:tc>
        <w:tc>
          <w:tcPr>
            <w:tcW w:type="dxa" w:w="86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6322</w:t>
            </w:r>
          </w:p>
        </w:tc>
        <w:tc>
          <w:tcPr>
            <w:tcW w:type="dxa" w:w="161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12.4</w:t>
            </w:r>
          </w:p>
        </w:tc>
        <w:tc>
          <w:tcPr>
            <w:tcW w:type="dxa" w:w="1872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11.6–13.3</w:t>
            </w:r>
          </w:p>
        </w:tc>
      </w:tr>
      <w:tr>
        <w:trPr>
          <w:cantSplit/>
        </w:trPr>
        <w:tc>
          <w:tcPr>
            <w:tcW w:type="dxa" w:w="4392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Stricter indicator (≥2 components)</w:t>
            </w:r>
          </w:p>
        </w:tc>
        <w:tc>
          <w:tcPr>
            <w:tcW w:type="dxa" w:w="86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737</w:t>
            </w:r>
          </w:p>
        </w:tc>
        <w:tc>
          <w:tcPr>
            <w:tcW w:type="dxa" w:w="86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6322</w:t>
            </w:r>
          </w:p>
        </w:tc>
        <w:tc>
          <w:tcPr>
            <w:tcW w:type="dxa" w:w="161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11.7</w:t>
            </w:r>
          </w:p>
        </w:tc>
        <w:tc>
          <w:tcPr>
            <w:tcW w:type="dxa" w:w="1872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10.9–12.5</w:t>
            </w:r>
          </w:p>
        </w:tc>
      </w:tr>
    </w:tbl>
    <w:p>
      <w:pPr>
        <w:keepNext/>
        <w:keepLines/>
        <w:spacing w:line="259" w:lineRule="auto" w:after="100"/>
      </w:pPr>
      <w:r>
        <w:rPr>
          <w:sz w:val="20"/>
        </w:rPr>
        <w:t>Note: Wilson confidence intervals are shown. Both composite definitions are study-specific constructs, not validated scales or diagnoses.</w:t>
      </w:r>
    </w:p>
    <w:p>
      <w:pPr>
        <w:keepNext w:val="0"/>
        <w:keepLines/>
        <w:spacing w:line="259" w:lineRule="auto" w:after="100"/>
      </w:pPr>
      <w:r>
        <w:rPr>
          <w:sz w:val="20"/>
        </w:rPr>
        <w:t>Abbreviations: N, total number of participants; CI, confidence interval.</w:t>
      </w:r>
    </w:p>
    <w:p>
      <w:pPr>
        <w:sectPr>
          <w:pgSz w:w="11909" w:h="16834"/>
          <w:pgMar w:top="1080" w:right="1080" w:bottom="1080" w:left="1224" w:header="360" w:footer="432" w:gutter="0"/>
          <w:cols w:space="720"/>
          <w:docGrid w:linePitch="360"/>
        </w:sectPr>
      </w:pPr>
    </w:p>
    <w:p>
      <w:pPr>
        <w:pStyle w:val="Caption"/>
        <w:keepNext/>
        <w:keepLines/>
        <w:spacing w:line="259" w:lineRule="auto" w:before="160" w:after="100"/>
      </w:pPr>
      <w:r>
        <w:rPr>
          <w:b/>
          <w:i w:val="0"/>
          <w:sz w:val="22"/>
        </w:rPr>
        <w:t>Table 4 Crude and screened-model adjusted prevalence ratios for the composite indicator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nil" w:sz="8" w:color="000000"/>
          <w:bottom w:val="single" w:sz="8" w:color="000000"/>
          <w:right w:val="nil" w:sz="8" w:color="000000"/>
          <w:insideH w:val="nil" w:sz="8" w:color="000000"/>
          <w:insideV w:val="nil" w:sz="8" w:color="000000"/>
        </w:tblBorders>
        <w:tblCellMar>
          <w:top w:w="35" w:type="dxa"/>
          <w:bottom w:w="35" w:type="dxa"/>
          <w:left w:w="65" w:type="dxa"/>
          <w:right w:w="65" w:type="dxa"/>
        </w:tblCellMar>
      </w:tblPr>
      <w:tblGrid>
        <w:gridCol w:w="3384"/>
        <w:gridCol w:w="2318"/>
        <w:gridCol w:w="1411"/>
        <w:gridCol w:w="2563"/>
        <w:gridCol w:w="2563"/>
        <w:gridCol w:w="1080"/>
      </w:tblGrid>
      <w:tr>
        <w:trPr>
          <w:cantSplit/>
          <w:tblHeader/>
        </w:trPr>
        <w:tc>
          <w:tcPr>
            <w:tcW w:type="dxa" w:w="3384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Variable</w:t>
            </w:r>
          </w:p>
        </w:tc>
        <w:tc>
          <w:tcPr>
            <w:tcW w:type="dxa" w:w="2318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Category</w:t>
            </w:r>
          </w:p>
        </w:tc>
        <w:tc>
          <w:tcPr>
            <w:tcW w:type="dxa" w:w="1411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Cases/total</w:t>
            </w:r>
          </w:p>
        </w:tc>
        <w:tc>
          <w:tcPr>
            <w:tcW w:type="dxa" w:w="2563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Crude PR (95% CI)</w:t>
            </w:r>
          </w:p>
        </w:tc>
        <w:tc>
          <w:tcPr>
            <w:tcW w:type="dxa" w:w="2563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Adjusted PR (95% CI)</w:t>
            </w:r>
          </w:p>
        </w:tc>
        <w:tc>
          <w:tcPr>
            <w:tcW w:type="dxa" w:w="1080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Adjusted P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Sex (screen P 0.009)</w:t>
            </w: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Male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897/2468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Female</w:t>
            </w:r>
          </w:p>
        </w:tc>
        <w:tc>
          <w:tcPr>
            <w:tcW w:type="dxa" w:w="141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1528/3854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1.09 (1.02–1.16)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1.07 (1.01–1.14)</w:t>
            </w:r>
          </w:p>
        </w:tc>
        <w:tc>
          <w:tcPr>
            <w:tcW w:type="dxa" w:w="108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0.032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Age group (screen P 0.721)</w:t>
            </w: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18–44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1097/2854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45–59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944/2492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0.99 (0.92–1.06)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60–100</w:t>
            </w:r>
          </w:p>
        </w:tc>
        <w:tc>
          <w:tcPr>
            <w:tcW w:type="dxa" w:w="141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384/976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1.02 (0.93–1.12)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  <w:tc>
          <w:tcPr>
            <w:tcW w:type="dxa" w:w="108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Household registration (screen P 0.537)</w:t>
            </w: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Rural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1504/3951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Urban</w:t>
            </w:r>
          </w:p>
        </w:tc>
        <w:tc>
          <w:tcPr>
            <w:tcW w:type="dxa" w:w="141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921/2371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1.02 (0.96–1.09)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  <w:tc>
          <w:tcPr>
            <w:tcW w:type="dxa" w:w="108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Education (screen P 0.830)</w:t>
            </w: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Primary or below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455/1189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Junior middle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707/1874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0.99 (0.90–1.08)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Senior high/technical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474/1203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1.03 (0.93–1.14)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College or above</w:t>
            </w:r>
          </w:p>
        </w:tc>
        <w:tc>
          <w:tcPr>
            <w:tcW w:type="dxa" w:w="141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789/2056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(0.92–1.10)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  <w:tc>
          <w:tcPr>
            <w:tcW w:type="dxa" w:w="108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Monthly income (screen P 0.005)</w:t>
            </w: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≥8000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96/271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5000–7999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299/842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(0.83–1.21)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(0.84–1.19)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1.000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3000–4999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655/1793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1.03 (0.87–1.22)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1.02 (0.87–1.21)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0.779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1500–2999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822/2101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1.10 (0.93–1.31)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1.10 (0.93–1.31)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0.244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0–1499</w:t>
            </w:r>
          </w:p>
        </w:tc>
        <w:tc>
          <w:tcPr>
            <w:tcW w:type="dxa" w:w="141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553/1315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1.19 (1.00–1.41)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1.09 (0.91–1.29)</w:t>
            </w:r>
          </w:p>
        </w:tc>
        <w:tc>
          <w:tcPr>
            <w:tcW w:type="dxa" w:w="108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0.352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Marital status (screen P 0.025)</w:t>
            </w: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Married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1953/5177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Not married</w:t>
            </w:r>
          </w:p>
        </w:tc>
        <w:tc>
          <w:tcPr>
            <w:tcW w:type="dxa" w:w="141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472/1145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1.09 (1.01–1.18)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1.05 (0.97–1.13)</w:t>
            </w:r>
          </w:p>
        </w:tc>
        <w:tc>
          <w:tcPr>
            <w:tcW w:type="dxa" w:w="108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0.221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Occupation (screen P 0.003)</w:t>
            </w: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Farmer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959/2527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Worker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139/334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1.10 (0.96–1.26)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1.16 (1.01–1.33)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0.030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Civil servant/teacher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124/286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1.14 (0.99–1.32)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1.27 (1.10–1.47)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0.001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Professional/medical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413/1103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0.99 (0.90–1.08)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1.04 (0.94–1.16)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0.445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Business/service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183/574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0.84 (0.74–0.96)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0.92 (0.80–1.04)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0.192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Retired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171/455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0.99 (0.87–1.13)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0.95 (0.84–1.07)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0.400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Other/student/military</w:t>
            </w:r>
          </w:p>
        </w:tc>
        <w:tc>
          <w:tcPr>
            <w:tcW w:type="dxa" w:w="141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436/1043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1.10 (1.01–1.20)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1.03 (0.95–1.13)</w:t>
            </w:r>
          </w:p>
        </w:tc>
        <w:tc>
          <w:tcPr>
            <w:tcW w:type="dxa" w:w="108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0.460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Current smoking (screen P 0.089)</w:t>
            </w: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No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2034/5237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Yes</w:t>
            </w:r>
          </w:p>
        </w:tc>
        <w:tc>
          <w:tcPr>
            <w:tcW w:type="dxa" w:w="141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391/1085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0.93 (0.85–1.01)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  <w:tc>
          <w:tcPr>
            <w:tcW w:type="dxa" w:w="108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Alcohol drinking (screen P 0.140)</w:t>
            </w: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No/quit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1500/3982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Current</w:t>
            </w:r>
          </w:p>
        </w:tc>
        <w:tc>
          <w:tcPr>
            <w:tcW w:type="dxa" w:w="141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925/2340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1.05 (0.98–1.12)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  <w:tc>
          <w:tcPr>
            <w:tcW w:type="dxa" w:w="108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Physician-diagnosed chronic condition (screen P &lt;0.001)</w:t>
            </w: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No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1511/4429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Yes</w:t>
            </w:r>
          </w:p>
        </w:tc>
        <w:tc>
          <w:tcPr>
            <w:tcW w:type="dxa" w:w="141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914/1893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1.42 (1.33–1.51)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1.17 (1.09–1.24)</w:t>
            </w:r>
          </w:p>
        </w:tc>
        <w:tc>
          <w:tcPr>
            <w:tcW w:type="dxa" w:w="108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&lt;0.001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Self-rated health (screen P &lt;0.001)</w:t>
            </w: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Good/very good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1619/5006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Fair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672/1158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1.79 (1.68–1.91)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1.51 (1.41–1.62)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&lt;0.001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Poor/very poor</w:t>
            </w:r>
          </w:p>
        </w:tc>
        <w:tc>
          <w:tcPr>
            <w:tcW w:type="dxa" w:w="141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134/158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2.62 (2.43–2.83)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1.80 (1.64–1.98)</w:t>
            </w:r>
          </w:p>
        </w:tc>
        <w:tc>
          <w:tcPr>
            <w:tcW w:type="dxa" w:w="108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&lt;0.001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Depressive-symptom indicator (screen P &lt;0.001)</w:t>
            </w: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No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2144/5965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Yes</w:t>
            </w:r>
          </w:p>
        </w:tc>
        <w:tc>
          <w:tcPr>
            <w:tcW w:type="dxa" w:w="141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281/357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2.19 (2.05–2.33)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1.39 (1.28–1.51)</w:t>
            </w:r>
          </w:p>
        </w:tc>
        <w:tc>
          <w:tcPr>
            <w:tcW w:type="dxa" w:w="108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&lt;0.001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Anxiety-symptom indicator (screen P &lt;0.001)</w:t>
            </w: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No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1796/5309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Yes</w:t>
            </w:r>
          </w:p>
        </w:tc>
        <w:tc>
          <w:tcPr>
            <w:tcW w:type="dxa" w:w="141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629/1013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1.84 (1.73–1.95)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1.38 (1.29–1.49)</w:t>
            </w:r>
          </w:p>
        </w:tc>
        <w:tc>
          <w:tcPr>
            <w:tcW w:type="dxa" w:w="108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&lt;0.001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Mental-health training (screen P 0.419)</w:t>
            </w: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No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1767/4570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Yes</w:t>
            </w:r>
          </w:p>
        </w:tc>
        <w:tc>
          <w:tcPr>
            <w:tcW w:type="dxa" w:w="1411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658/1752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0.97 (0.91–1.04)</w:t>
            </w:r>
          </w:p>
        </w:tc>
        <w:tc>
          <w:tcPr>
            <w:tcW w:type="dxa" w:w="2563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  <w:tc>
          <w:tcPr>
            <w:tcW w:type="dxa" w:w="108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National MHL standard (screen P &lt;0.001)</w:t>
            </w: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Meets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354/1300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1.00 (reference)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keepNext/>
              <w:spacing w:line="259" w:lineRule="auto" w:before="0" w:after="0"/>
              <w:jc w:val="left"/>
            </w:pPr>
          </w:p>
        </w:tc>
        <w:tc>
          <w:tcPr>
            <w:tcW w:type="dxa" w:w="2318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Does not meet</w:t>
            </w:r>
          </w:p>
        </w:tc>
        <w:tc>
          <w:tcPr>
            <w:tcW w:type="dxa" w:w="1411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2071/5022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1.51 (1.38–1.66)</w:t>
            </w:r>
          </w:p>
        </w:tc>
        <w:tc>
          <w:tcPr>
            <w:tcW w:type="dxa" w:w="2563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1.35 (1.23–1.49)</w:t>
            </w:r>
          </w:p>
        </w:tc>
        <w:tc>
          <w:tcPr>
            <w:tcW w:type="dxa" w:w="108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&lt;0.001</w:t>
            </w:r>
          </w:p>
        </w:tc>
      </w:tr>
    </w:tbl>
    <w:p>
      <w:pPr>
        <w:keepNext/>
        <w:keepLines/>
        <w:spacing w:line="259" w:lineRule="auto" w:after="100"/>
      </w:pPr>
      <w:r>
        <w:rPr>
          <w:sz w:val="20"/>
        </w:rPr>
        <w:t>Note: Screen P is the overall robust Wald test from an univariable modified Poisson model. P &lt; 0.05 factors entered one adjusted model together: sex, monthly income, marital status, occupation, physician-diagnosed chronic condition, self-rated health, depressive-symptom indicator, anxiety-symptom indicator, national MHL standard. A dash indicates no adjusted estimate after screening or no test for a reference level. Estimates are unweighted and use empirical sandwich standard errors.</w:t>
      </w:r>
    </w:p>
    <w:p>
      <w:pPr>
        <w:keepNext w:val="0"/>
        <w:keepLines/>
        <w:spacing w:line="259" w:lineRule="auto" w:after="100"/>
      </w:pPr>
      <w:r>
        <w:rPr>
          <w:sz w:val="20"/>
        </w:rPr>
        <w:t>Abbreviations: PR, prevalence ratio; CI, confidence interval; MHL, mental health literacy.</w:t>
      </w:r>
    </w:p>
    <w:p>
      <w:pPr>
        <w:sectPr>
          <w:pgSz w:w="16834" w:h="11909" w:orient="landscape"/>
          <w:pgMar w:top="1080" w:right="1080" w:bottom="1080" w:left="1224" w:header="360" w:footer="432" w:gutter="0"/>
          <w:cols w:space="720"/>
          <w:docGrid w:linePitch="360"/>
        </w:sectPr>
      </w:pPr>
    </w:p>
    <w:p>
      <w:pPr>
        <w:pStyle w:val="Caption"/>
        <w:keepNext/>
        <w:keepLines/>
        <w:spacing w:line="259" w:lineRule="auto" w:before="160" w:after="100"/>
      </w:pPr>
      <w:r>
        <w:rPr>
          <w:b/>
          <w:i w:val="0"/>
          <w:sz w:val="22"/>
        </w:rPr>
        <w:t>Table 5 Component-specific adjusted prevalence ratios for principal health and literacy factors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nil" w:sz="8" w:color="000000"/>
          <w:bottom w:val="single" w:sz="8" w:color="000000"/>
          <w:right w:val="nil" w:sz="8" w:color="000000"/>
          <w:insideH w:val="nil" w:sz="8" w:color="000000"/>
          <w:insideV w:val="nil" w:sz="8" w:color="000000"/>
        </w:tblBorders>
        <w:tblCellMar>
          <w:top w:w="35" w:type="dxa"/>
          <w:bottom w:w="35" w:type="dxa"/>
          <w:left w:w="65" w:type="dxa"/>
          <w:right w:w="65" w:type="dxa"/>
        </w:tblCellMar>
      </w:tblPr>
      <w:tblGrid>
        <w:gridCol w:w="2880"/>
        <w:gridCol w:w="1584"/>
        <w:gridCol w:w="1440"/>
        <w:gridCol w:w="1440"/>
        <w:gridCol w:w="1872"/>
        <w:gridCol w:w="1872"/>
        <w:gridCol w:w="3442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Sleep component</w:t>
            </w:r>
          </w:p>
        </w:tc>
        <w:tc>
          <w:tcPr>
            <w:tcW w:type="dxa" w:w="1584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Chronic condition</w:t>
            </w:r>
          </w:p>
        </w:tc>
        <w:tc>
          <w:tcPr>
            <w:tcW w:type="dxa" w:w="1440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Fair health</w:t>
            </w:r>
          </w:p>
        </w:tc>
        <w:tc>
          <w:tcPr>
            <w:tcW w:type="dxa" w:w="1440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Poor health</w:t>
            </w:r>
          </w:p>
        </w:tc>
        <w:tc>
          <w:tcPr>
            <w:tcW w:type="dxa" w:w="1872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Depressive symptoms</w:t>
            </w:r>
          </w:p>
        </w:tc>
        <w:tc>
          <w:tcPr>
            <w:tcW w:type="dxa" w:w="1872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Anxiety symptoms</w:t>
            </w:r>
          </w:p>
        </w:tc>
        <w:tc>
          <w:tcPr>
            <w:tcW w:type="dxa" w:w="3442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NMHLQ standard not met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Low sleep efficiency (≤80%)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1.19 (1.09–1.31)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1.17 (1.05–1.30)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1.27 (1.03–1.57)</w:t>
            </w:r>
          </w:p>
        </w:tc>
        <w:tc>
          <w:tcPr>
            <w:tcW w:type="dxa" w:w="1872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1.46 (1.26–1.71)</w:t>
            </w:r>
          </w:p>
        </w:tc>
        <w:tc>
          <w:tcPr>
            <w:tcW w:type="dxa" w:w="1872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1.09 (0.97–1.23)</w:t>
            </w:r>
          </w:p>
        </w:tc>
        <w:tc>
          <w:tcPr>
            <w:tcW w:type="dxa" w:w="3442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1.41 (1.24–1.60)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Poor subjective sleep quality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1.34 (1.16–1.54)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2.59 (2.21–3.03)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3.81 (3.06–4.74)</w:t>
            </w:r>
          </w:p>
        </w:tc>
        <w:tc>
          <w:tcPr>
            <w:tcW w:type="dxa" w:w="1872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1.53 (1.28–1.83)</w:t>
            </w:r>
          </w:p>
        </w:tc>
        <w:tc>
          <w:tcPr>
            <w:tcW w:type="dxa" w:w="1872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2.14 (1.82–2.51)</w:t>
            </w:r>
          </w:p>
        </w:tc>
        <w:tc>
          <w:tcPr>
            <w:tcW w:type="dxa" w:w="3442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1.36 (1.12–1.66)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Any hypnotic medication use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1.74 (1.36–2.23)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1.84 (1.41–2.40)</w:t>
            </w:r>
          </w:p>
        </w:tc>
        <w:tc>
          <w:tcPr>
            <w:tcW w:type="dxa" w:w="144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2.63 (1.80–3.84)</w:t>
            </w:r>
          </w:p>
        </w:tc>
        <w:tc>
          <w:tcPr>
            <w:tcW w:type="dxa" w:w="1872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1.87 (1.35–2.60)</w:t>
            </w:r>
          </w:p>
        </w:tc>
        <w:tc>
          <w:tcPr>
            <w:tcW w:type="dxa" w:w="1872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1.68 (1.27–2.22)</w:t>
            </w:r>
          </w:p>
        </w:tc>
        <w:tc>
          <w:tcPr>
            <w:tcW w:type="dxa" w:w="3442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3.36 (2.14–5.27)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1"/>
              </w:rPr>
              <w:t>Daytime dysfunction (either item ≥2)</w:t>
            </w:r>
          </w:p>
        </w:tc>
        <w:tc>
          <w:tcPr>
            <w:tcW w:type="dxa" w:w="158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1.19 (1.05–1.36)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2.69 (2.31–3.12)</w:t>
            </w:r>
          </w:p>
        </w:tc>
        <w:tc>
          <w:tcPr>
            <w:tcW w:type="dxa" w:w="144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3.36 (2.73–4.14)</w:t>
            </w:r>
          </w:p>
        </w:tc>
        <w:tc>
          <w:tcPr>
            <w:tcW w:type="dxa" w:w="1872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1.93 (1.66–2.26)</w:t>
            </w:r>
          </w:p>
        </w:tc>
        <w:tc>
          <w:tcPr>
            <w:tcW w:type="dxa" w:w="1872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1.94 (1.66–2.28)</w:t>
            </w:r>
          </w:p>
        </w:tc>
        <w:tc>
          <w:tcPr>
            <w:tcW w:type="dxa" w:w="3442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1"/>
              </w:rPr>
              <w:t>1.55 (1.27–1.88)</w:t>
            </w:r>
          </w:p>
        </w:tc>
      </w:tr>
    </w:tbl>
    <w:p>
      <w:pPr>
        <w:keepNext/>
        <w:keepLines/>
        <w:spacing w:line="259" w:lineRule="auto" w:after="100"/>
      </w:pPr>
      <w:r>
        <w:rPr>
          <w:sz w:val="20"/>
        </w:rPr>
        <w:t>Note: Cells are aPR (95% CI). Each model retains the variables selected for the primary composite in Table 4; components were not screened independently. All component tests are exploratory and uncorrected for multiplicity.</w:t>
      </w:r>
    </w:p>
    <w:p>
      <w:pPr>
        <w:keepNext w:val="0"/>
        <w:keepLines/>
        <w:spacing w:line="259" w:lineRule="auto" w:after="100"/>
      </w:pPr>
      <w:r>
        <w:rPr>
          <w:sz w:val="20"/>
        </w:rPr>
        <w:t>Abbreviations: aPR, adjusted prevalence ratio; CI, confidence interval; NMHLQ, National Mental Health Literacy Questionnaire.</w:t>
      </w:r>
    </w:p>
    <w:p>
      <w:pPr>
        <w:sectPr>
          <w:pgSz w:w="16834" w:h="11909" w:orient="landscape"/>
          <w:pgMar w:top="1080" w:right="1080" w:bottom="1080" w:left="1224" w:header="360" w:footer="432" w:gutter="0"/>
          <w:cols w:space="720"/>
          <w:docGrid w:linePitch="360"/>
        </w:sectPr>
      </w:pPr>
    </w:p>
    <w:p>
      <w:pPr>
        <w:pStyle w:val="Caption"/>
        <w:keepNext/>
        <w:keepLines/>
        <w:spacing w:line="259" w:lineRule="auto" w:before="160" w:after="100"/>
      </w:pPr>
      <w:r>
        <w:rPr>
          <w:b/>
          <w:i w:val="0"/>
          <w:sz w:val="22"/>
        </w:rPr>
        <w:t>Table 6 Sensitivity analyses for principal health and literacy factors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nil" w:sz="8" w:color="000000"/>
          <w:bottom w:val="single" w:sz="8" w:color="000000"/>
          <w:right w:val="nil" w:sz="8" w:color="000000"/>
          <w:insideH w:val="nil" w:sz="8" w:color="000000"/>
          <w:insideV w:val="nil" w:sz="8" w:color="000000"/>
        </w:tblBorders>
        <w:tblCellMar>
          <w:top w:w="35" w:type="dxa"/>
          <w:bottom w:w="35" w:type="dxa"/>
          <w:left w:w="65" w:type="dxa"/>
          <w:right w:w="65" w:type="dxa"/>
        </w:tblCellMar>
      </w:tblPr>
      <w:tblGrid>
        <w:gridCol w:w="2952"/>
        <w:gridCol w:w="720"/>
        <w:gridCol w:w="1339"/>
        <w:gridCol w:w="1584"/>
        <w:gridCol w:w="1584"/>
        <w:gridCol w:w="1584"/>
        <w:gridCol w:w="1584"/>
        <w:gridCol w:w="1584"/>
        <w:gridCol w:w="1598"/>
      </w:tblGrid>
      <w:tr>
        <w:trPr>
          <w:cantSplit/>
          <w:tblHeader/>
        </w:trPr>
        <w:tc>
          <w:tcPr>
            <w:tcW w:type="dxa" w:w="2952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b/>
                <w:sz w:val="20"/>
              </w:rPr>
              <w:t>Analysis</w:t>
            </w:r>
          </w:p>
        </w:tc>
        <w:tc>
          <w:tcPr>
            <w:tcW w:type="dxa" w:w="720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N</w:t>
            </w:r>
          </w:p>
        </w:tc>
        <w:tc>
          <w:tcPr>
            <w:tcW w:type="dxa" w:w="1339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Outcome n (%)</w:t>
            </w:r>
          </w:p>
        </w:tc>
        <w:tc>
          <w:tcPr>
            <w:tcW w:type="dxa" w:w="1584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Chronic condition</w:t>
            </w:r>
          </w:p>
        </w:tc>
        <w:tc>
          <w:tcPr>
            <w:tcW w:type="dxa" w:w="1584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Fair health</w:t>
            </w:r>
          </w:p>
        </w:tc>
        <w:tc>
          <w:tcPr>
            <w:tcW w:type="dxa" w:w="1584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Poor health</w:t>
            </w:r>
          </w:p>
        </w:tc>
        <w:tc>
          <w:tcPr>
            <w:tcW w:type="dxa" w:w="1584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Depressive symptoms</w:t>
            </w:r>
          </w:p>
        </w:tc>
        <w:tc>
          <w:tcPr>
            <w:tcW w:type="dxa" w:w="1584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Anxiety symptoms</w:t>
            </w:r>
          </w:p>
        </w:tc>
        <w:tc>
          <w:tcPr>
            <w:tcW w:type="dxa" w:w="1598"/>
            <w:vAlign w:val="center"/>
            <w:tcBorders>
              <w:bottom w:val="single" w:sz="6" w:color="000000"/>
            </w:tcBorders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NMHLQ standard not met</w:t>
            </w:r>
          </w:p>
        </w:tc>
      </w:tr>
      <w:tr>
        <w:trPr>
          <w:cantSplit/>
        </w:trPr>
        <w:tc>
          <w:tcPr>
            <w:tcW w:type="dxa" w:w="2952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Primary selected model</w:t>
            </w:r>
          </w:p>
        </w:tc>
        <w:tc>
          <w:tcPr>
            <w:tcW w:type="dxa" w:w="72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6322</w:t>
            </w:r>
          </w:p>
        </w:tc>
        <w:tc>
          <w:tcPr>
            <w:tcW w:type="dxa" w:w="1339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2425 (38.4%)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1.17 (1.09–1.24)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1.51 (1.41–1.62)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1.80 (1.64–1.98)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1.39 (1.28–1.51)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1.38 (1.29–1.49)</w:t>
            </w:r>
          </w:p>
        </w:tc>
        <w:tc>
          <w:tcPr>
            <w:tcW w:type="dxa" w:w="1598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1.35 (1.23–1.49)</w:t>
            </w:r>
          </w:p>
        </w:tc>
      </w:tr>
      <w:tr>
        <w:trPr>
          <w:cantSplit/>
        </w:trPr>
        <w:tc>
          <w:tcPr>
            <w:tcW w:type="dxa" w:w="2952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Efficiency threshold &lt;85%</w:t>
            </w:r>
          </w:p>
        </w:tc>
        <w:tc>
          <w:tcPr>
            <w:tcW w:type="dxa" w:w="72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6322</w:t>
            </w:r>
          </w:p>
        </w:tc>
        <w:tc>
          <w:tcPr>
            <w:tcW w:type="dxa" w:w="1339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2510 (39.7%)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1.15 (1.08–1.22)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1.49 (1.39–1.59)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1.76 (1.60–1.92)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1.39 (1.28–1.50)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1.36 (1.27–1.46)</w:t>
            </w:r>
          </w:p>
        </w:tc>
        <w:tc>
          <w:tcPr>
            <w:tcW w:type="dxa" w:w="1598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1.37 (1.25–1.51)</w:t>
            </w:r>
          </w:p>
        </w:tc>
      </w:tr>
      <w:tr>
        <w:trPr>
          <w:cantSplit/>
        </w:trPr>
        <w:tc>
          <w:tcPr>
            <w:tcW w:type="dxa" w:w="2952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At least two components</w:t>
            </w:r>
          </w:p>
        </w:tc>
        <w:tc>
          <w:tcPr>
            <w:tcW w:type="dxa" w:w="72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6322</w:t>
            </w:r>
          </w:p>
        </w:tc>
        <w:tc>
          <w:tcPr>
            <w:tcW w:type="dxa" w:w="1339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737 (11.7%)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1.41 (1.23–1.62)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2.52 (2.15–2.95)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3.44 (2.77–4.28)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1.94 (1.63–2.31)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1.91 (1.62–2.26)</w:t>
            </w:r>
          </w:p>
        </w:tc>
        <w:tc>
          <w:tcPr>
            <w:tcW w:type="dxa" w:w="1598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2.32 (1.81–2.97)</w:t>
            </w:r>
          </w:p>
        </w:tc>
      </w:tr>
      <w:tr>
        <w:trPr>
          <w:cantSplit/>
        </w:trPr>
        <w:tc>
          <w:tcPr>
            <w:tcW w:type="dxa" w:w="2952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Exclude completion &lt;300 s</w:t>
            </w:r>
          </w:p>
        </w:tc>
        <w:tc>
          <w:tcPr>
            <w:tcW w:type="dxa" w:w="72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5959</w:t>
            </w:r>
          </w:p>
        </w:tc>
        <w:tc>
          <w:tcPr>
            <w:tcW w:type="dxa" w:w="1339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2295 (38.5%)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1.17 (1.09–1.25)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1.49 (1.39–1.60)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1.81 (1.64–1.99)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1.40 (1.28–1.52)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1.38 (1.28–1.49)</w:t>
            </w:r>
          </w:p>
        </w:tc>
        <w:tc>
          <w:tcPr>
            <w:tcW w:type="dxa" w:w="1598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1.35 (1.23–1.49)</w:t>
            </w:r>
          </w:p>
        </w:tc>
      </w:tr>
      <w:tr>
        <w:trPr>
          <w:cantSplit/>
        </w:trPr>
        <w:tc>
          <w:tcPr>
            <w:tcW w:type="dxa" w:w="2952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Exclude two lowest attitude categories</w:t>
            </w:r>
          </w:p>
        </w:tc>
        <w:tc>
          <w:tcPr>
            <w:tcW w:type="dxa" w:w="72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5755</w:t>
            </w:r>
          </w:p>
        </w:tc>
        <w:tc>
          <w:tcPr>
            <w:tcW w:type="dxa" w:w="1339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2124 (36.9%)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1.18 (1.10–1.27)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1.51 (1.40–1.63)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1.87 (1.69–2.08)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1.37 (1.25–1.51)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1.41 (1.30–1.53)</w:t>
            </w:r>
          </w:p>
        </w:tc>
        <w:tc>
          <w:tcPr>
            <w:tcW w:type="dxa" w:w="1598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1.33 (1.21–1.47)</w:t>
            </w:r>
          </w:p>
        </w:tc>
      </w:tr>
      <w:tr>
        <w:trPr>
          <w:cantSplit/>
        </w:trPr>
        <w:tc>
          <w:tcPr>
            <w:tcW w:type="dxa" w:w="2952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Retain duration &gt; time in bed</w:t>
            </w:r>
          </w:p>
        </w:tc>
        <w:tc>
          <w:tcPr>
            <w:tcW w:type="dxa" w:w="72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6720</w:t>
            </w:r>
          </w:p>
        </w:tc>
        <w:tc>
          <w:tcPr>
            <w:tcW w:type="dxa" w:w="1339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2503 (37.2%)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1.17 (1.10–1.25)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1.52 (1.42–1.63)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1.82 (1.66–2.00)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1.42 (1.31–1.54)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1.38 (1.28–1.48)</w:t>
            </w:r>
          </w:p>
        </w:tc>
        <w:tc>
          <w:tcPr>
            <w:tcW w:type="dxa" w:w="1598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1.32 (1.20–1.45)</w:t>
            </w:r>
          </w:p>
        </w:tc>
      </w:tr>
      <w:tr>
        <w:trPr>
          <w:cantSplit/>
        </w:trPr>
        <w:tc>
          <w:tcPr>
            <w:tcW w:type="dxa" w:w="2952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Continuous PHQ-8 excluding sleep</w:t>
            </w:r>
          </w:p>
        </w:tc>
        <w:tc>
          <w:tcPr>
            <w:tcW w:type="dxa" w:w="72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6322</w:t>
            </w:r>
          </w:p>
        </w:tc>
        <w:tc>
          <w:tcPr>
            <w:tcW w:type="dxa" w:w="1339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2425 (38.4%)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1.16 (1.08–1.24)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1.44 (1.34–1.54)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1.67 (1.51–1.84)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Per point 1.06 (1.05–1.07)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1.10 (1.01–1.19)</w:t>
            </w:r>
          </w:p>
        </w:tc>
        <w:tc>
          <w:tcPr>
            <w:tcW w:type="dxa" w:w="1598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1.30 (1.19–1.43)</w:t>
            </w:r>
          </w:p>
        </w:tc>
      </w:tr>
      <w:tr>
        <w:trPr>
          <w:cantSplit/>
        </w:trPr>
        <w:tc>
          <w:tcPr>
            <w:tcW w:type="dxa" w:w="2952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GAD-7 threshold ≥10</w:t>
            </w:r>
          </w:p>
        </w:tc>
        <w:tc>
          <w:tcPr>
            <w:tcW w:type="dxa" w:w="72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6322</w:t>
            </w:r>
          </w:p>
        </w:tc>
        <w:tc>
          <w:tcPr>
            <w:tcW w:type="dxa" w:w="1339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2425 (38.4%)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1.16 (1.09–1.24)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1.58 (1.47–1.69)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1.85 (1.68–2.03)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1.51 (1.39–1.64)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1.30 (1.19–1.43)</w:t>
            </w:r>
          </w:p>
        </w:tc>
        <w:tc>
          <w:tcPr>
            <w:tcW w:type="dxa" w:w="1598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1.38 (1.26–1.52)</w:t>
            </w:r>
          </w:p>
        </w:tc>
      </w:tr>
      <w:tr>
        <w:trPr>
          <w:cantSplit/>
        </w:trPr>
        <w:tc>
          <w:tcPr>
            <w:tcW w:type="dxa" w:w="2952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Continuous GAD-7</w:t>
            </w:r>
          </w:p>
        </w:tc>
        <w:tc>
          <w:tcPr>
            <w:tcW w:type="dxa" w:w="72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6322</w:t>
            </w:r>
          </w:p>
        </w:tc>
        <w:tc>
          <w:tcPr>
            <w:tcW w:type="dxa" w:w="1339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2425 (38.4%)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1.15 (1.08–1.23)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1.44 (1.35–1.54)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1.62 (1.46–1.80)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1.15 (1.05–1.26)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Per point 1.06 (1.05–1.07)</w:t>
            </w:r>
          </w:p>
        </w:tc>
        <w:tc>
          <w:tcPr>
            <w:tcW w:type="dxa" w:w="1598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1.32 (1.20–1.45)</w:t>
            </w:r>
          </w:p>
        </w:tc>
      </w:tr>
      <w:tr>
        <w:trPr>
          <w:cantSplit/>
        </w:trPr>
        <w:tc>
          <w:tcPr>
            <w:tcW w:type="dxa" w:w="2952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+ long-term co-resident indicator</w:t>
            </w:r>
          </w:p>
        </w:tc>
        <w:tc>
          <w:tcPr>
            <w:tcW w:type="dxa" w:w="72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6198</w:t>
            </w:r>
          </w:p>
        </w:tc>
        <w:tc>
          <w:tcPr>
            <w:tcW w:type="dxa" w:w="1339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2366 (38.2%)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1.16 (1.09–1.24)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1.52 (1.41–1.63)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1.81 (1.64–1.99)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1.40 (1.29–1.52)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1.39 (1.29–1.49)</w:t>
            </w:r>
          </w:p>
        </w:tc>
        <w:tc>
          <w:tcPr>
            <w:tcW w:type="dxa" w:w="1598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1.36 (1.24–1.50)</w:t>
            </w:r>
          </w:p>
        </w:tc>
      </w:tr>
      <w:tr>
        <w:trPr>
          <w:cantSplit/>
        </w:trPr>
        <w:tc>
          <w:tcPr>
            <w:tcW w:type="dxa" w:w="2952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Full candidate-covariate adjustment</w:t>
            </w:r>
          </w:p>
        </w:tc>
        <w:tc>
          <w:tcPr>
            <w:tcW w:type="dxa" w:w="72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6322</w:t>
            </w:r>
          </w:p>
        </w:tc>
        <w:tc>
          <w:tcPr>
            <w:tcW w:type="dxa" w:w="1339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2425 (38.4%)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1.17 (1.09–1.25)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1.52 (1.42–1.63)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1.82 (1.65–2.00)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1.39 (1.28–1.50)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1.38 (1.28–1.49)</w:t>
            </w:r>
          </w:p>
        </w:tc>
        <w:tc>
          <w:tcPr>
            <w:tcW w:type="dxa" w:w="1598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1.36 (1.24–1.50)</w:t>
            </w:r>
          </w:p>
        </w:tc>
      </w:tr>
      <w:tr>
        <w:trPr>
          <w:cantSplit/>
        </w:trPr>
        <w:tc>
          <w:tcPr>
            <w:tcW w:type="dxa" w:w="2952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Logistic sensitivity model (aOR)</w:t>
            </w:r>
          </w:p>
        </w:tc>
        <w:tc>
          <w:tcPr>
            <w:tcW w:type="dxa" w:w="72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6322</w:t>
            </w:r>
          </w:p>
        </w:tc>
        <w:tc>
          <w:tcPr>
            <w:tcW w:type="dxa" w:w="1339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2425 (38.4%)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1.32 (1.17–1.50)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2.21 (1.91–2.54)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6.39 (4.09–9.98)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3.15 (2.36–4.19)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1.95 (1.66–2.28)</w:t>
            </w:r>
          </w:p>
        </w:tc>
        <w:tc>
          <w:tcPr>
            <w:tcW w:type="dxa" w:w="1598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1.59 (1.38–1.83)</w:t>
            </w:r>
          </w:p>
        </w:tc>
      </w:tr>
      <w:tr>
        <w:trPr>
          <w:cantSplit/>
        </w:trPr>
        <w:tc>
          <w:tcPr>
            <w:tcW w:type="dxa" w:w="2952"/>
            <w:vAlign w:val="center"/>
          </w:tcPr>
          <w:p>
            <w:pPr>
              <w:keepNext w:val="0"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Decimal fractions interpreted as clock minutes</w:t>
            </w:r>
          </w:p>
        </w:tc>
        <w:tc>
          <w:tcPr>
            <w:tcW w:type="dxa" w:w="720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6322</w:t>
            </w:r>
          </w:p>
        </w:tc>
        <w:tc>
          <w:tcPr>
            <w:tcW w:type="dxa" w:w="1339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2425 (38.4%)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1.17 (1.09–1.24)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1.51 (1.41–1.62)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1.80 (1.64–1.98)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1.39 (1.28–1.51)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1.38 (1.29–1.49)</w:t>
            </w:r>
          </w:p>
        </w:tc>
        <w:tc>
          <w:tcPr>
            <w:tcW w:type="dxa" w:w="1598"/>
            <w:vAlign w:val="center"/>
          </w:tcPr>
          <w:p>
            <w:pPr>
              <w:keepNext w:val="0"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1.35 (1.23–1.49)</w:t>
            </w:r>
          </w:p>
        </w:tc>
      </w:tr>
      <w:tr>
        <w:trPr>
          <w:cantSplit/>
        </w:trPr>
        <w:tc>
          <w:tcPr>
            <w:tcW w:type="dxa" w:w="2952"/>
            <w:vAlign w:val="center"/>
          </w:tcPr>
          <w:p>
            <w:pPr>
              <w:keepNext/>
              <w:spacing w:line="259" w:lineRule="auto" w:before="0" w:after="0"/>
              <w:jc w:val="left"/>
            </w:pPr>
            <w:r>
              <w:rPr>
                <w:rFonts w:ascii="Times New Roman" w:hAnsi="Times New Roman"/>
                <w:sz w:val="20"/>
              </w:rPr>
              <w:t>Retained time-in-bed field</w:t>
            </w:r>
          </w:p>
        </w:tc>
        <w:tc>
          <w:tcPr>
            <w:tcW w:type="dxa" w:w="720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6394</w:t>
            </w:r>
          </w:p>
        </w:tc>
        <w:tc>
          <w:tcPr>
            <w:tcW w:type="dxa" w:w="1339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2463 (38.5%)</w:t>
            </w:r>
          </w:p>
        </w:tc>
        <w:tc>
          <w:tcPr>
            <w:tcW w:type="dxa" w:w="158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1.16 (1.09–1.24)</w:t>
            </w:r>
          </w:p>
        </w:tc>
        <w:tc>
          <w:tcPr>
            <w:tcW w:type="dxa" w:w="158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1.51 (1.41–1.62)</w:t>
            </w:r>
          </w:p>
        </w:tc>
        <w:tc>
          <w:tcPr>
            <w:tcW w:type="dxa" w:w="158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1.82 (1.66–1.99)</w:t>
            </w:r>
          </w:p>
        </w:tc>
        <w:tc>
          <w:tcPr>
            <w:tcW w:type="dxa" w:w="158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1.39 (1.29–1.51)</w:t>
            </w:r>
          </w:p>
        </w:tc>
        <w:tc>
          <w:tcPr>
            <w:tcW w:type="dxa" w:w="1584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1.38 (1.28–1.48)</w:t>
            </w:r>
          </w:p>
        </w:tc>
        <w:tc>
          <w:tcPr>
            <w:tcW w:type="dxa" w:w="1598"/>
            <w:vAlign w:val="center"/>
          </w:tcPr>
          <w:p>
            <w:pPr>
              <w:keepNext/>
              <w:spacing w:line="259" w:lineRule="auto" w:before="0" w:after="0"/>
              <w:jc w:val="center"/>
            </w:pPr>
            <w:r>
              <w:rPr>
                <w:rFonts w:ascii="Times New Roman" w:hAnsi="Times New Roman"/>
                <w:sz w:val="20"/>
              </w:rPr>
              <w:t>1.35 (1.23–1.48)</w:t>
            </w:r>
          </w:p>
        </w:tc>
      </w:tr>
    </w:tbl>
    <w:p>
      <w:pPr>
        <w:keepNext/>
        <w:keepLines/>
        <w:spacing w:line="259" w:lineRule="auto" w:after="100"/>
      </w:pPr>
      <w:r>
        <w:rPr>
          <w:sz w:val="20"/>
        </w:rPr>
        <w:t>Note: Cells are aPR (95% CI), except the logistic row, which reports aOR (95% CI). The primary screened variable set is fixed unless indicated; the full-adjustment row contains all candidate variables. Continuous PHQ-8/GAD-7 effects are per point. The co-resident row uses valid integer counts and adds fewer than three long-term co-residents. Clock-minute interpretation and retained time-in-bed analyses examine processing assumptions. Date-restricted analysis was not possible.</w:t>
      </w:r>
    </w:p>
    <w:p>
      <w:pPr>
        <w:keepNext w:val="0"/>
        <w:keepLines/>
        <w:spacing w:line="259" w:lineRule="auto" w:after="100"/>
      </w:pPr>
      <w:r>
        <w:rPr>
          <w:sz w:val="20"/>
        </w:rPr>
        <w:t>Abbreviations: N, total number of participants; n, number with the outcome; aPR, adjusted prevalence ratio; aOR, adjusted odds ratio; CI, confidence interval; NMHLQ, National Mental Health Literacy Questionnaire; PHQ-8, study-specific Patient Health Questionnaire score excluding sleep; GAD-7, seven-item Generalized Anxiety Disorder scale.</w:t>
      </w:r>
    </w:p>
    <w:sectPr>
      <w:pgSz w:w="16834" w:h="11909" w:orient="landscape"/>
      <w:pgMar w:top="1080" w:right="1080" w:bottom="1080" w:left="1224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uppressLineNumbers/>
      <w:suppressLineNumbers/>
      <w:suppressLineNumbers/>
      <w:suppressLineNumbers/>
      <w:suppressLineNumbers/>
      <w:suppressLineNumbers/>
      <w:suppressLineNumbers/>
      <w:suppressLineNumbers/>
      <w:suppressLineNumbers/>
    </w:pPr>
    <w:r>
      <w:rPr>
        <w:rFonts w:ascii="Times New Roman" w:hAnsi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decimal"/>
      <w:lvlText w:val="%1."/>
      <w:pPr>
        <w:ind w:left="360" w:hanging="360"/>
      </w:pPr>
    </w:lvl>
    <w:lvl w:ilvl="1">
      <w:start w:val="1"/>
      <w:numFmt w:val="decimal"/>
      <w:lvlText w:val="%2."/>
      <w:pPr>
        <w:ind w:left="720" w:hanging="360"/>
      </w:pPr>
    </w:lvl>
    <w:lvl w:ilvl="2">
      <w:start w:val="1"/>
      <w:numFmt w:val="decimal"/>
      <w:lvlText w:val="%3."/>
      <w:pPr>
        <w:ind w:left="1080" w:hanging="360"/>
      </w:pPr>
    </w:lvl>
    <w:lvl w:ilvl="3">
      <w:start w:val="1"/>
      <w:numFmt w:val="decimal"/>
      <w:lvlText w:val="%4."/>
      <w:pPr>
        <w:ind w:left="1440" w:hanging="360"/>
      </w:pPr>
    </w:lvl>
    <w:lvl w:ilvl="4">
      <w:start w:val="1"/>
      <w:numFmt w:val="decimal"/>
      <w:lvlText w:val="%5."/>
      <w:pPr>
        <w:ind w:left="1800" w:hanging="360"/>
      </w:pPr>
    </w:lvl>
    <w:lvl w:ilvl="5">
      <w:start w:val="1"/>
      <w:numFmt w:val="decimal"/>
      <w:lvlText w:val="%6."/>
      <w:pPr>
        <w:ind w:left="2160" w:hanging="360"/>
      </w:pPr>
    </w:lvl>
    <w:lvl w:ilvl="6">
      <w:start w:val="1"/>
      <w:numFmt w:val="decimal"/>
      <w:lvlText w:val="%7."/>
      <w:pPr>
        <w:ind w:left="2520" w:hanging="360"/>
      </w:pPr>
    </w:lvl>
    <w:lvl w:ilvl="7">
      <w:start w:val="1"/>
      <w:numFmt w:val="decimal"/>
      <w:lvlText w:val="%8."/>
      <w:pPr>
        <w:ind w:left="2880" w:hanging="360"/>
      </w:pPr>
    </w:lvl>
    <w:lvl w:ilvl="8">
      <w:start w:val="1"/>
      <w:numFmt w:val="decimal"/>
      <w:lvlText w:val="%9."/>
      <w:pPr>
        <w:ind w:left="3240" w:hanging="360"/>
      </w:p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20" w:line="259" w:lineRule="auto"/>
    </w:pPr>
    <w:rPr>
      <w:rFonts w:ascii="Times New Roman" w:hAnsi="Times New Roman" w:eastAsia="Songti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76" w:lineRule="auto"/>
      <w:outlineLvl w:val="0"/>
    </w:pPr>
    <w:rPr>
      <w:rFonts w:ascii="Times New Roman" w:hAnsi="Times New Roman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76" w:lineRule="auto"/>
      <w:outlineLvl w:val="1"/>
    </w:pPr>
    <w:rPr>
      <w:rFonts w:ascii="Times New Roman" w:hAnsi="Times New Roman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76" w:lineRule="auto"/>
      <w:outlineLvl w:val="2"/>
    </w:pPr>
    <w:rPr>
      <w:rFonts w:ascii="Times New Roman" w:hAnsi="Times New Roman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100" w:line="276" w:lineRule="auto"/>
      <w:outlineLvl w:val="3"/>
    </w:pPr>
    <w:rPr>
      <w:rFonts w:ascii="Times New Roman" w:hAnsi="Times New Roman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b/>
      <w:i w:val="0"/>
      <w:color w:val="000000"/>
      <w:sz w:val="22"/>
      <w:u w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b/>
      <w:i w:val="0"/>
      <w:iCs/>
      <w:color w:val="000000"/>
      <w:sz w:val="22"/>
      <w:u w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40" w:lineRule="auto"/>
      <w:contextualSpacing/>
    </w:pPr>
    <w:rPr>
      <w:rFonts w:ascii="Times New Roman" w:hAnsi="Times New Roman"/>
      <w:b/>
      <w:i w:val="0"/>
      <w:color w:val="000000"/>
      <w:spacing w:val="5"/>
      <w:kern w:val="28"/>
      <w:sz w:val="3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/>
      <w:b/>
      <w:bCs/>
      <w:i w:val="0"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Tables</dc:title>
  <dc:subject>BMC Public Health manuscript tables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