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D4C62" w14:textId="77777777" w:rsidR="00E93601" w:rsidRDefault="00BA0A6E">
      <w:pPr>
        <w:pStyle w:val="Heading1"/>
      </w:pPr>
      <w:bookmarkStart w:id="0" w:name="supplementary-material"/>
      <w:r>
        <w:t>Supplementary Material</w:t>
      </w:r>
    </w:p>
    <w:p w14:paraId="54CDDFFA" w14:textId="77777777" w:rsidR="00C31058" w:rsidRPr="003A42BB" w:rsidRDefault="00C31058" w:rsidP="00C31058">
      <w:pPr>
        <w:pStyle w:val="BodyText"/>
        <w:rPr>
          <w:b/>
          <w:bCs/>
        </w:rPr>
      </w:pPr>
      <w:r>
        <w:rPr>
          <w:b/>
          <w:bCs/>
        </w:rPr>
        <w:t xml:space="preserve">Can Hydroxyapatite Micro-Parts Be Mass-Produced by Vat Photopolymerization? Geometry Is Necessary, But Not Sufficient</w:t>
      </w:r>
    </w:p>
    <w:p w14:paraId="668D4C65" w14:textId="32DCC18E" w:rsidR="00E93601" w:rsidRDefault="00E93601"/>
    <w:p w14:paraId="668D4C66" w14:textId="77777777" w:rsidR="00E93601" w:rsidRDefault="00BA0A6E">
      <w:pPr>
        <w:pStyle w:val="Heading2"/>
      </w:pPr>
      <w:bookmarkStart w:id="1" w:name="s0.-detailed-experimental-protocol"/>
      <w:r>
        <w:t>S0. Detailed experimental protocol</w:t>
      </w:r>
    </w:p>
    <w:p w14:paraId="668D4C67" w14:textId="77777777" w:rsidR="00E93601" w:rsidRDefault="00BA0A6E" w:rsidP="00C31058">
      <w:pPr>
        <w:pStyle w:val="FirstParagraph"/>
      </w:pPr>
      <w:r>
        <w:t>Full procedural detail for the steps summarised in §2 of the main text.</w:t>
      </w:r>
    </w:p>
    <w:p w14:paraId="668D4C68" w14:textId="77777777" w:rsidR="00E93601" w:rsidRDefault="00BA0A6E">
      <w:pPr>
        <w:pStyle w:val="Heading3"/>
      </w:pPr>
      <w:bookmarkStart w:id="2" w:name="s0.1-feedstock-and-material-batch"/>
      <w:r>
        <w:t>S</w:t>
      </w:r>
      <w:r>
        <w:t>0.1 Feedstock and material batch</w:t>
      </w:r>
    </w:p>
    <w:p w14:paraId="668D4C69" w14:textId="77777777" w:rsidR="00E93601" w:rsidRDefault="00BA0A6E" w:rsidP="00C31058">
      <w:pPr>
        <w:pStyle w:val="FirstParagraph"/>
      </w:pPr>
      <w:r>
        <w:t>The supplier’s process parameter sheet for this feedstock [5] does not state a density; the supplier’s separate material overview lists 3.16 g cm⁻³ for the related LithaBone HA 400 grade, in agreement with the crystallographic value of 3.156 g cm⁻³ used throughout this work.</w:t>
      </w:r>
    </w:p>
    <w:p w14:paraId="668D4C6A" w14:textId="77777777" w:rsidR="00E93601" w:rsidRPr="00C31058" w:rsidRDefault="00BA0A6E" w:rsidP="00C31058">
      <w:pPr>
        <w:pStyle w:val="BodyText"/>
      </w:pPr>
      <w:r w:rsidRPr="00C31058">
        <w:t>The material used was supplied as an experimental slurry batch (delivery note 24030453, 26.09.2024; item 09.14.000067, “Experimental Slurry Cart A”, labelled LithaBone HA 480). This batch was subsequently confirmed by the supplier to correspond to the currently qualified LithaBone HA 480 M grade, for which an expected relative density of 94–97 %TD at 1300 °C, depending on part volume, is specified [Lithoz GmbH, personal communication].</w:t>
      </w:r>
    </w:p>
    <w:p w14:paraId="668D4C6B" w14:textId="77777777" w:rsidR="00E93601" w:rsidRDefault="00BA0A6E">
      <w:pPr>
        <w:pStyle w:val="Heading3"/>
      </w:pPr>
      <w:bookmarkStart w:id="3" w:name="s0.2-printer-and-vat-operation"/>
      <w:bookmarkEnd w:id="2"/>
      <w:r>
        <w:t>S</w:t>
      </w:r>
      <w:r>
        <w:t>0.2 Printer and vat operation</w:t>
      </w:r>
    </w:p>
    <w:p w14:paraId="668D4C6C" w14:textId="77777777" w:rsidR="00E93601" w:rsidRDefault="00BA0A6E" w:rsidP="00C31058">
      <w:pPr>
        <w:pStyle w:val="FirstParagraph"/>
      </w:pPr>
      <w:r>
        <w:t>Printing used a CeraFab 7500 (machine identifier CF7500-21) with CeraFab-DP preprocessing software v7.65.10.2; build envelope 76.8 × 43.2 × 170 mm, DLP resolution 1920 × 1080, giving a projected pixel of approximately 40 µm.</w:t>
      </w:r>
    </w:p>
    <w:p w14:paraId="668D4C6D" w14:textId="77777777" w:rsidR="00E93601" w:rsidRDefault="00BA0A6E" w:rsidP="00C31058">
      <w:pPr>
        <w:pStyle w:val="BodyText"/>
      </w:pPr>
      <w:r>
        <w:t xml:space="preserve">The tetrapod geometry was designed to be inscribed within a notional sphere of 1 mm diameter; the parent model’s minimum enclosing sphere is 0.986 mm, confirming this target was met. Parts were printed directly from the parent models, with no additional scaling applied beyond the standard shrinkage compensation; this is confirmed by the archived job files, which reference the source STL directly, and by agreement between predicted and measured sintered dimensions (§3.2 of the main text). The tetrapod batch </w:t>
      </w:r>
      <w:r>
        <w:t>characterised here (µCT, microscopy) was drawn from output pooled across multiple builds using the same job settings.</w:t>
      </w:r>
    </w:p>
    <w:p w14:paraId="668D4C6E" w14:textId="77777777" w:rsidR="00E93601" w:rsidRDefault="00BA0A6E" w:rsidP="00C31058">
      <w:pPr>
        <w:pStyle w:val="BodyText"/>
      </w:pPr>
      <w:r>
        <w:t>The vat was maintained at approximately 40–50 °C against a specified 25 °C, using an aftermarket resin heater (Chitu Systems Mini Heater, H1, basic edition) operated for 10 min before each build. The resulting vat temperature was not independently logged and is reported as a nominal set point.</w:t>
      </w:r>
    </w:p>
    <w:p w14:paraId="668D4C6F" w14:textId="77777777" w:rsidR="00E93601" w:rsidRDefault="00BA0A6E">
      <w:pPr>
        <w:pStyle w:val="Heading3"/>
      </w:pPr>
      <w:bookmarkStart w:id="4" w:name="s0.3-build-foil-mechanism"/>
      <w:bookmarkEnd w:id="3"/>
      <w:r>
        <w:t>S</w:t>
      </w:r>
      <w:r>
        <w:t>0.3 Build foil mechanism</w:t>
      </w:r>
    </w:p>
    <w:p w14:paraId="668D4C70" w14:textId="77777777" w:rsidR="00E93601" w:rsidRDefault="00BA0A6E" w:rsidP="00C31058">
      <w:pPr>
        <w:pStyle w:val="FirstParagraph"/>
      </w:pPr>
      <w:r>
        <w:t xml:space="preserve">The foil is designated as a primer in the supplier’s documentation [5], consistent with a chemical interaction between the foil surface and the curing acrylate that achieves adhesion over the geometrically correct contact area, in contrast to the bare platform, where comparable adhesion instead requires lateral overcure of the first layers (§3.4 of the main text). This interpretation is </w:t>
      </w:r>
      <w:r>
        <w:lastRenderedPageBreak/>
        <w:t>consistent with the observations reported here but was not independently confirmed. Use of the foil requires the “use DLP instead of backlight” option for the adhesive layer, with a slurry height of 175–200 µm.</w:t>
      </w:r>
    </w:p>
    <w:p w14:paraId="668D4C71" w14:textId="77777777" w:rsidR="00E93601" w:rsidRDefault="00BA0A6E">
      <w:pPr>
        <w:pStyle w:val="Heading3"/>
      </w:pPr>
      <w:bookmarkStart w:id="5" w:name="s0.4-cleaning-and-foil-release-procedure"/>
      <w:bookmarkEnd w:id="4"/>
      <w:r>
        <w:t>S</w:t>
      </w:r>
      <w:r>
        <w:t>0.4 Cleaning and foil release procedure</w:t>
      </w:r>
    </w:p>
    <w:p w14:paraId="668D4C72" w14:textId="77777777" w:rsidR="00E93601" w:rsidRDefault="00BA0A6E" w:rsidP="00C31058">
      <w:pPr>
        <w:pStyle w:val="FirstParagraph"/>
      </w:pPr>
      <w:r>
        <w:t>Cleaning was performed with the parts still on the foil and the foil still on the build platform. This differs from the manufacturer’s general workflow, in which parts are removed before cleaning, and was adopted because sub-millimetre parts cannot be handled individually at this stage without loss. The procedure implements the specified sequence of pressurised air before solvent [5], modified from a previously demonstrated approach to suit parts of this size. The cleaning solvent, LithaSol 80, does not dis</w:t>
      </w:r>
      <w:r>
        <w:t>solve cured polymer but produces reversible swelling on prolonged contact [Lithoz GmbH, personal communication].</w:t>
      </w:r>
    </w:p>
    <w:p w14:paraId="668D4C73" w14:textId="77777777" w:rsidR="00E93601" w:rsidRDefault="00BA0A6E" w:rsidP="00C31058">
      <w:pPr>
        <w:pStyle w:val="Compact"/>
        <w:numPr>
          <w:ilvl w:val="0"/>
          <w:numId w:val="2"/>
        </w:numPr>
      </w:pPr>
      <w:r>
        <w:t>Residual slurry wiped from the platform margins with tissue.</w:t>
      </w:r>
    </w:p>
    <w:p w14:paraId="668D4C74" w14:textId="77777777" w:rsidR="00E93601" w:rsidRDefault="00BA0A6E" w:rsidP="00C31058">
      <w:pPr>
        <w:pStyle w:val="Compact"/>
        <w:numPr>
          <w:ilvl w:val="0"/>
          <w:numId w:val="2"/>
        </w:numPr>
      </w:pPr>
      <w:r>
        <w:t>Platform stood on its side on clean tissue; low-pressure air directed across it from the opposite face, sweeping trapped slurry out from between the parts. Air of the type supplied for cleaning electronic equipment was used; laboratory compressed air proved too forceful at this part size.</w:t>
      </w:r>
    </w:p>
    <w:p w14:paraId="668D4C75" w14:textId="77777777" w:rsidR="00E93601" w:rsidRDefault="00BA0A6E" w:rsidP="00C31058">
      <w:pPr>
        <w:pStyle w:val="Compact"/>
        <w:numPr>
          <w:ilvl w:val="0"/>
          <w:numId w:val="2"/>
        </w:numPr>
      </w:pPr>
      <w:r>
        <w:t>Steps 1–2 repeated until no slurry was visibly displaced.</w:t>
      </w:r>
    </w:p>
    <w:p w14:paraId="668D4C76" w14:textId="77777777" w:rsidR="00E93601" w:rsidRDefault="00BA0A6E" w:rsidP="00C31058">
      <w:pPr>
        <w:pStyle w:val="Compact"/>
        <w:numPr>
          <w:ilvl w:val="0"/>
          <w:numId w:val="2"/>
        </w:numPr>
      </w:pPr>
      <w:r>
        <w:t>Platform returned to the 50 °C chamber. Several drops of LithaSol 80 cleaning solvent, at chamber temperature, applied and distributed by tilting the platform in successive directions.</w:t>
      </w:r>
    </w:p>
    <w:p w14:paraId="668D4C77" w14:textId="77777777" w:rsidR="00E93601" w:rsidRDefault="00BA0A6E" w:rsidP="00C31058">
      <w:pPr>
        <w:pStyle w:val="Compact"/>
        <w:numPr>
          <w:ilvl w:val="0"/>
          <w:numId w:val="2"/>
        </w:numPr>
      </w:pPr>
      <w:r>
        <w:t>Solvent left in contact approximately two minutes.</w:t>
      </w:r>
    </w:p>
    <w:p w14:paraId="668D4C78" w14:textId="77777777" w:rsidR="00E93601" w:rsidRDefault="00BA0A6E" w:rsidP="00C31058">
      <w:pPr>
        <w:pStyle w:val="Compact"/>
        <w:numPr>
          <w:ilvl w:val="0"/>
          <w:numId w:val="2"/>
        </w:numPr>
      </w:pPr>
      <w:r>
        <w:t>Platform stood on its side again and solvent driven out with low-pressure air.</w:t>
      </w:r>
    </w:p>
    <w:p w14:paraId="668D4C79" w14:textId="77777777" w:rsidR="00E93601" w:rsidRDefault="00BA0A6E" w:rsidP="00C31058">
      <w:pPr>
        <w:pStyle w:val="Compact"/>
        <w:numPr>
          <w:ilvl w:val="0"/>
          <w:numId w:val="2"/>
        </w:numPr>
      </w:pPr>
      <w:r>
        <w:t>Steps 4–6 repeated until the solvent emerged transparent — the cleaning endpoint.</w:t>
      </w:r>
    </w:p>
    <w:p w14:paraId="668D4C7A" w14:textId="77777777" w:rsidR="00E93601" w:rsidRDefault="00BA0A6E" w:rsidP="00C31058">
      <w:pPr>
        <w:pStyle w:val="Compact"/>
        <w:numPr>
          <w:ilvl w:val="0"/>
          <w:numId w:val="2"/>
        </w:numPr>
      </w:pPr>
      <w:r>
        <w:t>Excess solvent wiped from the platform margins.</w:t>
      </w:r>
    </w:p>
    <w:p w14:paraId="668D4C7B" w14:textId="77777777" w:rsidR="00E93601" w:rsidRDefault="00BA0A6E" w:rsidP="00C31058">
      <w:pPr>
        <w:pStyle w:val="FirstParagraph"/>
      </w:pPr>
      <w:r>
        <w:t>The foil was then released from the platform. A blade opened a small gap at one edge; a drop of LithaSol 80 was introduced into the gap and left approximately ten seconds, after which the blade was advanced. This was repeated progressively until the foil was free. The purpose of the stepwise, solvent-assisted release is to keep the foil flat: lifted directly it curls, destroying the parts it carries. The solvent reduces the force required at the advancing edge.</w:t>
      </w:r>
    </w:p>
    <w:p w14:paraId="668D4C7C" w14:textId="77777777" w:rsidR="00E93601" w:rsidRDefault="00BA0A6E" w:rsidP="00C31058">
      <w:pPr>
        <w:pStyle w:val="BodyText"/>
      </w:pPr>
      <w:r>
        <w:t>The released foil, parts still attached, was placed on a ceramic plate and transferred to an oven at 40 °C.</w:t>
      </w:r>
    </w:p>
    <w:p w14:paraId="668D4C7D" w14:textId="77777777" w:rsidR="00E93601" w:rsidRDefault="00BA0A6E">
      <w:pPr>
        <w:pStyle w:val="Heading3"/>
      </w:pPr>
      <w:bookmarkStart w:id="6" w:name="s0.5-thermal-release-mechanism"/>
      <w:bookmarkEnd w:id="5"/>
      <w:r>
        <w:t>S</w:t>
      </w:r>
      <w:r>
        <w:t>0.5 Thermal release mechanism</w:t>
      </w:r>
    </w:p>
    <w:p w14:paraId="668D4C7E" w14:textId="77777777" w:rsidR="00E93601" w:rsidRDefault="00BA0A6E" w:rsidP="00C31058">
      <w:pPr>
        <w:pStyle w:val="FirstParagraph"/>
      </w:pPr>
      <w:r>
        <w:t>This duration (72 h at 40 °C) was not systematically optimised. The release mechanism is understood as follows: residual solvent retained after cleaning continues to swell the cured interface during the warm hold, and as this swelling reverses on evaporation, the resulting strain is sufficient to fail the adhesive bond, particularly at sub-millimetre scale where the bonded area is small relative to the part. This interpretation follows from the supplier-confirmed properties of the foil and solvent (S0.3, S0</w:t>
      </w:r>
      <w:r>
        <w:t>.4), but the operating mechanism was not independently confirmed; continued dark cure of residual monomer and relaxation of the foil itself remain alternative candidates.</w:t>
      </w:r>
    </w:p>
    <w:p w14:paraId="668D4C7F" w14:textId="77777777" w:rsidR="00E93601" w:rsidRDefault="00BA0A6E" w:rsidP="00C31058">
      <w:pPr>
        <w:pStyle w:val="BodyText"/>
      </w:pPr>
      <w:r>
        <w:lastRenderedPageBreak/>
        <w:t>The route reported here achieves release at a temperature already specified for post-cleaning storage and requires no additional consumable or equipment. Release yield was not quantified.</w:t>
      </w:r>
    </w:p>
    <w:p w14:paraId="668D4C80" w14:textId="77777777" w:rsidR="00E93601" w:rsidRDefault="00BA0A6E">
      <w:pPr>
        <w:pStyle w:val="Heading3"/>
      </w:pPr>
      <w:bookmarkStart w:id="7" w:name="s0.6-co-sintering-separation-medium"/>
      <w:bookmarkEnd w:id="6"/>
      <w:r>
        <w:t>S</w:t>
      </w:r>
      <w:r>
        <w:t>0.6 Co-sintering separation medium</w:t>
      </w:r>
    </w:p>
    <w:p w14:paraId="668D4C81" w14:textId="77777777" w:rsidR="00E93601" w:rsidRDefault="00BA0A6E" w:rsidP="00C31058">
      <w:pPr>
        <w:pStyle w:val="FirstParagraph"/>
      </w:pPr>
      <w:r>
        <w:t>Intermediate steps at 180, 220 and 500 °C and the cooling holds at 1150 and 900 °C were omitted from the shortened thermal schedule (Table 2 of the main text). The heating rate above 430 °C was reduced to 0.2 K min⁻¹ to compensate for the shortened dwells and omitted steps, with the intention of preserving complete organic removal. Cycle-shortening suggestions were contributed independently from more than one source.</w:t>
      </w:r>
    </w:p>
    <w:p w14:paraId="668D4C82" w14:textId="77777777" w:rsidR="00E93601" w:rsidRDefault="00BA0A6E" w:rsidP="00C31058">
      <w:pPr>
        <w:pStyle w:val="BodyText"/>
      </w:pPr>
      <w:r>
        <w:t>The number of parts examined per co-sintering arrangement was not formally recorded.</w:t>
      </w:r>
    </w:p>
    <w:p w14:paraId="668D4C83" w14:textId="77777777" w:rsidR="00E93601" w:rsidRDefault="00BA0A6E" w:rsidP="00C31058">
      <w:pPr>
        <w:pStyle w:val="BodyText"/>
      </w:pPr>
      <w:r>
        <w:rPr>
          <w:b/>
          <w:bCs/>
        </w:rPr>
        <w:t>Resolution limit on necking.</w:t>
      </w:r>
      <w:r>
        <w:t xml:space="preserve"> Necking below approximately 3 µm cannot be excluded: the stereomicroscopy used samples at 1.02 µm per pixel and its optical resolution at the available numerical apertures is 2.4–3.4 µm at visible wavelengths, so a neck formed under negligible load, and the facet it would leave on separation, fall at or below this limit. Scanning electron microscopy of contact regions would be required to establish whether incipient necking occurred.</w:t>
      </w:r>
    </w:p>
    <w:p w14:paraId="668D4C84" w14:textId="77777777" w:rsidR="00E93601" w:rsidRDefault="00BA0A6E" w:rsidP="00C31058">
      <w:pPr>
        <w:pStyle w:val="BodyText"/>
      </w:pPr>
      <w:r>
        <w:rPr>
          <w:b/>
          <w:bCs/>
        </w:rPr>
        <w:t>Distortion check for the separation media.</w:t>
      </w:r>
      <w:r>
        <w:t xml:space="preserve"> An embedded specimen gave arm lengths 481, 476 and 463 µm, junction width 231 µm and tip-to-tip span 961 µm, against control values 505, 516 and 414 µm, 233 µm and 955 µm — span, junction and tip agreeing to within 1 %, 1 % and 4 %. This is one specimen per condition and is indicative rather than a statistical comparison. On removal from the furnace for the ~1000-part batch, the crucible was tilted and the parts observed before any handling.</w:t>
      </w:r>
    </w:p>
    <w:p w14:paraId="668D4C85" w14:textId="77777777" w:rsidR="00E93601" w:rsidRDefault="00BA0A6E">
      <w:pPr>
        <w:pStyle w:val="Heading3"/>
      </w:pPr>
      <w:bookmarkStart w:id="8" w:name="s0.7-dimensional-analysis-method"/>
      <w:bookmarkEnd w:id="7"/>
      <w:r>
        <w:t>S</w:t>
      </w:r>
      <w:r>
        <w:t>0.7 Dimensional analysis method</w:t>
      </w:r>
    </w:p>
    <w:p w14:paraId="668D4C86" w14:textId="77777777" w:rsidR="00E93601" w:rsidRDefault="00BA0A6E" w:rsidP="00C31058">
      <w:pPr>
        <w:pStyle w:val="FirstParagraph"/>
      </w:pPr>
      <w:r>
        <w:t>Absolute dimensions were obtained by digital caliper and by image analysis calibrated against a millimetre rule placed in the field of view. Parts were segmented by contrast-limited adaptive histogram equalisation followed by Otsu thresholding, and characterised by minimum-area rotated rectangle and projected area; rotated rectangles were used because parts lie at arbitrary in-plane angles and axis-aligned boxes overestimate their dimensions.</w:t>
      </w:r>
    </w:p>
    <w:p w14:paraId="668D4C87" w14:textId="77777777" w:rsidR="00E93601" w:rsidRDefault="00BA0A6E" w:rsidP="00C31058">
      <w:pPr>
        <w:pStyle w:val="BodyText"/>
      </w:pPr>
      <w:r>
        <w:rPr>
          <w:b/>
          <w:bCs/>
        </w:rPr>
        <w:t>Segmentation bias.</w:t>
      </w:r>
      <w:r>
        <w:t xml:space="preserve"> Automated segmentation systematically oversizes parts on over-exposed micrographs, because thresholding includes the optical halo at the boundary. In this work the same field imaged at two exposures gave cube edges differing by 13 %, with identical nesting pitch in pixels confirming identical magnification. Absolute dimensions are therefore reported only from caliper measurement or from rule-calibrated images, and automated analysis is used for scatter and counts.</w:t>
      </w:r>
    </w:p>
    <w:p w14:paraId="668D4C88" w14:textId="77777777" w:rsidR="00E93601" w:rsidRDefault="00BA0A6E" w:rsidP="00C31058">
      <w:pPr>
        <w:pStyle w:val="BodyText"/>
      </w:pPr>
      <w:r>
        <w:rPr>
          <w:b/>
          <w:bCs/>
        </w:rPr>
        <w:t>Optical imaging.</w:t>
      </w:r>
      <w:r>
        <w:t xml:space="preserve"> Leica MZ 7.5 zoom stereomicroscope (2× objective, 12.6–100×; 0.5× objective, 3.2–25×), Leica CLS 150 XE cold light source (21 V, 150 W) with six-segment ring light (Ø 7.6 mm), Leica DFC420 camera (2592 × 1944), Leica Application Suite with Multifocus module for depth of field across three-dimensional geometries. Reflected-light optical microscopy was used additionally for green surface examination.</w:t>
      </w:r>
    </w:p>
    <w:p w14:paraId="668D4C89" w14:textId="77777777" w:rsidR="00E93601" w:rsidRDefault="00BA0A6E">
      <w:pPr>
        <w:pStyle w:val="Heading3"/>
      </w:pPr>
      <w:bookmarkStart w:id="9" w:name="X212c1f823e628ca1a4fe90c30e0bf9589b9594a"/>
      <w:bookmarkEnd w:id="8"/>
      <w:r>
        <w:lastRenderedPageBreak/>
        <w:t>S</w:t>
      </w:r>
      <w:r>
        <w:t>0.8 Micro-computed tomography and threshold selection</w:t>
      </w:r>
    </w:p>
    <w:p w14:paraId="668D4C8A" w14:textId="77777777" w:rsidR="00E93601" w:rsidRDefault="00BA0A6E" w:rsidP="00C31058">
      <w:pPr>
        <w:pStyle w:val="FirstParagraph"/>
      </w:pPr>
      <w:r>
        <w:t>RX Solutions EasyTom S, reconstructed with X-Act 2.0; isotropic voxel 13.222 µm; volumes exported as surface meshes. Porosity segmentation was not attempted: residual pores in a well-sintered part of this type are of order 0.2–2 µm, requiring a voxel of 100–200 nm to resolve, which is beyond a laboratory system; at the voxel available, unresolved porosity averages into the grey value and the part reads as solid regardless of its true density. Boundary segmentation is far more tolerant of voxel size. Mesh in</w:t>
      </w:r>
      <w:r>
        <w:t>tegrity was verified before use.</w:t>
      </w:r>
    </w:p>
    <w:p w14:paraId="668D4C8B" w14:textId="77777777" w:rsidR="00E93601" w:rsidRDefault="00BA0A6E" w:rsidP="00C31058">
      <w:pPr>
        <w:pStyle w:val="BodyText"/>
      </w:pPr>
      <w:r>
        <w:t>Grey-value thresholds were set at the ISO50 value, the midpoint between the material and air levels, following standard practice for dimensional computed tomography. Material and air levels were determined as the mean grey value of voxels lying at least 15 pixels inside and outside the part boundaries respectively, rather than as histogram modes, since the material peak is asymmetric and its mode is displaced from the true level.</w:t>
      </w:r>
    </w:p>
    <w:p w14:paraId="668D4C8C" w14:textId="77777777" w:rsidR="00E93601" w:rsidRDefault="00BA0A6E" w:rsidP="00C31058">
      <w:pPr>
        <w:pStyle w:val="BodyText"/>
      </w:pPr>
      <w:r>
        <w:t>ISO50 is preferred to Otsu’s method because the latter depends on the relative areas of the two phases and therefore shifts with the region analysed: across crop radii from 0.26 to 0.42 of the image width, Otsu varied by 106 grey levels on one dataset, whereas ISO50 was invariant.</w:t>
      </w:r>
    </w:p>
    <w:p w14:paraId="668D4C8D" w14:textId="77777777" w:rsidR="00E93601" w:rsidRDefault="00BA0A6E" w:rsidP="00C31058">
      <w:pPr>
        <w:pStyle w:val="BodyText"/>
      </w:pPr>
      <w:r>
        <w:t>The sample holder was excluded before segmentation. Its removal is the single most consequential processing decision, and was made for both datasets by the same criterion: the filled fraction of the vial cross-section falls steadily through the curved base of the vial and reaches a plateau at the first slice containing only parts, and slices below that plateau were discarded.</w:t>
      </w:r>
    </w:p>
    <w:p w14:paraId="668D4C8E" w14:textId="77777777" w:rsidR="00E93601" w:rsidRDefault="00BA0A6E" w:rsidP="00C31058">
      <w:pPr>
        <w:pStyle w:val="BodyText"/>
      </w:pPr>
      <w:r>
        <w:t>A threshold sensitivity analysis on a representative slice (S3.2) gives a volume change of approximately ±2 % for a threshold offset of ±100 grey levels. Volume uncertainty is therefore reported as ±2 %, corresponding to ±2 percentage points on relative density. By comparison, balance readability of 0.1 mg on a 40.0 mg reading contributes only ±0.12 percentage points.</w:t>
      </w:r>
    </w:p>
    <w:p w14:paraId="668D4C8F" w14:textId="77777777" w:rsidR="00E93601" w:rsidRDefault="00BA0A6E">
      <w:pPr>
        <w:pStyle w:val="Heading3"/>
      </w:pPr>
      <w:bookmarkStart w:id="10" w:name="X495bf88775f60fa780c0d5a054a421b96f9f230"/>
      <w:bookmarkEnd w:id="9"/>
      <w:r>
        <w:t>S</w:t>
      </w:r>
      <w:r>
        <w:t>0.10 Batch production constraints and elevated-temperature trade-offs</w:t>
      </w:r>
    </w:p>
    <w:p w14:paraId="668D4C90" w14:textId="77777777" w:rsidR="00E93601" w:rsidRDefault="00BA0A6E" w:rsidP="00C31058">
      <w:pPr>
        <w:pStyle w:val="FirstParagraph"/>
      </w:pPr>
      <w:r>
        <w:t>With elevated-temperature operation, slurry is better added directly from an external container than dispensed automatically from a cartridge. Automatic dispensing suits large components requiring substantial material, but for small parts it leaves slurry resident in the heated vat longer than necessary.</w:t>
      </w:r>
    </w:p>
    <w:p w14:paraId="668D4C91" w14:textId="77777777" w:rsidR="00E93601" w:rsidRDefault="00BA0A6E" w:rsidP="00C31058">
      <w:pPr>
        <w:pStyle w:val="BodyText"/>
      </w:pPr>
      <w:r>
        <w:t>Four constraints governed the number of parts placed on the platform, none of them platform area.</w:t>
      </w:r>
    </w:p>
    <w:p w14:paraId="668D4C92" w14:textId="77777777" w:rsidR="00E93601" w:rsidRDefault="00BA0A6E" w:rsidP="00C31058">
      <w:pPr>
        <w:pStyle w:val="BodyText"/>
      </w:pPr>
      <w:r>
        <w:rPr>
          <w:b/>
          <w:bCs/>
        </w:rPr>
        <w:t>Manual build-platform levelling.</w:t>
      </w:r>
      <w:r>
        <w:t xml:space="preserve"> The system requires manual levelling. Two consequences were identified contemporaneously in an internal assessment: systematic variation in z-axis accuracy across the platform arising from residual tilt, and part detachment caused by unequal separation forces. Parts were consequently placed toward the platform centre.</w:t>
      </w:r>
    </w:p>
    <w:p w14:paraId="668D4C93" w14:textId="77777777" w:rsidR="00E93601" w:rsidRDefault="00BA0A6E" w:rsidP="00C31058">
      <w:pPr>
        <w:pStyle w:val="BodyText"/>
      </w:pPr>
      <w:r>
        <w:rPr>
          <w:b/>
          <w:bCs/>
        </w:rPr>
        <w:t>Part detachment and slurry contamination.</w:t>
      </w:r>
      <w:r>
        <w:t xml:space="preserve"> Dense packing and placement toward platform edges increased detachment during the build. The consequence is disproportionate to the part lost: the build must be halted, the slurry filtered or replaced, and the vat film cleaned where </w:t>
      </w:r>
      <w:r>
        <w:lastRenderedPageBreak/>
        <w:t>fragments have adhered. The risk scales with part count — the opposite of what a scale-up route requires.</w:t>
      </w:r>
    </w:p>
    <w:p w14:paraId="668D4C94" w14:textId="77777777" w:rsidR="00E93601" w:rsidRDefault="00BA0A6E" w:rsidP="00C31058">
      <w:pPr>
        <w:pStyle w:val="BodyText"/>
      </w:pPr>
      <w:r>
        <w:rPr>
          <w:b/>
          <w:bCs/>
        </w:rPr>
        <w:t>Preprocessing software capacity.</w:t>
      </w:r>
      <w:r>
        <w:t xml:space="preserve"> Part counts above a threshold caused the preprocessing software to fail. This is a property of the specific installation (v7.65.10.2) rather than of the technology, and would be expected to differ on current-generation systems.</w:t>
      </w:r>
    </w:p>
    <w:p w14:paraId="668D4C95" w14:textId="77777777" w:rsidR="00E93601" w:rsidRDefault="00BA0A6E" w:rsidP="00C31058">
      <w:pPr>
        <w:pStyle w:val="BodyText"/>
      </w:pPr>
      <w:r>
        <w:rPr>
          <w:b/>
          <w:bCs/>
        </w:rPr>
        <w:t>Absence of integrated temperature control.</w:t>
      </w:r>
      <w:r>
        <w:t xml:space="preserve"> Slurry viscosity was managed by external warming (S0.2). This is not a controllable process parameter and introduces run-to-run variability that cannot be quantified retrospectively.</w:t>
      </w:r>
    </w:p>
    <w:p w14:paraId="668D4C96" w14:textId="77777777" w:rsidR="00E93601" w:rsidRDefault="00BA0A6E">
      <w:pPr>
        <w:pStyle w:val="Heading3"/>
      </w:pPr>
      <w:bookmarkStart w:id="11" w:name="s0.9-x-ray-diffraction-acquisition"/>
      <w:bookmarkEnd w:id="10"/>
      <w:r>
        <w:t>S</w:t>
      </w:r>
      <w:r>
        <w:t>0.9 X-ray diffraction acquisition</w:t>
      </w:r>
    </w:p>
    <w:p w14:paraId="668D4C97" w14:textId="77777777" w:rsidR="00E93601" w:rsidRDefault="00BA0A6E" w:rsidP="00C31058">
      <w:pPr>
        <w:pStyle w:val="FirstParagraph"/>
      </w:pPr>
      <w:r>
        <w:t>Phase composition was assessed by X-ray diffraction (Cu Kα, λ = 1.54060/1.54443 Å) on sintered parts of both geometries, scanned from 5° to 100° 2θ. Parts were measured loose and unground, without a flat-mounting aid, since the available quantity of material did not permit grinding without compromising other planned characterisation. This is expected to affect peak intensities through preferred orientation and to introduce a systematic peak-position offset from sample-height variation, but does not affect p</w:t>
      </w:r>
      <w:r>
        <w:t>hase identification, which depends on peak position rather than intensity. Quantitative phase fractions are accordingly not reported.</w:t>
      </w:r>
    </w:p>
    <w:p w14:paraId="668D4C98" w14:textId="77777777" w:rsidR="00E93601" w:rsidRDefault="00BA0A6E">
      <w:r>
        <w:pict w14:anchorId="668D4E9A">
          <v:rect id="_x0000_i1062" style="width:0;height:1.5pt" o:hralign="center" o:hrstd="t" o:hr="t"/>
        </w:pict>
      </w:r>
    </w:p>
    <w:p w14:paraId="668D4C99" w14:textId="77777777" w:rsidR="00E93601" w:rsidRDefault="00BA0A6E">
      <w:pPr>
        <w:pStyle w:val="Heading2"/>
      </w:pPr>
      <w:bookmarkStart w:id="12" w:name="s1.-build-occupancy-and-nesting"/>
      <w:bookmarkEnd w:id="1"/>
      <w:bookmarkEnd w:id="11"/>
      <w:r>
        <w:t>S1. Build occupancy and nesting</w:t>
      </w:r>
    </w:p>
    <w:p w14:paraId="668D4C9A" w14:textId="77777777" w:rsidR="00E93601" w:rsidRDefault="00BA0A6E" w:rsidP="00C31058">
      <w:pPr>
        <w:pStyle w:val="FirstParagraph"/>
      </w:pPr>
      <w:r>
        <w:t>Determined from two independent photographs of populated build foils, analysed by colour segmentation followed by nearest-neighbour spacing analysis.</w:t>
      </w:r>
    </w:p>
    <w:p w14:paraId="668D4C9B" w14:textId="77777777" w:rsidR="00E93601" w:rsidRDefault="00BA0A6E" w:rsidP="00C31058">
      <w:pPr>
        <w:pStyle w:val="BodyText"/>
      </w:pPr>
      <w:r>
        <w:rPr>
          <w:b/>
          <w:bCs/>
        </w:rPr>
        <w:t>Table S1.</w:t>
      </w:r>
      <w:r>
        <w:t xml:space="preserve"> Build occupancy, 1 mm cubes.</w:t>
      </w:r>
    </w:p>
    <w:tbl>
      <w:tblPr>
        <w:tblStyle w:val="Table"/>
        <w:tblW w:w="0" w:type="auto"/>
        <w:tblLook w:val="0020" w:firstRow="1" w:lastRow="0" w:firstColumn="0" w:lastColumn="0" w:noHBand="0" w:noVBand="0"/>
      </w:tblPr>
      <w:tblGrid>
        <w:gridCol w:w="2726"/>
        <w:gridCol w:w="1685"/>
        <w:gridCol w:w="4550"/>
      </w:tblGrid>
      <w:tr w:rsidR="00E93601" w14:paraId="668D4C9F" w14:textId="77777777" w:rsidTr="00E93601">
        <w:trPr>
          <w:cnfStyle w:val="100000000000" w:firstRow="1" w:lastRow="0" w:firstColumn="0" w:lastColumn="0" w:oddVBand="0" w:evenVBand="0" w:oddHBand="0" w:evenHBand="0" w:firstRowFirstColumn="0" w:firstRowLastColumn="0" w:lastRowFirstColumn="0" w:lastRowLastColumn="0"/>
          <w:tblHeader/>
        </w:trPr>
        <w:tc>
          <w:tcPr>
            <w:tcW w:w="0" w:type="auto"/>
          </w:tcPr>
          <w:p w14:paraId="668D4C9C" w14:textId="77777777" w:rsidR="00E93601" w:rsidRDefault="00BA0A6E" w:rsidP="00C31058">
            <w:pPr>
              <w:pStyle w:val="Compact"/>
            </w:pPr>
            <w:r>
              <w:t>Quantity</w:t>
            </w:r>
          </w:p>
        </w:tc>
        <w:tc>
          <w:tcPr>
            <w:tcW w:w="0" w:type="auto"/>
          </w:tcPr>
          <w:p w14:paraId="668D4C9D" w14:textId="77777777" w:rsidR="00E93601" w:rsidRDefault="00BA0A6E" w:rsidP="00C31058">
            <w:pPr>
              <w:pStyle w:val="Compact"/>
            </w:pPr>
            <w:r>
              <w:t>Photograph A</w:t>
            </w:r>
          </w:p>
        </w:tc>
        <w:tc>
          <w:tcPr>
            <w:tcW w:w="0" w:type="auto"/>
          </w:tcPr>
          <w:p w14:paraId="668D4C9E" w14:textId="77777777" w:rsidR="00E93601" w:rsidRDefault="00BA0A6E" w:rsidP="00C31058">
            <w:pPr>
              <w:pStyle w:val="Compact"/>
            </w:pPr>
            <w:r>
              <w:t>Photograph B</w:t>
            </w:r>
          </w:p>
        </w:tc>
      </w:tr>
      <w:tr w:rsidR="00E93601" w14:paraId="668D4CA3" w14:textId="77777777">
        <w:tc>
          <w:tcPr>
            <w:tcW w:w="0" w:type="auto"/>
          </w:tcPr>
          <w:p w14:paraId="668D4CA0" w14:textId="77777777" w:rsidR="00E93601" w:rsidRDefault="00BA0A6E" w:rsidP="00C31058">
            <w:pPr>
              <w:pStyle w:val="Compact"/>
            </w:pPr>
            <w:r>
              <w:t>Parts identified</w:t>
            </w:r>
          </w:p>
        </w:tc>
        <w:tc>
          <w:tcPr>
            <w:tcW w:w="0" w:type="auto"/>
          </w:tcPr>
          <w:p w14:paraId="668D4CA1" w14:textId="77777777" w:rsidR="00E93601" w:rsidRDefault="00BA0A6E" w:rsidP="00C31058">
            <w:pPr>
              <w:pStyle w:val="Compact"/>
            </w:pPr>
            <w:r>
              <w:t>~287</w:t>
            </w:r>
          </w:p>
        </w:tc>
        <w:tc>
          <w:tcPr>
            <w:tcW w:w="0" w:type="auto"/>
          </w:tcPr>
          <w:p w14:paraId="668D4CA2" w14:textId="77777777" w:rsidR="00E93601" w:rsidRDefault="00BA0A6E" w:rsidP="00C31058">
            <w:pPr>
              <w:pStyle w:val="Compact"/>
            </w:pPr>
            <w:r>
              <w:t>~290 (254–335 across threshold settings)</w:t>
            </w:r>
          </w:p>
        </w:tc>
      </w:tr>
      <w:tr w:rsidR="00E93601" w14:paraId="668D4CA7" w14:textId="77777777">
        <w:tc>
          <w:tcPr>
            <w:tcW w:w="0" w:type="auto"/>
          </w:tcPr>
          <w:p w14:paraId="668D4CA4" w14:textId="77777777" w:rsidR="00E93601" w:rsidRDefault="00BA0A6E" w:rsidP="00C31058">
            <w:pPr>
              <w:pStyle w:val="Compact"/>
            </w:pPr>
            <w:r>
              <w:t>Nearest-neighbour pitch</w:t>
            </w:r>
          </w:p>
        </w:tc>
        <w:tc>
          <w:tcPr>
            <w:tcW w:w="0" w:type="auto"/>
          </w:tcPr>
          <w:p w14:paraId="668D4CA5" w14:textId="77777777" w:rsidR="00E93601" w:rsidRDefault="00BA0A6E" w:rsidP="00C31058">
            <w:pPr>
              <w:pStyle w:val="Compact"/>
            </w:pPr>
            <w:r>
              <w:t>1.5–1.9 mm</w:t>
            </w:r>
          </w:p>
        </w:tc>
        <w:tc>
          <w:tcPr>
            <w:tcW w:w="0" w:type="auto"/>
          </w:tcPr>
          <w:p w14:paraId="668D4CA6" w14:textId="77777777" w:rsidR="00E93601" w:rsidRDefault="00BA0A6E" w:rsidP="00C31058">
            <w:pPr>
              <w:pStyle w:val="Compact"/>
            </w:pPr>
            <w:r>
              <w:t>1.85–2.01 mm</w:t>
            </w:r>
          </w:p>
        </w:tc>
      </w:tr>
      <w:tr w:rsidR="00E93601" w14:paraId="668D4CAB" w14:textId="77777777">
        <w:tc>
          <w:tcPr>
            <w:tcW w:w="0" w:type="auto"/>
          </w:tcPr>
          <w:p w14:paraId="668D4CA8" w14:textId="77777777" w:rsidR="00E93601" w:rsidRDefault="00BA0A6E" w:rsidP="00C31058">
            <w:pPr>
              <w:pStyle w:val="Compact"/>
            </w:pPr>
            <w:r>
              <w:t>Pitch scatter</w:t>
            </w:r>
          </w:p>
        </w:tc>
        <w:tc>
          <w:tcPr>
            <w:tcW w:w="0" w:type="auto"/>
          </w:tcPr>
          <w:p w14:paraId="668D4CA9" w14:textId="77777777" w:rsidR="00E93601" w:rsidRDefault="00BA0A6E" w:rsidP="00C31058">
            <w:pPr>
              <w:pStyle w:val="Compact"/>
            </w:pPr>
            <w:r>
              <w:t>4 % of mean</w:t>
            </w:r>
          </w:p>
        </w:tc>
        <w:tc>
          <w:tcPr>
            <w:tcW w:w="0" w:type="auto"/>
          </w:tcPr>
          <w:p w14:paraId="668D4CAA" w14:textId="77777777" w:rsidR="00E93601" w:rsidRDefault="00BA0A6E" w:rsidP="00C31058">
            <w:pPr>
              <w:pStyle w:val="Compact"/>
            </w:pPr>
            <w:r>
              <w:t>10 % of mean</w:t>
            </w:r>
          </w:p>
        </w:tc>
      </w:tr>
      <w:tr w:rsidR="00E93601" w14:paraId="668D4CAF" w14:textId="77777777">
        <w:tc>
          <w:tcPr>
            <w:tcW w:w="0" w:type="auto"/>
          </w:tcPr>
          <w:p w14:paraId="668D4CAC" w14:textId="77777777" w:rsidR="00E93601" w:rsidRDefault="00BA0A6E" w:rsidP="00C31058">
            <w:pPr>
              <w:pStyle w:val="Compact"/>
            </w:pPr>
            <w:r>
              <w:t>Edge-to-edge gap</w:t>
            </w:r>
          </w:p>
        </w:tc>
        <w:tc>
          <w:tcPr>
            <w:tcW w:w="0" w:type="auto"/>
          </w:tcPr>
          <w:p w14:paraId="668D4CAD" w14:textId="77777777" w:rsidR="00E93601" w:rsidRDefault="00BA0A6E" w:rsidP="00C31058">
            <w:pPr>
              <w:pStyle w:val="Compact"/>
            </w:pPr>
            <w:r>
              <w:t>0.53–0.65 mm</w:t>
            </w:r>
          </w:p>
        </w:tc>
        <w:tc>
          <w:tcPr>
            <w:tcW w:w="0" w:type="auto"/>
          </w:tcPr>
          <w:p w14:paraId="668D4CAE" w14:textId="77777777" w:rsidR="00E93601" w:rsidRDefault="00BA0A6E" w:rsidP="00C31058">
            <w:pPr>
              <w:pStyle w:val="Compact"/>
            </w:pPr>
            <w:r>
              <w:t>0.62–0.67 mm</w:t>
            </w:r>
          </w:p>
        </w:tc>
      </w:tr>
    </w:tbl>
    <w:p w14:paraId="668D4CB0" w14:textId="77777777" w:rsidR="00E93601" w:rsidRDefault="00BA0A6E" w:rsidP="00C31058">
      <w:pPr>
        <w:pStyle w:val="BodyText"/>
      </w:pPr>
      <w:r>
        <w:t xml:space="preserve">A separately archived preprocessing job file records </w:t>
      </w:r>
      <w:r>
        <w:rPr>
          <w:b/>
          <w:bCs/>
        </w:rPr>
        <w:t>146 part instances</w:t>
      </w:r>
      <w:r>
        <w:t xml:space="preserve"> for a sparser build, with coordinate spacings clustering at 1.99 and 2.24 mm.</w:t>
      </w:r>
    </w:p>
    <w:p w14:paraId="668D4CB1" w14:textId="77777777" w:rsidR="00E93601" w:rsidRDefault="00BA0A6E" w:rsidP="00C31058">
      <w:pPr>
        <w:pStyle w:val="BodyText"/>
      </w:pPr>
      <w:r>
        <w:t>Neither photograph carries an independent calibration reference; pitch and gap are expressed relative to the measured green cube edge (§3.2 of the main text) rather than from a scale bar in the image.</w:t>
      </w:r>
    </w:p>
    <w:p w14:paraId="668D4CB2" w14:textId="77777777" w:rsidR="00E93601" w:rsidRDefault="00BA0A6E">
      <w:r>
        <w:pict w14:anchorId="668D4E9B">
          <v:rect id="_x0000_i1063" style="width:0;height:1.5pt" o:hralign="center" o:hrstd="t" o:hr="t"/>
        </w:pict>
      </w:r>
    </w:p>
    <w:p w14:paraId="668D4CB3" w14:textId="77777777" w:rsidR="00E93601" w:rsidRDefault="00BA0A6E">
      <w:pPr>
        <w:pStyle w:val="Heading2"/>
      </w:pPr>
      <w:bookmarkStart w:id="13" w:name="s2.-dimensional-measurements"/>
      <w:bookmarkEnd w:id="12"/>
      <w:r>
        <w:lastRenderedPageBreak/>
        <w:t>S2. Dimensional measurements</w:t>
      </w:r>
    </w:p>
    <w:p w14:paraId="668D4CB4" w14:textId="77777777" w:rsidR="00E93601" w:rsidRDefault="00BA0A6E">
      <w:pPr>
        <w:pStyle w:val="Heading3"/>
      </w:pPr>
      <w:bookmarkStart w:id="14" w:name="s2.1-sintered-cubes-digital-caliper"/>
      <w:r>
        <w:t>S2.1 Sintered cubes — digital caliper</w:t>
      </w:r>
    </w:p>
    <w:p w14:paraId="668D4CB5" w14:textId="77777777" w:rsidR="00E93601" w:rsidRDefault="00BA0A6E" w:rsidP="00C31058">
      <w:pPr>
        <w:pStyle w:val="FirstParagraph"/>
      </w:pPr>
      <w:r>
        <w:t>Ten cubes weighed individually and measured across each of three faces.</w:t>
      </w:r>
    </w:p>
    <w:p w14:paraId="668D4CB6" w14:textId="77777777" w:rsidR="00E93601" w:rsidRDefault="00BA0A6E" w:rsidP="00C31058">
      <w:pPr>
        <w:pStyle w:val="BodyText"/>
      </w:pPr>
      <w:r>
        <w:rPr>
          <w:b/>
          <w:bCs/>
        </w:rPr>
        <w:t>Table S2.</w:t>
      </w:r>
      <w:r>
        <w:t xml:space="preserve"> Sintered cube dimensions, digital caliper.</w:t>
      </w:r>
    </w:p>
    <w:tbl>
      <w:tblPr>
        <w:tblStyle w:val="Table"/>
        <w:tblW w:w="0" w:type="auto"/>
        <w:tblLook w:val="0020" w:firstRow="1" w:lastRow="0" w:firstColumn="0" w:lastColumn="0" w:noHBand="0" w:noVBand="0"/>
      </w:tblPr>
      <w:tblGrid>
        <w:gridCol w:w="732"/>
        <w:gridCol w:w="1290"/>
        <w:gridCol w:w="1474"/>
        <w:gridCol w:w="1474"/>
        <w:gridCol w:w="1474"/>
      </w:tblGrid>
      <w:tr w:rsidR="00E93601" w14:paraId="668D4CBC" w14:textId="77777777" w:rsidTr="00E93601">
        <w:trPr>
          <w:cnfStyle w:val="100000000000" w:firstRow="1" w:lastRow="0" w:firstColumn="0" w:lastColumn="0" w:oddVBand="0" w:evenVBand="0" w:oddHBand="0" w:evenHBand="0" w:firstRowFirstColumn="0" w:firstRowLastColumn="0" w:lastRowFirstColumn="0" w:lastRowLastColumn="0"/>
          <w:tblHeader/>
        </w:trPr>
        <w:tc>
          <w:tcPr>
            <w:tcW w:w="0" w:type="auto"/>
          </w:tcPr>
          <w:p w14:paraId="668D4CB7" w14:textId="77777777" w:rsidR="00E93601" w:rsidRDefault="00BA0A6E" w:rsidP="00C31058">
            <w:pPr>
              <w:pStyle w:val="Compact"/>
            </w:pPr>
            <w:r>
              <w:t>Cube</w:t>
            </w:r>
          </w:p>
        </w:tc>
        <w:tc>
          <w:tcPr>
            <w:tcW w:w="0" w:type="auto"/>
          </w:tcPr>
          <w:p w14:paraId="668D4CB8" w14:textId="77777777" w:rsidR="00E93601" w:rsidRDefault="00BA0A6E" w:rsidP="00C31058">
            <w:pPr>
              <w:pStyle w:val="Compact"/>
            </w:pPr>
            <w:r>
              <w:t>Mass (mg)</w:t>
            </w:r>
          </w:p>
        </w:tc>
        <w:tc>
          <w:tcPr>
            <w:tcW w:w="0" w:type="auto"/>
          </w:tcPr>
          <w:p w14:paraId="668D4CB9" w14:textId="77777777" w:rsidR="00E93601" w:rsidRDefault="00BA0A6E" w:rsidP="00C31058">
            <w:pPr>
              <w:pStyle w:val="Compact"/>
            </w:pPr>
            <w:r>
              <w:t>Side 1 (mm)</w:t>
            </w:r>
          </w:p>
        </w:tc>
        <w:tc>
          <w:tcPr>
            <w:tcW w:w="0" w:type="auto"/>
          </w:tcPr>
          <w:p w14:paraId="668D4CBA" w14:textId="77777777" w:rsidR="00E93601" w:rsidRDefault="00BA0A6E" w:rsidP="00C31058">
            <w:pPr>
              <w:pStyle w:val="Compact"/>
            </w:pPr>
            <w:r>
              <w:t>Side 2 (mm)</w:t>
            </w:r>
          </w:p>
        </w:tc>
        <w:tc>
          <w:tcPr>
            <w:tcW w:w="0" w:type="auto"/>
          </w:tcPr>
          <w:p w14:paraId="668D4CBB" w14:textId="77777777" w:rsidR="00E93601" w:rsidRDefault="00BA0A6E" w:rsidP="00C31058">
            <w:pPr>
              <w:pStyle w:val="Compact"/>
            </w:pPr>
            <w:r>
              <w:t>Side 3 (mm)</w:t>
            </w:r>
          </w:p>
        </w:tc>
      </w:tr>
      <w:tr w:rsidR="00E93601" w14:paraId="668D4CC2" w14:textId="77777777">
        <w:tc>
          <w:tcPr>
            <w:tcW w:w="0" w:type="auto"/>
          </w:tcPr>
          <w:p w14:paraId="668D4CBD" w14:textId="77777777" w:rsidR="00E93601" w:rsidRDefault="00BA0A6E" w:rsidP="00C31058">
            <w:pPr>
              <w:pStyle w:val="Compact"/>
            </w:pPr>
            <w:r>
              <w:t>1</w:t>
            </w:r>
          </w:p>
        </w:tc>
        <w:tc>
          <w:tcPr>
            <w:tcW w:w="0" w:type="auto"/>
          </w:tcPr>
          <w:p w14:paraId="668D4CBE" w14:textId="77777777" w:rsidR="00E93601" w:rsidRDefault="00BA0A6E" w:rsidP="00C31058">
            <w:pPr>
              <w:pStyle w:val="Compact"/>
            </w:pPr>
            <w:r>
              <w:t>3.1</w:t>
            </w:r>
          </w:p>
        </w:tc>
        <w:tc>
          <w:tcPr>
            <w:tcW w:w="0" w:type="auto"/>
          </w:tcPr>
          <w:p w14:paraId="668D4CBF" w14:textId="77777777" w:rsidR="00E93601" w:rsidRDefault="00BA0A6E" w:rsidP="00C31058">
            <w:pPr>
              <w:pStyle w:val="Compact"/>
            </w:pPr>
            <w:r>
              <w:t>1.17</w:t>
            </w:r>
          </w:p>
        </w:tc>
        <w:tc>
          <w:tcPr>
            <w:tcW w:w="0" w:type="auto"/>
          </w:tcPr>
          <w:p w14:paraId="668D4CC0" w14:textId="77777777" w:rsidR="00E93601" w:rsidRDefault="00BA0A6E" w:rsidP="00C31058">
            <w:pPr>
              <w:pStyle w:val="Compact"/>
            </w:pPr>
            <w:r>
              <w:t>1.24</w:t>
            </w:r>
          </w:p>
        </w:tc>
        <w:tc>
          <w:tcPr>
            <w:tcW w:w="0" w:type="auto"/>
          </w:tcPr>
          <w:p w14:paraId="668D4CC1" w14:textId="77777777" w:rsidR="00E93601" w:rsidRDefault="00BA0A6E" w:rsidP="00C31058">
            <w:pPr>
              <w:pStyle w:val="Compact"/>
            </w:pPr>
            <w:r>
              <w:t>1.28</w:t>
            </w:r>
          </w:p>
        </w:tc>
      </w:tr>
      <w:tr w:rsidR="00E93601" w14:paraId="668D4CC8" w14:textId="77777777">
        <w:tc>
          <w:tcPr>
            <w:tcW w:w="0" w:type="auto"/>
          </w:tcPr>
          <w:p w14:paraId="668D4CC3" w14:textId="77777777" w:rsidR="00E93601" w:rsidRDefault="00BA0A6E" w:rsidP="00C31058">
            <w:pPr>
              <w:pStyle w:val="Compact"/>
            </w:pPr>
            <w:r>
              <w:t>2</w:t>
            </w:r>
          </w:p>
        </w:tc>
        <w:tc>
          <w:tcPr>
            <w:tcW w:w="0" w:type="auto"/>
          </w:tcPr>
          <w:p w14:paraId="668D4CC4" w14:textId="77777777" w:rsidR="00E93601" w:rsidRDefault="00BA0A6E" w:rsidP="00C31058">
            <w:pPr>
              <w:pStyle w:val="Compact"/>
            </w:pPr>
            <w:r>
              <w:t>2.5</w:t>
            </w:r>
          </w:p>
        </w:tc>
        <w:tc>
          <w:tcPr>
            <w:tcW w:w="0" w:type="auto"/>
          </w:tcPr>
          <w:p w14:paraId="668D4CC5" w14:textId="77777777" w:rsidR="00E93601" w:rsidRDefault="00BA0A6E" w:rsidP="00C31058">
            <w:pPr>
              <w:pStyle w:val="Compact"/>
            </w:pPr>
            <w:r>
              <w:t>1.06</w:t>
            </w:r>
          </w:p>
        </w:tc>
        <w:tc>
          <w:tcPr>
            <w:tcW w:w="0" w:type="auto"/>
          </w:tcPr>
          <w:p w14:paraId="668D4CC6" w14:textId="77777777" w:rsidR="00E93601" w:rsidRDefault="00BA0A6E" w:rsidP="00C31058">
            <w:pPr>
              <w:pStyle w:val="Compact"/>
            </w:pPr>
            <w:r>
              <w:t>1.23</w:t>
            </w:r>
          </w:p>
        </w:tc>
        <w:tc>
          <w:tcPr>
            <w:tcW w:w="0" w:type="auto"/>
          </w:tcPr>
          <w:p w14:paraId="668D4CC7" w14:textId="77777777" w:rsidR="00E93601" w:rsidRDefault="00BA0A6E" w:rsidP="00C31058">
            <w:pPr>
              <w:pStyle w:val="Compact"/>
            </w:pPr>
            <w:r>
              <w:t>1.25</w:t>
            </w:r>
          </w:p>
        </w:tc>
      </w:tr>
      <w:tr w:rsidR="00E93601" w14:paraId="668D4CCE" w14:textId="77777777">
        <w:tc>
          <w:tcPr>
            <w:tcW w:w="0" w:type="auto"/>
          </w:tcPr>
          <w:p w14:paraId="668D4CC9" w14:textId="77777777" w:rsidR="00E93601" w:rsidRDefault="00BA0A6E" w:rsidP="00C31058">
            <w:pPr>
              <w:pStyle w:val="Compact"/>
            </w:pPr>
            <w:r>
              <w:t>3</w:t>
            </w:r>
          </w:p>
        </w:tc>
        <w:tc>
          <w:tcPr>
            <w:tcW w:w="0" w:type="auto"/>
          </w:tcPr>
          <w:p w14:paraId="668D4CCA" w14:textId="77777777" w:rsidR="00E93601" w:rsidRDefault="00BA0A6E" w:rsidP="00C31058">
            <w:pPr>
              <w:pStyle w:val="Compact"/>
            </w:pPr>
            <w:r>
              <w:t>3.0</w:t>
            </w:r>
          </w:p>
        </w:tc>
        <w:tc>
          <w:tcPr>
            <w:tcW w:w="0" w:type="auto"/>
          </w:tcPr>
          <w:p w14:paraId="668D4CCB" w14:textId="77777777" w:rsidR="00E93601" w:rsidRDefault="00BA0A6E" w:rsidP="00C31058">
            <w:pPr>
              <w:pStyle w:val="Compact"/>
            </w:pPr>
            <w:r>
              <w:t>1.21</w:t>
            </w:r>
          </w:p>
        </w:tc>
        <w:tc>
          <w:tcPr>
            <w:tcW w:w="0" w:type="auto"/>
          </w:tcPr>
          <w:p w14:paraId="668D4CCC" w14:textId="77777777" w:rsidR="00E93601" w:rsidRDefault="00BA0A6E" w:rsidP="00C31058">
            <w:pPr>
              <w:pStyle w:val="Compact"/>
            </w:pPr>
            <w:r>
              <w:t>1.26</w:t>
            </w:r>
          </w:p>
        </w:tc>
        <w:tc>
          <w:tcPr>
            <w:tcW w:w="0" w:type="auto"/>
          </w:tcPr>
          <w:p w14:paraId="668D4CCD" w14:textId="77777777" w:rsidR="00E93601" w:rsidRDefault="00BA0A6E" w:rsidP="00C31058">
            <w:pPr>
              <w:pStyle w:val="Compact"/>
            </w:pPr>
            <w:r>
              <w:t>1.22</w:t>
            </w:r>
          </w:p>
        </w:tc>
      </w:tr>
      <w:tr w:rsidR="00E93601" w14:paraId="668D4CD4" w14:textId="77777777">
        <w:tc>
          <w:tcPr>
            <w:tcW w:w="0" w:type="auto"/>
          </w:tcPr>
          <w:p w14:paraId="668D4CCF" w14:textId="77777777" w:rsidR="00E93601" w:rsidRDefault="00BA0A6E" w:rsidP="00C31058">
            <w:pPr>
              <w:pStyle w:val="Compact"/>
            </w:pPr>
            <w:r>
              <w:t>4</w:t>
            </w:r>
          </w:p>
        </w:tc>
        <w:tc>
          <w:tcPr>
            <w:tcW w:w="0" w:type="auto"/>
          </w:tcPr>
          <w:p w14:paraId="668D4CD0" w14:textId="77777777" w:rsidR="00E93601" w:rsidRDefault="00BA0A6E" w:rsidP="00C31058">
            <w:pPr>
              <w:pStyle w:val="Compact"/>
            </w:pPr>
            <w:r>
              <w:t>3.0</w:t>
            </w:r>
          </w:p>
        </w:tc>
        <w:tc>
          <w:tcPr>
            <w:tcW w:w="0" w:type="auto"/>
          </w:tcPr>
          <w:p w14:paraId="668D4CD1" w14:textId="77777777" w:rsidR="00E93601" w:rsidRDefault="00BA0A6E" w:rsidP="00C31058">
            <w:pPr>
              <w:pStyle w:val="Compact"/>
            </w:pPr>
            <w:r>
              <w:t>1.17</w:t>
            </w:r>
          </w:p>
        </w:tc>
        <w:tc>
          <w:tcPr>
            <w:tcW w:w="0" w:type="auto"/>
          </w:tcPr>
          <w:p w14:paraId="668D4CD2" w14:textId="77777777" w:rsidR="00E93601" w:rsidRDefault="00BA0A6E" w:rsidP="00C31058">
            <w:pPr>
              <w:pStyle w:val="Compact"/>
            </w:pPr>
            <w:r>
              <w:t>1.22</w:t>
            </w:r>
          </w:p>
        </w:tc>
        <w:tc>
          <w:tcPr>
            <w:tcW w:w="0" w:type="auto"/>
          </w:tcPr>
          <w:p w14:paraId="668D4CD3" w14:textId="77777777" w:rsidR="00E93601" w:rsidRDefault="00BA0A6E" w:rsidP="00C31058">
            <w:pPr>
              <w:pStyle w:val="Compact"/>
            </w:pPr>
            <w:r>
              <w:t>1.26</w:t>
            </w:r>
          </w:p>
        </w:tc>
      </w:tr>
      <w:tr w:rsidR="00E93601" w14:paraId="668D4CDA" w14:textId="77777777">
        <w:tc>
          <w:tcPr>
            <w:tcW w:w="0" w:type="auto"/>
          </w:tcPr>
          <w:p w14:paraId="668D4CD5" w14:textId="77777777" w:rsidR="00E93601" w:rsidRDefault="00BA0A6E" w:rsidP="00C31058">
            <w:pPr>
              <w:pStyle w:val="Compact"/>
            </w:pPr>
            <w:r>
              <w:t>5</w:t>
            </w:r>
          </w:p>
        </w:tc>
        <w:tc>
          <w:tcPr>
            <w:tcW w:w="0" w:type="auto"/>
          </w:tcPr>
          <w:p w14:paraId="668D4CD6" w14:textId="77777777" w:rsidR="00E93601" w:rsidRDefault="00BA0A6E" w:rsidP="00C31058">
            <w:pPr>
              <w:pStyle w:val="Compact"/>
            </w:pPr>
            <w:r>
              <w:t>2.6</w:t>
            </w:r>
          </w:p>
        </w:tc>
        <w:tc>
          <w:tcPr>
            <w:tcW w:w="0" w:type="auto"/>
          </w:tcPr>
          <w:p w14:paraId="668D4CD7" w14:textId="77777777" w:rsidR="00E93601" w:rsidRDefault="00BA0A6E" w:rsidP="00C31058">
            <w:pPr>
              <w:pStyle w:val="Compact"/>
            </w:pPr>
            <w:r>
              <w:t>1.22</w:t>
            </w:r>
          </w:p>
        </w:tc>
        <w:tc>
          <w:tcPr>
            <w:tcW w:w="0" w:type="auto"/>
          </w:tcPr>
          <w:p w14:paraId="668D4CD8" w14:textId="77777777" w:rsidR="00E93601" w:rsidRDefault="00BA0A6E" w:rsidP="00C31058">
            <w:pPr>
              <w:pStyle w:val="Compact"/>
            </w:pPr>
            <w:r>
              <w:t>1.18</w:t>
            </w:r>
          </w:p>
        </w:tc>
        <w:tc>
          <w:tcPr>
            <w:tcW w:w="0" w:type="auto"/>
          </w:tcPr>
          <w:p w14:paraId="668D4CD9" w14:textId="77777777" w:rsidR="00E93601" w:rsidRDefault="00BA0A6E" w:rsidP="00C31058">
            <w:pPr>
              <w:pStyle w:val="Compact"/>
            </w:pPr>
            <w:r>
              <w:t>1.01</w:t>
            </w:r>
          </w:p>
        </w:tc>
      </w:tr>
      <w:tr w:rsidR="00E93601" w14:paraId="668D4CE0" w14:textId="77777777">
        <w:tc>
          <w:tcPr>
            <w:tcW w:w="0" w:type="auto"/>
          </w:tcPr>
          <w:p w14:paraId="668D4CDB" w14:textId="77777777" w:rsidR="00E93601" w:rsidRDefault="00BA0A6E" w:rsidP="00C31058">
            <w:pPr>
              <w:pStyle w:val="Compact"/>
            </w:pPr>
            <w:r>
              <w:t>6</w:t>
            </w:r>
          </w:p>
        </w:tc>
        <w:tc>
          <w:tcPr>
            <w:tcW w:w="0" w:type="auto"/>
          </w:tcPr>
          <w:p w14:paraId="668D4CDC" w14:textId="77777777" w:rsidR="00E93601" w:rsidRDefault="00BA0A6E" w:rsidP="00C31058">
            <w:pPr>
              <w:pStyle w:val="Compact"/>
            </w:pPr>
            <w:r>
              <w:t>3.2</w:t>
            </w:r>
          </w:p>
        </w:tc>
        <w:tc>
          <w:tcPr>
            <w:tcW w:w="0" w:type="auto"/>
          </w:tcPr>
          <w:p w14:paraId="668D4CDD" w14:textId="77777777" w:rsidR="00E93601" w:rsidRDefault="00BA0A6E" w:rsidP="00C31058">
            <w:pPr>
              <w:pStyle w:val="Compact"/>
            </w:pPr>
            <w:r>
              <w:t>1.20</w:t>
            </w:r>
          </w:p>
        </w:tc>
        <w:tc>
          <w:tcPr>
            <w:tcW w:w="0" w:type="auto"/>
          </w:tcPr>
          <w:p w14:paraId="668D4CDE" w14:textId="77777777" w:rsidR="00E93601" w:rsidRDefault="00BA0A6E" w:rsidP="00C31058">
            <w:pPr>
              <w:pStyle w:val="Compact"/>
            </w:pPr>
            <w:r>
              <w:t>1.22</w:t>
            </w:r>
          </w:p>
        </w:tc>
        <w:tc>
          <w:tcPr>
            <w:tcW w:w="0" w:type="auto"/>
          </w:tcPr>
          <w:p w14:paraId="668D4CDF" w14:textId="77777777" w:rsidR="00E93601" w:rsidRDefault="00BA0A6E" w:rsidP="00C31058">
            <w:pPr>
              <w:pStyle w:val="Compact"/>
            </w:pPr>
            <w:r>
              <w:t>1.19</w:t>
            </w:r>
          </w:p>
        </w:tc>
      </w:tr>
      <w:tr w:rsidR="00E93601" w14:paraId="668D4CE6" w14:textId="77777777">
        <w:tc>
          <w:tcPr>
            <w:tcW w:w="0" w:type="auto"/>
          </w:tcPr>
          <w:p w14:paraId="668D4CE1" w14:textId="77777777" w:rsidR="00E93601" w:rsidRDefault="00BA0A6E" w:rsidP="00C31058">
            <w:pPr>
              <w:pStyle w:val="Compact"/>
            </w:pPr>
            <w:r>
              <w:t>7</w:t>
            </w:r>
          </w:p>
        </w:tc>
        <w:tc>
          <w:tcPr>
            <w:tcW w:w="0" w:type="auto"/>
          </w:tcPr>
          <w:p w14:paraId="668D4CE2" w14:textId="77777777" w:rsidR="00E93601" w:rsidRDefault="00BA0A6E" w:rsidP="00C31058">
            <w:pPr>
              <w:pStyle w:val="Compact"/>
            </w:pPr>
            <w:r>
              <w:t>3.7</w:t>
            </w:r>
          </w:p>
        </w:tc>
        <w:tc>
          <w:tcPr>
            <w:tcW w:w="0" w:type="auto"/>
          </w:tcPr>
          <w:p w14:paraId="668D4CE3" w14:textId="77777777" w:rsidR="00E93601" w:rsidRDefault="00BA0A6E" w:rsidP="00C31058">
            <w:pPr>
              <w:pStyle w:val="Compact"/>
            </w:pPr>
            <w:r>
              <w:t>1.21</w:t>
            </w:r>
          </w:p>
        </w:tc>
        <w:tc>
          <w:tcPr>
            <w:tcW w:w="0" w:type="auto"/>
          </w:tcPr>
          <w:p w14:paraId="668D4CE4" w14:textId="77777777" w:rsidR="00E93601" w:rsidRDefault="00BA0A6E" w:rsidP="00C31058">
            <w:pPr>
              <w:pStyle w:val="Compact"/>
            </w:pPr>
            <w:r>
              <w:t>1.22</w:t>
            </w:r>
          </w:p>
        </w:tc>
        <w:tc>
          <w:tcPr>
            <w:tcW w:w="0" w:type="auto"/>
          </w:tcPr>
          <w:p w14:paraId="668D4CE5" w14:textId="77777777" w:rsidR="00E93601" w:rsidRDefault="00BA0A6E" w:rsidP="00C31058">
            <w:pPr>
              <w:pStyle w:val="Compact"/>
            </w:pPr>
            <w:r>
              <w:t>1.23</w:t>
            </w:r>
          </w:p>
        </w:tc>
      </w:tr>
      <w:tr w:rsidR="00E93601" w14:paraId="668D4CEC" w14:textId="77777777">
        <w:tc>
          <w:tcPr>
            <w:tcW w:w="0" w:type="auto"/>
          </w:tcPr>
          <w:p w14:paraId="668D4CE7" w14:textId="77777777" w:rsidR="00E93601" w:rsidRDefault="00BA0A6E" w:rsidP="00C31058">
            <w:pPr>
              <w:pStyle w:val="Compact"/>
            </w:pPr>
            <w:r>
              <w:t>8</w:t>
            </w:r>
          </w:p>
        </w:tc>
        <w:tc>
          <w:tcPr>
            <w:tcW w:w="0" w:type="auto"/>
          </w:tcPr>
          <w:p w14:paraId="668D4CE8" w14:textId="77777777" w:rsidR="00E93601" w:rsidRDefault="00BA0A6E" w:rsidP="00C31058">
            <w:pPr>
              <w:pStyle w:val="Compact"/>
            </w:pPr>
            <w:r>
              <w:t>3.0</w:t>
            </w:r>
          </w:p>
        </w:tc>
        <w:tc>
          <w:tcPr>
            <w:tcW w:w="0" w:type="auto"/>
          </w:tcPr>
          <w:p w14:paraId="668D4CE9" w14:textId="77777777" w:rsidR="00E93601" w:rsidRDefault="00BA0A6E" w:rsidP="00C31058">
            <w:pPr>
              <w:pStyle w:val="Compact"/>
            </w:pPr>
            <w:r>
              <w:t>1.16</w:t>
            </w:r>
          </w:p>
        </w:tc>
        <w:tc>
          <w:tcPr>
            <w:tcW w:w="0" w:type="auto"/>
          </w:tcPr>
          <w:p w14:paraId="668D4CEA" w14:textId="77777777" w:rsidR="00E93601" w:rsidRDefault="00BA0A6E" w:rsidP="00C31058">
            <w:pPr>
              <w:pStyle w:val="Compact"/>
            </w:pPr>
            <w:r>
              <w:t>1.26</w:t>
            </w:r>
          </w:p>
        </w:tc>
        <w:tc>
          <w:tcPr>
            <w:tcW w:w="0" w:type="auto"/>
          </w:tcPr>
          <w:p w14:paraId="668D4CEB" w14:textId="77777777" w:rsidR="00E93601" w:rsidRDefault="00BA0A6E" w:rsidP="00C31058">
            <w:pPr>
              <w:pStyle w:val="Compact"/>
            </w:pPr>
            <w:r>
              <w:t>1.23</w:t>
            </w:r>
          </w:p>
        </w:tc>
      </w:tr>
      <w:tr w:rsidR="00E93601" w14:paraId="668D4CF2" w14:textId="77777777">
        <w:tc>
          <w:tcPr>
            <w:tcW w:w="0" w:type="auto"/>
          </w:tcPr>
          <w:p w14:paraId="668D4CED" w14:textId="77777777" w:rsidR="00E93601" w:rsidRDefault="00BA0A6E" w:rsidP="00C31058">
            <w:pPr>
              <w:pStyle w:val="Compact"/>
            </w:pPr>
            <w:r>
              <w:t>9</w:t>
            </w:r>
          </w:p>
        </w:tc>
        <w:tc>
          <w:tcPr>
            <w:tcW w:w="0" w:type="auto"/>
          </w:tcPr>
          <w:p w14:paraId="668D4CEE" w14:textId="77777777" w:rsidR="00E93601" w:rsidRDefault="00BA0A6E" w:rsidP="00C31058">
            <w:pPr>
              <w:pStyle w:val="Compact"/>
            </w:pPr>
            <w:r>
              <w:t>3.1</w:t>
            </w:r>
          </w:p>
        </w:tc>
        <w:tc>
          <w:tcPr>
            <w:tcW w:w="0" w:type="auto"/>
          </w:tcPr>
          <w:p w14:paraId="668D4CEF" w14:textId="77777777" w:rsidR="00E93601" w:rsidRDefault="00BA0A6E" w:rsidP="00C31058">
            <w:pPr>
              <w:pStyle w:val="Compact"/>
            </w:pPr>
            <w:r>
              <w:t>1.24</w:t>
            </w:r>
          </w:p>
        </w:tc>
        <w:tc>
          <w:tcPr>
            <w:tcW w:w="0" w:type="auto"/>
          </w:tcPr>
          <w:p w14:paraId="668D4CF0" w14:textId="77777777" w:rsidR="00E93601" w:rsidRDefault="00BA0A6E" w:rsidP="00C31058">
            <w:pPr>
              <w:pStyle w:val="Compact"/>
            </w:pPr>
            <w:r>
              <w:t>1.14</w:t>
            </w:r>
          </w:p>
        </w:tc>
        <w:tc>
          <w:tcPr>
            <w:tcW w:w="0" w:type="auto"/>
          </w:tcPr>
          <w:p w14:paraId="668D4CF1" w14:textId="77777777" w:rsidR="00E93601" w:rsidRDefault="00BA0A6E" w:rsidP="00C31058">
            <w:pPr>
              <w:pStyle w:val="Compact"/>
            </w:pPr>
            <w:r>
              <w:t>1.27</w:t>
            </w:r>
          </w:p>
        </w:tc>
      </w:tr>
      <w:tr w:rsidR="00E93601" w14:paraId="668D4CF8" w14:textId="77777777">
        <w:tc>
          <w:tcPr>
            <w:tcW w:w="0" w:type="auto"/>
          </w:tcPr>
          <w:p w14:paraId="668D4CF3" w14:textId="77777777" w:rsidR="00E93601" w:rsidRDefault="00BA0A6E" w:rsidP="00C31058">
            <w:pPr>
              <w:pStyle w:val="Compact"/>
            </w:pPr>
            <w:r>
              <w:t>10</w:t>
            </w:r>
          </w:p>
        </w:tc>
        <w:tc>
          <w:tcPr>
            <w:tcW w:w="0" w:type="auto"/>
          </w:tcPr>
          <w:p w14:paraId="668D4CF4" w14:textId="77777777" w:rsidR="00E93601" w:rsidRDefault="00BA0A6E" w:rsidP="00C31058">
            <w:pPr>
              <w:pStyle w:val="Compact"/>
            </w:pPr>
            <w:r>
              <w:t>3.3</w:t>
            </w:r>
          </w:p>
        </w:tc>
        <w:tc>
          <w:tcPr>
            <w:tcW w:w="0" w:type="auto"/>
          </w:tcPr>
          <w:p w14:paraId="668D4CF5" w14:textId="77777777" w:rsidR="00E93601" w:rsidRDefault="00BA0A6E" w:rsidP="00C31058">
            <w:pPr>
              <w:pStyle w:val="Compact"/>
            </w:pPr>
            <w:r>
              <w:t>1.25</w:t>
            </w:r>
          </w:p>
        </w:tc>
        <w:tc>
          <w:tcPr>
            <w:tcW w:w="0" w:type="auto"/>
          </w:tcPr>
          <w:p w14:paraId="668D4CF6" w14:textId="77777777" w:rsidR="00E93601" w:rsidRDefault="00BA0A6E" w:rsidP="00C31058">
            <w:pPr>
              <w:pStyle w:val="Compact"/>
            </w:pPr>
            <w:r>
              <w:t>1.25</w:t>
            </w:r>
          </w:p>
        </w:tc>
        <w:tc>
          <w:tcPr>
            <w:tcW w:w="0" w:type="auto"/>
          </w:tcPr>
          <w:p w14:paraId="668D4CF7" w14:textId="77777777" w:rsidR="00E93601" w:rsidRDefault="00BA0A6E" w:rsidP="00C31058">
            <w:pPr>
              <w:pStyle w:val="Compact"/>
            </w:pPr>
            <w:r>
              <w:t>1.12</w:t>
            </w:r>
          </w:p>
        </w:tc>
      </w:tr>
    </w:tbl>
    <w:p w14:paraId="668D4CF9" w14:textId="77777777" w:rsidR="00E93601" w:rsidRDefault="00BA0A6E" w:rsidP="00C31058">
      <w:pPr>
        <w:pStyle w:val="BodyText"/>
      </w:pPr>
      <w:r>
        <w:rPr>
          <w:b/>
          <w:bCs/>
        </w:rPr>
        <w:t>Mass</w:t>
      </w:r>
      <w:r>
        <w:t xml:space="preserve"> 3.050 ± 0.337 mg (CV 11.1 %). </w:t>
      </w:r>
      <w:r>
        <w:rPr>
          <w:b/>
          <w:bCs/>
        </w:rPr>
        <w:t>Side length</w:t>
      </w:r>
      <w:r>
        <w:t xml:space="preserve"> 1.206 ± 0.061 mm across all 30 values (CV 5.0 %).</w:t>
      </w:r>
    </w:p>
    <w:p w14:paraId="668D4CFA" w14:textId="77777777" w:rsidR="00E93601" w:rsidRDefault="00BA0A6E" w:rsidP="00C31058">
      <w:pPr>
        <w:pStyle w:val="BodyText"/>
      </w:pPr>
      <w:r>
        <w:t xml:space="preserve">Batch total: </w:t>
      </w:r>
      <w:r>
        <w:rPr>
          <w:b/>
          <w:bCs/>
        </w:rPr>
        <w:t>132 counted cubes, 398.2 mg</w:t>
      </w:r>
      <w:r>
        <w:t xml:space="preserve"> → 3.017 mg per cube, agreeing with the ten-cube mean to 1 %.</w:t>
      </w:r>
    </w:p>
    <w:p w14:paraId="668D4CFB" w14:textId="77777777" w:rsidR="00E93601" w:rsidRDefault="00BA0A6E">
      <w:pPr>
        <w:pStyle w:val="Heading3"/>
      </w:pPr>
      <w:bookmarkStart w:id="15" w:name="s2.2-sintered-cubes-upperlower-faces"/>
      <w:bookmarkEnd w:id="14"/>
      <w:r>
        <w:t>S</w:t>
      </w:r>
      <w:r>
        <w:t>2.2 Sintered cubes — upper/lower faces</w:t>
      </w:r>
    </w:p>
    <w:p w14:paraId="668D4CFC" w14:textId="77777777" w:rsidR="00E93601" w:rsidRDefault="00BA0A6E" w:rsidP="00C31058">
      <w:pPr>
        <w:pStyle w:val="FirstParagraph"/>
      </w:pPr>
      <w:r>
        <w:t>Two cubes measured separately on the face nearer the build foil (“lower”) and the free face (“upper”).</w:t>
      </w:r>
    </w:p>
    <w:p w14:paraId="668D4CFD" w14:textId="77777777" w:rsidR="00E93601" w:rsidRDefault="00BA0A6E" w:rsidP="00C31058">
      <w:pPr>
        <w:pStyle w:val="BodyText"/>
      </w:pPr>
      <w:r>
        <w:rPr>
          <w:b/>
          <w:bCs/>
        </w:rPr>
        <w:t>Table S3.</w:t>
      </w:r>
      <w:r>
        <w:t xml:space="preserve"> Sintered cube dimensions, upper versus lower face.</w:t>
      </w:r>
    </w:p>
    <w:tbl>
      <w:tblPr>
        <w:tblStyle w:val="Table"/>
        <w:tblW w:w="0" w:type="auto"/>
        <w:tblLook w:val="0020" w:firstRow="1" w:lastRow="0" w:firstColumn="0" w:lastColumn="0" w:noHBand="0" w:noVBand="0"/>
      </w:tblPr>
      <w:tblGrid>
        <w:gridCol w:w="732"/>
        <w:gridCol w:w="1290"/>
        <w:gridCol w:w="652"/>
        <w:gridCol w:w="1491"/>
        <w:gridCol w:w="1510"/>
        <w:gridCol w:w="1278"/>
      </w:tblGrid>
      <w:tr w:rsidR="00E93601" w14:paraId="668D4D04" w14:textId="77777777" w:rsidTr="00E93601">
        <w:trPr>
          <w:cnfStyle w:val="100000000000" w:firstRow="1" w:lastRow="0" w:firstColumn="0" w:lastColumn="0" w:oddVBand="0" w:evenVBand="0" w:oddHBand="0" w:evenHBand="0" w:firstRowFirstColumn="0" w:firstRowLastColumn="0" w:lastRowFirstColumn="0" w:lastRowLastColumn="0"/>
          <w:tblHeader/>
        </w:trPr>
        <w:tc>
          <w:tcPr>
            <w:tcW w:w="0" w:type="auto"/>
          </w:tcPr>
          <w:p w14:paraId="668D4CFE" w14:textId="77777777" w:rsidR="00E93601" w:rsidRDefault="00BA0A6E" w:rsidP="00C31058">
            <w:pPr>
              <w:pStyle w:val="Compact"/>
            </w:pPr>
            <w:r>
              <w:t>Cube</w:t>
            </w:r>
          </w:p>
        </w:tc>
        <w:tc>
          <w:tcPr>
            <w:tcW w:w="0" w:type="auto"/>
          </w:tcPr>
          <w:p w14:paraId="668D4CFF" w14:textId="77777777" w:rsidR="00E93601" w:rsidRDefault="00BA0A6E" w:rsidP="00C31058">
            <w:pPr>
              <w:pStyle w:val="Compact"/>
            </w:pPr>
            <w:r>
              <w:t>Mass (mg)</w:t>
            </w:r>
          </w:p>
        </w:tc>
        <w:tc>
          <w:tcPr>
            <w:tcW w:w="0" w:type="auto"/>
          </w:tcPr>
          <w:p w14:paraId="668D4D00" w14:textId="77777777" w:rsidR="00E93601" w:rsidRDefault="00BA0A6E" w:rsidP="00C31058">
            <w:pPr>
              <w:pStyle w:val="Compact"/>
            </w:pPr>
            <w:r>
              <w:t>Side</w:t>
            </w:r>
          </w:p>
        </w:tc>
        <w:tc>
          <w:tcPr>
            <w:tcW w:w="0" w:type="auto"/>
          </w:tcPr>
          <w:p w14:paraId="668D4D01" w14:textId="77777777" w:rsidR="00E93601" w:rsidRDefault="00BA0A6E" w:rsidP="00C31058">
            <w:pPr>
              <w:pStyle w:val="Compact"/>
            </w:pPr>
            <w:r>
              <w:t>Upper (mm)</w:t>
            </w:r>
          </w:p>
        </w:tc>
        <w:tc>
          <w:tcPr>
            <w:tcW w:w="0" w:type="auto"/>
          </w:tcPr>
          <w:p w14:paraId="668D4D02" w14:textId="77777777" w:rsidR="00E93601" w:rsidRDefault="00BA0A6E" w:rsidP="00C31058">
            <w:pPr>
              <w:pStyle w:val="Compact"/>
            </w:pPr>
            <w:r>
              <w:t>Lower (mm)</w:t>
            </w:r>
          </w:p>
        </w:tc>
        <w:tc>
          <w:tcPr>
            <w:tcW w:w="0" w:type="auto"/>
          </w:tcPr>
          <w:p w14:paraId="668D4D03" w14:textId="77777777" w:rsidR="00E93601" w:rsidRDefault="00BA0A6E" w:rsidP="00C31058">
            <w:pPr>
              <w:pStyle w:val="Compact"/>
            </w:pPr>
            <w:r>
              <w:t>Difference</w:t>
            </w:r>
          </w:p>
        </w:tc>
      </w:tr>
      <w:tr w:rsidR="00E93601" w14:paraId="668D4D0B" w14:textId="77777777">
        <w:tc>
          <w:tcPr>
            <w:tcW w:w="0" w:type="auto"/>
          </w:tcPr>
          <w:p w14:paraId="668D4D05" w14:textId="77777777" w:rsidR="00E93601" w:rsidRDefault="00BA0A6E" w:rsidP="00C31058">
            <w:pPr>
              <w:pStyle w:val="Compact"/>
            </w:pPr>
            <w:r>
              <w:t>1</w:t>
            </w:r>
          </w:p>
        </w:tc>
        <w:tc>
          <w:tcPr>
            <w:tcW w:w="0" w:type="auto"/>
          </w:tcPr>
          <w:p w14:paraId="668D4D06" w14:textId="77777777" w:rsidR="00E93601" w:rsidRDefault="00BA0A6E" w:rsidP="00C31058">
            <w:pPr>
              <w:pStyle w:val="Compact"/>
            </w:pPr>
            <w:r>
              <w:t>2.9</w:t>
            </w:r>
          </w:p>
        </w:tc>
        <w:tc>
          <w:tcPr>
            <w:tcW w:w="0" w:type="auto"/>
          </w:tcPr>
          <w:p w14:paraId="668D4D07" w14:textId="77777777" w:rsidR="00E93601" w:rsidRDefault="00BA0A6E" w:rsidP="00C31058">
            <w:pPr>
              <w:pStyle w:val="Compact"/>
            </w:pPr>
            <w:r>
              <w:t>1</w:t>
            </w:r>
          </w:p>
        </w:tc>
        <w:tc>
          <w:tcPr>
            <w:tcW w:w="0" w:type="auto"/>
          </w:tcPr>
          <w:p w14:paraId="668D4D08" w14:textId="77777777" w:rsidR="00E93601" w:rsidRDefault="00BA0A6E" w:rsidP="00C31058">
            <w:pPr>
              <w:pStyle w:val="Compact"/>
            </w:pPr>
            <w:r>
              <w:t>1.06</w:t>
            </w:r>
          </w:p>
        </w:tc>
        <w:tc>
          <w:tcPr>
            <w:tcW w:w="0" w:type="auto"/>
          </w:tcPr>
          <w:p w14:paraId="668D4D09" w14:textId="77777777" w:rsidR="00E93601" w:rsidRDefault="00BA0A6E" w:rsidP="00C31058">
            <w:pPr>
              <w:pStyle w:val="Compact"/>
            </w:pPr>
            <w:r>
              <w:t>1.11</w:t>
            </w:r>
          </w:p>
        </w:tc>
        <w:tc>
          <w:tcPr>
            <w:tcW w:w="0" w:type="auto"/>
          </w:tcPr>
          <w:p w14:paraId="668D4D0A" w14:textId="77777777" w:rsidR="00E93601" w:rsidRDefault="00BA0A6E" w:rsidP="00C31058">
            <w:pPr>
              <w:pStyle w:val="Compact"/>
            </w:pPr>
            <w:r>
              <w:t>+4.6 %</w:t>
            </w:r>
          </w:p>
        </w:tc>
      </w:tr>
      <w:tr w:rsidR="00E93601" w14:paraId="668D4D12" w14:textId="77777777">
        <w:tc>
          <w:tcPr>
            <w:tcW w:w="0" w:type="auto"/>
          </w:tcPr>
          <w:p w14:paraId="668D4D0C" w14:textId="77777777" w:rsidR="00E93601" w:rsidRDefault="00BA0A6E" w:rsidP="00C31058">
            <w:pPr>
              <w:pStyle w:val="Compact"/>
            </w:pPr>
            <w:r>
              <w:t>1</w:t>
            </w:r>
          </w:p>
        </w:tc>
        <w:tc>
          <w:tcPr>
            <w:tcW w:w="0" w:type="auto"/>
          </w:tcPr>
          <w:p w14:paraId="668D4D0D" w14:textId="77777777" w:rsidR="00E93601" w:rsidRDefault="00E93601" w:rsidP="00C31058">
            <w:pPr>
              <w:pStyle w:val="Compact"/>
            </w:pPr>
          </w:p>
        </w:tc>
        <w:tc>
          <w:tcPr>
            <w:tcW w:w="0" w:type="auto"/>
          </w:tcPr>
          <w:p w14:paraId="668D4D0E" w14:textId="77777777" w:rsidR="00E93601" w:rsidRDefault="00BA0A6E" w:rsidP="00C31058">
            <w:pPr>
              <w:pStyle w:val="Compact"/>
            </w:pPr>
            <w:r>
              <w:t>2</w:t>
            </w:r>
          </w:p>
        </w:tc>
        <w:tc>
          <w:tcPr>
            <w:tcW w:w="0" w:type="auto"/>
          </w:tcPr>
          <w:p w14:paraId="668D4D0F" w14:textId="77777777" w:rsidR="00E93601" w:rsidRDefault="00BA0A6E" w:rsidP="00C31058">
            <w:pPr>
              <w:pStyle w:val="Compact"/>
            </w:pPr>
            <w:r>
              <w:t>1.24</w:t>
            </w:r>
          </w:p>
        </w:tc>
        <w:tc>
          <w:tcPr>
            <w:tcW w:w="0" w:type="auto"/>
          </w:tcPr>
          <w:p w14:paraId="668D4D10" w14:textId="77777777" w:rsidR="00E93601" w:rsidRDefault="00BA0A6E" w:rsidP="00C31058">
            <w:pPr>
              <w:pStyle w:val="Compact"/>
            </w:pPr>
            <w:r>
              <w:t>1.31</w:t>
            </w:r>
          </w:p>
        </w:tc>
        <w:tc>
          <w:tcPr>
            <w:tcW w:w="0" w:type="auto"/>
          </w:tcPr>
          <w:p w14:paraId="668D4D11" w14:textId="77777777" w:rsidR="00E93601" w:rsidRDefault="00BA0A6E" w:rsidP="00C31058">
            <w:pPr>
              <w:pStyle w:val="Compact"/>
            </w:pPr>
            <w:r>
              <w:t>+5.5 %</w:t>
            </w:r>
          </w:p>
        </w:tc>
      </w:tr>
      <w:tr w:rsidR="00E93601" w14:paraId="668D4D19" w14:textId="77777777">
        <w:tc>
          <w:tcPr>
            <w:tcW w:w="0" w:type="auto"/>
          </w:tcPr>
          <w:p w14:paraId="668D4D13" w14:textId="77777777" w:rsidR="00E93601" w:rsidRDefault="00BA0A6E" w:rsidP="00C31058">
            <w:pPr>
              <w:pStyle w:val="Compact"/>
            </w:pPr>
            <w:r>
              <w:t>1</w:t>
            </w:r>
          </w:p>
        </w:tc>
        <w:tc>
          <w:tcPr>
            <w:tcW w:w="0" w:type="auto"/>
          </w:tcPr>
          <w:p w14:paraId="668D4D14" w14:textId="77777777" w:rsidR="00E93601" w:rsidRDefault="00E93601" w:rsidP="00C31058">
            <w:pPr>
              <w:pStyle w:val="Compact"/>
            </w:pPr>
          </w:p>
        </w:tc>
        <w:tc>
          <w:tcPr>
            <w:tcW w:w="0" w:type="auto"/>
          </w:tcPr>
          <w:p w14:paraId="668D4D15" w14:textId="77777777" w:rsidR="00E93601" w:rsidRDefault="00BA0A6E" w:rsidP="00C31058">
            <w:pPr>
              <w:pStyle w:val="Compact"/>
            </w:pPr>
            <w:r>
              <w:t>3</w:t>
            </w:r>
          </w:p>
        </w:tc>
        <w:tc>
          <w:tcPr>
            <w:tcW w:w="0" w:type="auto"/>
          </w:tcPr>
          <w:p w14:paraId="668D4D16" w14:textId="77777777" w:rsidR="00E93601" w:rsidRDefault="00BA0A6E" w:rsidP="00C31058">
            <w:pPr>
              <w:pStyle w:val="Compact"/>
            </w:pPr>
            <w:r>
              <w:t>1.06</w:t>
            </w:r>
          </w:p>
        </w:tc>
        <w:tc>
          <w:tcPr>
            <w:tcW w:w="0" w:type="auto"/>
          </w:tcPr>
          <w:p w14:paraId="668D4D17" w14:textId="77777777" w:rsidR="00E93601" w:rsidRDefault="00BA0A6E" w:rsidP="00C31058">
            <w:pPr>
              <w:pStyle w:val="Compact"/>
            </w:pPr>
            <w:r>
              <w:t>1.06</w:t>
            </w:r>
          </w:p>
        </w:tc>
        <w:tc>
          <w:tcPr>
            <w:tcW w:w="0" w:type="auto"/>
          </w:tcPr>
          <w:p w14:paraId="668D4D18" w14:textId="77777777" w:rsidR="00E93601" w:rsidRDefault="00BA0A6E" w:rsidP="00C31058">
            <w:pPr>
              <w:pStyle w:val="Compact"/>
            </w:pPr>
            <w:r>
              <w:t>0</w:t>
            </w:r>
          </w:p>
        </w:tc>
      </w:tr>
      <w:tr w:rsidR="00E93601" w14:paraId="668D4D20" w14:textId="77777777">
        <w:tc>
          <w:tcPr>
            <w:tcW w:w="0" w:type="auto"/>
          </w:tcPr>
          <w:p w14:paraId="668D4D1A" w14:textId="77777777" w:rsidR="00E93601" w:rsidRDefault="00BA0A6E" w:rsidP="00C31058">
            <w:pPr>
              <w:pStyle w:val="Compact"/>
            </w:pPr>
            <w:r>
              <w:t>2</w:t>
            </w:r>
          </w:p>
        </w:tc>
        <w:tc>
          <w:tcPr>
            <w:tcW w:w="0" w:type="auto"/>
          </w:tcPr>
          <w:p w14:paraId="668D4D1B" w14:textId="77777777" w:rsidR="00E93601" w:rsidRDefault="00BA0A6E" w:rsidP="00C31058">
            <w:pPr>
              <w:pStyle w:val="Compact"/>
            </w:pPr>
            <w:r>
              <w:t>2.6</w:t>
            </w:r>
          </w:p>
        </w:tc>
        <w:tc>
          <w:tcPr>
            <w:tcW w:w="0" w:type="auto"/>
          </w:tcPr>
          <w:p w14:paraId="668D4D1C" w14:textId="77777777" w:rsidR="00E93601" w:rsidRDefault="00BA0A6E" w:rsidP="00C31058">
            <w:pPr>
              <w:pStyle w:val="Compact"/>
            </w:pPr>
            <w:r>
              <w:t>1</w:t>
            </w:r>
          </w:p>
        </w:tc>
        <w:tc>
          <w:tcPr>
            <w:tcW w:w="0" w:type="auto"/>
          </w:tcPr>
          <w:p w14:paraId="668D4D1D" w14:textId="77777777" w:rsidR="00E93601" w:rsidRDefault="00BA0A6E" w:rsidP="00C31058">
            <w:pPr>
              <w:pStyle w:val="Compact"/>
            </w:pPr>
            <w:r>
              <w:t>1.01</w:t>
            </w:r>
          </w:p>
        </w:tc>
        <w:tc>
          <w:tcPr>
            <w:tcW w:w="0" w:type="auto"/>
          </w:tcPr>
          <w:p w14:paraId="668D4D1E" w14:textId="77777777" w:rsidR="00E93601" w:rsidRDefault="00BA0A6E" w:rsidP="00C31058">
            <w:pPr>
              <w:pStyle w:val="Compact"/>
            </w:pPr>
            <w:r>
              <w:t>1.01</w:t>
            </w:r>
          </w:p>
        </w:tc>
        <w:tc>
          <w:tcPr>
            <w:tcW w:w="0" w:type="auto"/>
          </w:tcPr>
          <w:p w14:paraId="668D4D1F" w14:textId="77777777" w:rsidR="00E93601" w:rsidRDefault="00BA0A6E" w:rsidP="00C31058">
            <w:pPr>
              <w:pStyle w:val="Compact"/>
            </w:pPr>
            <w:r>
              <w:t>0</w:t>
            </w:r>
          </w:p>
        </w:tc>
      </w:tr>
      <w:tr w:rsidR="00E93601" w14:paraId="668D4D27" w14:textId="77777777">
        <w:tc>
          <w:tcPr>
            <w:tcW w:w="0" w:type="auto"/>
          </w:tcPr>
          <w:p w14:paraId="668D4D21" w14:textId="77777777" w:rsidR="00E93601" w:rsidRDefault="00BA0A6E" w:rsidP="00C31058">
            <w:pPr>
              <w:pStyle w:val="Compact"/>
            </w:pPr>
            <w:r>
              <w:t>2</w:t>
            </w:r>
          </w:p>
        </w:tc>
        <w:tc>
          <w:tcPr>
            <w:tcW w:w="0" w:type="auto"/>
          </w:tcPr>
          <w:p w14:paraId="668D4D22" w14:textId="77777777" w:rsidR="00E93601" w:rsidRDefault="00E93601" w:rsidP="00C31058">
            <w:pPr>
              <w:pStyle w:val="Compact"/>
            </w:pPr>
          </w:p>
        </w:tc>
        <w:tc>
          <w:tcPr>
            <w:tcW w:w="0" w:type="auto"/>
          </w:tcPr>
          <w:p w14:paraId="668D4D23" w14:textId="77777777" w:rsidR="00E93601" w:rsidRDefault="00BA0A6E" w:rsidP="00C31058">
            <w:pPr>
              <w:pStyle w:val="Compact"/>
            </w:pPr>
            <w:r>
              <w:t>2</w:t>
            </w:r>
          </w:p>
        </w:tc>
        <w:tc>
          <w:tcPr>
            <w:tcW w:w="0" w:type="auto"/>
          </w:tcPr>
          <w:p w14:paraId="668D4D24" w14:textId="77777777" w:rsidR="00E93601" w:rsidRDefault="00BA0A6E" w:rsidP="00C31058">
            <w:pPr>
              <w:pStyle w:val="Compact"/>
            </w:pPr>
            <w:r>
              <w:t>1.22</w:t>
            </w:r>
          </w:p>
        </w:tc>
        <w:tc>
          <w:tcPr>
            <w:tcW w:w="0" w:type="auto"/>
          </w:tcPr>
          <w:p w14:paraId="668D4D25" w14:textId="77777777" w:rsidR="00E93601" w:rsidRDefault="00BA0A6E" w:rsidP="00C31058">
            <w:pPr>
              <w:pStyle w:val="Compact"/>
            </w:pPr>
            <w:r>
              <w:t>1.28</w:t>
            </w:r>
          </w:p>
        </w:tc>
        <w:tc>
          <w:tcPr>
            <w:tcW w:w="0" w:type="auto"/>
          </w:tcPr>
          <w:p w14:paraId="668D4D26" w14:textId="77777777" w:rsidR="00E93601" w:rsidRDefault="00BA0A6E" w:rsidP="00C31058">
            <w:pPr>
              <w:pStyle w:val="Compact"/>
            </w:pPr>
            <w:r>
              <w:t>+4.8 %</w:t>
            </w:r>
          </w:p>
        </w:tc>
      </w:tr>
      <w:tr w:rsidR="00E93601" w14:paraId="668D4D2E" w14:textId="77777777">
        <w:tc>
          <w:tcPr>
            <w:tcW w:w="0" w:type="auto"/>
          </w:tcPr>
          <w:p w14:paraId="668D4D28" w14:textId="77777777" w:rsidR="00E93601" w:rsidRDefault="00BA0A6E" w:rsidP="00C31058">
            <w:pPr>
              <w:pStyle w:val="Compact"/>
            </w:pPr>
            <w:r>
              <w:t>2</w:t>
            </w:r>
          </w:p>
        </w:tc>
        <w:tc>
          <w:tcPr>
            <w:tcW w:w="0" w:type="auto"/>
          </w:tcPr>
          <w:p w14:paraId="668D4D29" w14:textId="77777777" w:rsidR="00E93601" w:rsidRDefault="00E93601" w:rsidP="00C31058">
            <w:pPr>
              <w:pStyle w:val="Compact"/>
            </w:pPr>
          </w:p>
        </w:tc>
        <w:tc>
          <w:tcPr>
            <w:tcW w:w="0" w:type="auto"/>
          </w:tcPr>
          <w:p w14:paraId="668D4D2A" w14:textId="77777777" w:rsidR="00E93601" w:rsidRDefault="00BA0A6E" w:rsidP="00C31058">
            <w:pPr>
              <w:pStyle w:val="Compact"/>
            </w:pPr>
            <w:r>
              <w:t>3</w:t>
            </w:r>
          </w:p>
        </w:tc>
        <w:tc>
          <w:tcPr>
            <w:tcW w:w="0" w:type="auto"/>
          </w:tcPr>
          <w:p w14:paraId="668D4D2B" w14:textId="77777777" w:rsidR="00E93601" w:rsidRDefault="00BA0A6E" w:rsidP="00C31058">
            <w:pPr>
              <w:pStyle w:val="Compact"/>
            </w:pPr>
            <w:r>
              <w:t>1.18</w:t>
            </w:r>
          </w:p>
        </w:tc>
        <w:tc>
          <w:tcPr>
            <w:tcW w:w="0" w:type="auto"/>
          </w:tcPr>
          <w:p w14:paraId="668D4D2C" w14:textId="77777777" w:rsidR="00E93601" w:rsidRDefault="00BA0A6E" w:rsidP="00C31058">
            <w:pPr>
              <w:pStyle w:val="Compact"/>
            </w:pPr>
            <w:r>
              <w:t>1.25</w:t>
            </w:r>
          </w:p>
        </w:tc>
        <w:tc>
          <w:tcPr>
            <w:tcW w:w="0" w:type="auto"/>
          </w:tcPr>
          <w:p w14:paraId="668D4D2D" w14:textId="77777777" w:rsidR="00E93601" w:rsidRDefault="00BA0A6E" w:rsidP="00C31058">
            <w:pPr>
              <w:pStyle w:val="Compact"/>
            </w:pPr>
            <w:r>
              <w:t>+5.8 %</w:t>
            </w:r>
          </w:p>
        </w:tc>
      </w:tr>
    </w:tbl>
    <w:p w14:paraId="668D4D2F" w14:textId="77777777" w:rsidR="00E93601" w:rsidRDefault="00BA0A6E" w:rsidP="00C31058">
      <w:pPr>
        <w:pStyle w:val="BodyText"/>
      </w:pPr>
      <w:r>
        <w:t xml:space="preserve">Mean difference </w:t>
      </w:r>
      <w:r>
        <w:rPr>
          <w:b/>
          <w:bCs/>
        </w:rPr>
        <w:t>+0.042 mm (+3.6 %)</w:t>
      </w:r>
      <w:r>
        <w:t xml:space="preserve">; lower exceeds upper in four of six measurements and never the reverse (one-sample </w:t>
      </w:r>
      <w:r>
        <w:rPr>
          <w:i/>
          <w:iCs/>
        </w:rPr>
        <w:t>t</w:t>
      </w:r>
      <w:r>
        <w:t xml:space="preserve"> = 3.08, </w:t>
      </w:r>
      <w:r>
        <w:rPr>
          <w:i/>
          <w:iCs/>
        </w:rPr>
        <w:t>p</w:t>
      </w:r>
      <w:r>
        <w:t xml:space="preserve"> = 0.027).</w:t>
      </w:r>
    </w:p>
    <w:p w14:paraId="668D4D30" w14:textId="77777777" w:rsidR="00E93601" w:rsidRDefault="00BA0A6E" w:rsidP="00C31058">
      <w:pPr>
        <w:pStyle w:val="BodyText"/>
      </w:pPr>
      <w:r>
        <w:lastRenderedPageBreak/>
        <w:t>Two mechanisms could produce this, and the data do not distinguish them. The 50 start layers at 25 µm span 1.250 mm, so a 1.31 mm green cube prints almost entirely within the elevated-energy start regime, with only the final ~60 µm (two layers) receiving the lower general energy — that is the top face, which could taper for this reason alone. Alternatively, constrained contraction during the 40 °C hold, with the base pinned to the foil, could produce the same asymmetry; the total-contraction bound in §3.3 o</w:t>
      </w:r>
      <w:r>
        <w:t xml:space="preserve">f the main text (~2–3 %) argues against this but does not exclude it. With </w:t>
      </w:r>
      <w:r>
        <w:rPr>
          <w:i/>
          <w:iCs/>
        </w:rPr>
        <w:t>n</w:t>
      </w:r>
      <w:r>
        <w:t xml:space="preserve"> = 2, this is not reported as a finding in the main text.</w:t>
      </w:r>
    </w:p>
    <w:p w14:paraId="668D4D31" w14:textId="77777777" w:rsidR="00E93601" w:rsidRDefault="00BA0A6E">
      <w:pPr>
        <w:pStyle w:val="Heading3"/>
      </w:pPr>
      <w:bookmarkStart w:id="16" w:name="s2.3-green-parts"/>
      <w:bookmarkEnd w:id="15"/>
      <w:r>
        <w:t>S</w:t>
      </w:r>
      <w:r>
        <w:t>2.3 Green parts</w:t>
      </w:r>
    </w:p>
    <w:p w14:paraId="668D4D32" w14:textId="77777777" w:rsidR="00E93601" w:rsidRDefault="00BA0A6E" w:rsidP="00C31058">
      <w:pPr>
        <w:pStyle w:val="FirstParagraph"/>
      </w:pPr>
      <w:r>
        <w:rPr>
          <w:b/>
          <w:bCs/>
        </w:rPr>
        <w:t>Table S4.</w:t>
      </w:r>
      <w:r>
        <w:t xml:space="preserve"> Green cube lateral dimension, by measurement method.</w:t>
      </w:r>
    </w:p>
    <w:tbl>
      <w:tblPr>
        <w:tblStyle w:val="Table"/>
        <w:tblW w:w="0" w:type="auto"/>
        <w:tblLook w:val="0020" w:firstRow="1" w:lastRow="0" w:firstColumn="0" w:lastColumn="0" w:noHBand="0" w:noVBand="0"/>
      </w:tblPr>
      <w:tblGrid>
        <w:gridCol w:w="3924"/>
        <w:gridCol w:w="482"/>
        <w:gridCol w:w="2643"/>
      </w:tblGrid>
      <w:tr w:rsidR="00E93601" w14:paraId="668D4D36" w14:textId="77777777" w:rsidTr="00E93601">
        <w:trPr>
          <w:cnfStyle w:val="100000000000" w:firstRow="1" w:lastRow="0" w:firstColumn="0" w:lastColumn="0" w:oddVBand="0" w:evenVBand="0" w:oddHBand="0" w:evenHBand="0" w:firstRowFirstColumn="0" w:firstRowLastColumn="0" w:lastRowFirstColumn="0" w:lastRowLastColumn="0"/>
          <w:tblHeader/>
        </w:trPr>
        <w:tc>
          <w:tcPr>
            <w:tcW w:w="0" w:type="auto"/>
          </w:tcPr>
          <w:p w14:paraId="668D4D33" w14:textId="77777777" w:rsidR="00E93601" w:rsidRDefault="00BA0A6E" w:rsidP="00C31058">
            <w:pPr>
              <w:pStyle w:val="Compact"/>
            </w:pPr>
            <w:r>
              <w:t>Source</w:t>
            </w:r>
          </w:p>
        </w:tc>
        <w:tc>
          <w:tcPr>
            <w:tcW w:w="0" w:type="auto"/>
          </w:tcPr>
          <w:p w14:paraId="668D4D34" w14:textId="77777777" w:rsidR="00E93601" w:rsidRDefault="00BA0A6E" w:rsidP="00C31058">
            <w:pPr>
              <w:pStyle w:val="Compact"/>
            </w:pPr>
            <w:r>
              <w:t>n</w:t>
            </w:r>
          </w:p>
        </w:tc>
        <w:tc>
          <w:tcPr>
            <w:tcW w:w="0" w:type="auto"/>
          </w:tcPr>
          <w:p w14:paraId="668D4D35" w14:textId="77777777" w:rsidR="00E93601" w:rsidRDefault="00BA0A6E" w:rsidP="00C31058">
            <w:pPr>
              <w:pStyle w:val="Compact"/>
            </w:pPr>
            <w:r>
              <w:t>Lateral dimension (µm)</w:t>
            </w:r>
          </w:p>
        </w:tc>
      </w:tr>
      <w:tr w:rsidR="00E93601" w14:paraId="668D4D3A" w14:textId="77777777">
        <w:tc>
          <w:tcPr>
            <w:tcW w:w="0" w:type="auto"/>
          </w:tcPr>
          <w:p w14:paraId="668D4D37" w14:textId="77777777" w:rsidR="00E93601" w:rsidRDefault="00BA0A6E" w:rsidP="00C31058">
            <w:pPr>
              <w:pStyle w:val="Compact"/>
            </w:pPr>
            <w:r>
              <w:t>Rule-calibrated stereo image</w:t>
            </w:r>
          </w:p>
        </w:tc>
        <w:tc>
          <w:tcPr>
            <w:tcW w:w="0" w:type="auto"/>
          </w:tcPr>
          <w:p w14:paraId="668D4D38" w14:textId="77777777" w:rsidR="00E93601" w:rsidRDefault="00BA0A6E" w:rsidP="00C31058">
            <w:pPr>
              <w:pStyle w:val="Compact"/>
            </w:pPr>
            <w:r>
              <w:t>5</w:t>
            </w:r>
          </w:p>
        </w:tc>
        <w:tc>
          <w:tcPr>
            <w:tcW w:w="0" w:type="auto"/>
          </w:tcPr>
          <w:p w14:paraId="668D4D39" w14:textId="77777777" w:rsidR="00E93601" w:rsidRDefault="00BA0A6E" w:rsidP="00C31058">
            <w:pPr>
              <w:pStyle w:val="Compact"/>
            </w:pPr>
            <w:r>
              <w:t>1312</w:t>
            </w:r>
          </w:p>
        </w:tc>
      </w:tr>
      <w:tr w:rsidR="00E93601" w14:paraId="668D4D3E" w14:textId="77777777">
        <w:tc>
          <w:tcPr>
            <w:tcW w:w="0" w:type="auto"/>
          </w:tcPr>
          <w:p w14:paraId="668D4D3B" w14:textId="77777777" w:rsidR="00E93601" w:rsidRDefault="00BA0A6E" w:rsidP="00C31058">
            <w:pPr>
              <w:pStyle w:val="Compact"/>
            </w:pPr>
            <w:r>
              <w:t>Digital caliper</w:t>
            </w:r>
          </w:p>
        </w:tc>
        <w:tc>
          <w:tcPr>
            <w:tcW w:w="0" w:type="auto"/>
          </w:tcPr>
          <w:p w14:paraId="668D4D3C" w14:textId="77777777" w:rsidR="00E93601" w:rsidRDefault="00BA0A6E" w:rsidP="00C31058">
            <w:pPr>
              <w:pStyle w:val="Compact"/>
            </w:pPr>
            <w:r>
              <w:t>2</w:t>
            </w:r>
          </w:p>
        </w:tc>
        <w:tc>
          <w:tcPr>
            <w:tcW w:w="0" w:type="auto"/>
          </w:tcPr>
          <w:p w14:paraId="668D4D3D" w14:textId="77777777" w:rsidR="00E93601" w:rsidRDefault="00BA0A6E" w:rsidP="00C31058">
            <w:pPr>
              <w:pStyle w:val="Compact"/>
            </w:pPr>
            <w:r>
              <w:t>1310</w:t>
            </w:r>
          </w:p>
        </w:tc>
      </w:tr>
      <w:tr w:rsidR="00E93601" w14:paraId="668D4D42" w14:textId="77777777">
        <w:tc>
          <w:tcPr>
            <w:tcW w:w="0" w:type="auto"/>
          </w:tcPr>
          <w:p w14:paraId="668D4D3F" w14:textId="77777777" w:rsidR="00E93601" w:rsidRDefault="00BA0A6E" w:rsidP="00C31058">
            <w:pPr>
              <w:pStyle w:val="Compact"/>
            </w:pPr>
            <w:r>
              <w:t>Platform micrograph, before release</w:t>
            </w:r>
          </w:p>
        </w:tc>
        <w:tc>
          <w:tcPr>
            <w:tcW w:w="0" w:type="auto"/>
          </w:tcPr>
          <w:p w14:paraId="668D4D40" w14:textId="77777777" w:rsidR="00E93601" w:rsidRDefault="00BA0A6E" w:rsidP="00C31058">
            <w:pPr>
              <w:pStyle w:val="Compact"/>
            </w:pPr>
            <w:r>
              <w:t>96</w:t>
            </w:r>
          </w:p>
        </w:tc>
        <w:tc>
          <w:tcPr>
            <w:tcW w:w="0" w:type="auto"/>
          </w:tcPr>
          <w:p w14:paraId="668D4D41" w14:textId="77777777" w:rsidR="00E93601" w:rsidRDefault="00BA0A6E" w:rsidP="00C31058">
            <w:pPr>
              <w:pStyle w:val="Compact"/>
            </w:pPr>
            <w:r>
              <w:t>1278</w:t>
            </w:r>
          </w:p>
        </w:tc>
      </w:tr>
    </w:tbl>
    <w:p w14:paraId="668D4D43" w14:textId="77777777" w:rsidR="00E93601" w:rsidRDefault="00BA0A6E" w:rsidP="00C31058">
      <w:pPr>
        <w:pStyle w:val="BodyText"/>
      </w:pPr>
      <w:r>
        <w:t>Green parts measured by caliper were six-layer incomplete prints approximately 0.15 mm thick; lateral dimensions are usable but thickness is not representative of a full cube.</w:t>
      </w:r>
    </w:p>
    <w:p w14:paraId="668D4D44" w14:textId="77777777" w:rsidR="00E93601" w:rsidRDefault="00BA0A6E" w:rsidP="00C31058">
      <w:pPr>
        <w:pStyle w:val="BodyText"/>
      </w:pPr>
      <w:r>
        <w:t>The two green-state measurement routes (platform micrograph, before the 40 °C release hold; caliper, after) are not a strictly matched pair: the platform micrograph views the last-printed face, whereas the caliper parts were six-layer prints lying entirely within the start-exposure regime, and these regions differ systematically in width. The absence of a measurable contraction after the hold does not establish that none occurs: debonding a brittle cured interface requires strain far below caliper resolutio</w:t>
      </w:r>
      <w:r>
        <w:t>n — a few tenths of a percent sustained over 72 h suffices for subcritical crack growth — so a small, unmeasurable contraction remains a plausible contributor to release, alongside the mechanisms discussed in S0.5.</w:t>
      </w:r>
    </w:p>
    <w:p w14:paraId="668D4D45" w14:textId="77777777" w:rsidR="00E93601" w:rsidRDefault="00BA0A6E">
      <w:pPr>
        <w:pStyle w:val="Heading3"/>
      </w:pPr>
      <w:bookmarkStart w:id="17" w:name="s2.4-tetrapods"/>
      <w:bookmarkEnd w:id="16"/>
      <w:r>
        <w:t>S</w:t>
      </w:r>
      <w:r>
        <w:t>2.4 Tetrapods</w:t>
      </w:r>
    </w:p>
    <w:p w14:paraId="668D4D46" w14:textId="77777777" w:rsidR="00E93601" w:rsidRDefault="00BA0A6E" w:rsidP="00C31058">
      <w:pPr>
        <w:pStyle w:val="FirstParagraph"/>
      </w:pPr>
      <w:r>
        <w:t>Manual measurements on sintered specimens (Leica Application Suite):</w:t>
      </w:r>
    </w:p>
    <w:p w14:paraId="668D4D47" w14:textId="77777777" w:rsidR="00E93601" w:rsidRDefault="00BA0A6E" w:rsidP="00C31058">
      <w:pPr>
        <w:pStyle w:val="BodyText"/>
      </w:pPr>
      <w:r>
        <w:rPr>
          <w:b/>
          <w:bCs/>
        </w:rPr>
        <w:t>Table S5.</w:t>
      </w:r>
      <w:r>
        <w:t xml:space="preserve"> Tetrapod arm and junction dimensions.</w:t>
      </w:r>
    </w:p>
    <w:tbl>
      <w:tblPr>
        <w:tblStyle w:val="Table"/>
        <w:tblW w:w="5000" w:type="pct"/>
        <w:tblLook w:val="0020" w:firstRow="1" w:lastRow="0" w:firstColumn="0" w:lastColumn="0" w:noHBand="0" w:noVBand="0"/>
      </w:tblPr>
      <w:tblGrid>
        <w:gridCol w:w="2197"/>
        <w:gridCol w:w="2122"/>
        <w:gridCol w:w="2387"/>
        <w:gridCol w:w="1632"/>
        <w:gridCol w:w="1850"/>
      </w:tblGrid>
      <w:tr w:rsidR="00E93601" w14:paraId="668D4D4D" w14:textId="77777777" w:rsidTr="00E93601">
        <w:trPr>
          <w:cnfStyle w:val="100000000000" w:firstRow="1" w:lastRow="0" w:firstColumn="0" w:lastColumn="0" w:oddVBand="0" w:evenVBand="0" w:oddHBand="0" w:evenHBand="0" w:firstRowFirstColumn="0" w:firstRowLastColumn="0" w:lastRowFirstColumn="0" w:lastRowLastColumn="0"/>
          <w:tblHeader/>
        </w:trPr>
        <w:tc>
          <w:tcPr>
            <w:tcW w:w="0" w:type="auto"/>
          </w:tcPr>
          <w:p w14:paraId="668D4D48" w14:textId="77777777" w:rsidR="00E93601" w:rsidRDefault="00BA0A6E" w:rsidP="00C31058">
            <w:pPr>
              <w:pStyle w:val="Compact"/>
            </w:pPr>
            <w:r>
              <w:t>Specimen</w:t>
            </w:r>
          </w:p>
        </w:tc>
        <w:tc>
          <w:tcPr>
            <w:tcW w:w="0" w:type="auto"/>
          </w:tcPr>
          <w:p w14:paraId="668D4D49" w14:textId="77777777" w:rsidR="00E93601" w:rsidRDefault="00BA0A6E" w:rsidP="00C31058">
            <w:pPr>
              <w:pStyle w:val="Compact"/>
            </w:pPr>
            <w:r>
              <w:t>Arm lengths (µm)</w:t>
            </w:r>
          </w:p>
        </w:tc>
        <w:tc>
          <w:tcPr>
            <w:tcW w:w="0" w:type="auto"/>
          </w:tcPr>
          <w:p w14:paraId="668D4D4A" w14:textId="77777777" w:rsidR="00E93601" w:rsidRDefault="00BA0A6E" w:rsidP="00C31058">
            <w:pPr>
              <w:pStyle w:val="Compact"/>
            </w:pPr>
            <w:r>
              <w:t>Junction width (µm)</w:t>
            </w:r>
          </w:p>
        </w:tc>
        <w:tc>
          <w:tcPr>
            <w:tcW w:w="0" w:type="auto"/>
          </w:tcPr>
          <w:p w14:paraId="668D4D4B" w14:textId="77777777" w:rsidR="00E93601" w:rsidRDefault="00BA0A6E" w:rsidP="00C31058">
            <w:pPr>
              <w:pStyle w:val="Compact"/>
            </w:pPr>
            <w:r>
              <w:t>Arm tip (µm)</w:t>
            </w:r>
          </w:p>
        </w:tc>
        <w:tc>
          <w:tcPr>
            <w:tcW w:w="0" w:type="auto"/>
          </w:tcPr>
          <w:p w14:paraId="668D4D4C" w14:textId="77777777" w:rsidR="00E93601" w:rsidRDefault="00BA0A6E" w:rsidP="00C31058">
            <w:pPr>
              <w:pStyle w:val="Compact"/>
            </w:pPr>
            <w:r>
              <w:t>Tip-to-tip (µm)</w:t>
            </w:r>
          </w:p>
        </w:tc>
      </w:tr>
      <w:tr w:rsidR="00E93601" w14:paraId="668D4D53" w14:textId="77777777">
        <w:tc>
          <w:tcPr>
            <w:tcW w:w="0" w:type="auto"/>
          </w:tcPr>
          <w:p w14:paraId="668D4D4E" w14:textId="77777777" w:rsidR="00E93601" w:rsidRDefault="00BA0A6E" w:rsidP="00C31058">
            <w:pPr>
              <w:pStyle w:val="Compact"/>
            </w:pPr>
            <w:r>
              <w:t>Control</w:t>
            </w:r>
          </w:p>
        </w:tc>
        <w:tc>
          <w:tcPr>
            <w:tcW w:w="0" w:type="auto"/>
          </w:tcPr>
          <w:p w14:paraId="668D4D4F" w14:textId="77777777" w:rsidR="00E93601" w:rsidRDefault="00BA0A6E" w:rsidP="00C31058">
            <w:pPr>
              <w:pStyle w:val="Compact"/>
            </w:pPr>
            <w:r>
              <w:t>505, 516, 414</w:t>
            </w:r>
          </w:p>
        </w:tc>
        <w:tc>
          <w:tcPr>
            <w:tcW w:w="0" w:type="auto"/>
          </w:tcPr>
          <w:p w14:paraId="668D4D50" w14:textId="77777777" w:rsidR="00E93601" w:rsidRDefault="00BA0A6E" w:rsidP="00C31058">
            <w:pPr>
              <w:pStyle w:val="Compact"/>
            </w:pPr>
            <w:r>
              <w:t>233</w:t>
            </w:r>
          </w:p>
        </w:tc>
        <w:tc>
          <w:tcPr>
            <w:tcW w:w="0" w:type="auto"/>
          </w:tcPr>
          <w:p w14:paraId="668D4D51" w14:textId="77777777" w:rsidR="00E93601" w:rsidRDefault="00BA0A6E" w:rsidP="00C31058">
            <w:pPr>
              <w:pStyle w:val="Compact"/>
            </w:pPr>
            <w:r>
              <w:t>112</w:t>
            </w:r>
          </w:p>
        </w:tc>
        <w:tc>
          <w:tcPr>
            <w:tcW w:w="0" w:type="auto"/>
          </w:tcPr>
          <w:p w14:paraId="668D4D52" w14:textId="77777777" w:rsidR="00E93601" w:rsidRDefault="00BA0A6E" w:rsidP="00C31058">
            <w:pPr>
              <w:pStyle w:val="Compact"/>
            </w:pPr>
            <w:r>
              <w:t>955</w:t>
            </w:r>
          </w:p>
        </w:tc>
      </w:tr>
      <w:tr w:rsidR="00E93601" w14:paraId="668D4D59" w14:textId="77777777">
        <w:tc>
          <w:tcPr>
            <w:tcW w:w="0" w:type="auto"/>
          </w:tcPr>
          <w:p w14:paraId="668D4D54" w14:textId="77777777" w:rsidR="00E93601" w:rsidRDefault="00BA0A6E" w:rsidP="00C31058">
            <w:pPr>
              <w:pStyle w:val="Compact"/>
            </w:pPr>
            <w:r>
              <w:t>Embedded in ZrO₂</w:t>
            </w:r>
          </w:p>
        </w:tc>
        <w:tc>
          <w:tcPr>
            <w:tcW w:w="0" w:type="auto"/>
          </w:tcPr>
          <w:p w14:paraId="668D4D55" w14:textId="77777777" w:rsidR="00E93601" w:rsidRDefault="00BA0A6E" w:rsidP="00C31058">
            <w:pPr>
              <w:pStyle w:val="Compact"/>
            </w:pPr>
            <w:r>
              <w:t>481, 476, 463</w:t>
            </w:r>
          </w:p>
        </w:tc>
        <w:tc>
          <w:tcPr>
            <w:tcW w:w="0" w:type="auto"/>
          </w:tcPr>
          <w:p w14:paraId="668D4D56" w14:textId="77777777" w:rsidR="00E93601" w:rsidRDefault="00BA0A6E" w:rsidP="00C31058">
            <w:pPr>
              <w:pStyle w:val="Compact"/>
            </w:pPr>
            <w:r>
              <w:t>231</w:t>
            </w:r>
          </w:p>
        </w:tc>
        <w:tc>
          <w:tcPr>
            <w:tcW w:w="0" w:type="auto"/>
          </w:tcPr>
          <w:p w14:paraId="668D4D57" w14:textId="77777777" w:rsidR="00E93601" w:rsidRDefault="00BA0A6E" w:rsidP="00C31058">
            <w:pPr>
              <w:pStyle w:val="Compact"/>
            </w:pPr>
            <w:r>
              <w:t>116</w:t>
            </w:r>
          </w:p>
        </w:tc>
        <w:tc>
          <w:tcPr>
            <w:tcW w:w="0" w:type="auto"/>
          </w:tcPr>
          <w:p w14:paraId="668D4D58" w14:textId="77777777" w:rsidR="00E93601" w:rsidRDefault="00BA0A6E" w:rsidP="00C31058">
            <w:pPr>
              <w:pStyle w:val="Compact"/>
            </w:pPr>
            <w:r>
              <w:t>961</w:t>
            </w:r>
          </w:p>
        </w:tc>
      </w:tr>
    </w:tbl>
    <w:p w14:paraId="668D4D5A" w14:textId="77777777" w:rsidR="00E93601" w:rsidRDefault="00BA0A6E" w:rsidP="00C31058">
      <w:pPr>
        <w:pStyle w:val="BodyText"/>
      </w:pPr>
      <w:r>
        <w:t xml:space="preserve">Caliper measurements, sintered tetrapods: height </w:t>
      </w:r>
      <w:r>
        <w:rPr>
          <w:b/>
          <w:bCs/>
        </w:rPr>
        <w:t>0.663 ± 0.010 mm</w:t>
      </w:r>
      <w:r>
        <w:t xml:space="preserve"> (n = 7, CV 1.43 %); base diameter </w:t>
      </w:r>
      <w:r>
        <w:rPr>
          <w:b/>
          <w:bCs/>
        </w:rPr>
        <w:t>0.833 ± 0.021 mm</w:t>
      </w:r>
      <w:r>
        <w:t xml:space="preserve"> (n = 3, CV 2.50 %). The height CV of 1.43 % is the tightest reproducibility figure in the dataset.</w:t>
      </w:r>
    </w:p>
    <w:p w14:paraId="668D4D5B" w14:textId="77777777" w:rsidR="00E93601" w:rsidRDefault="00BA0A6E" w:rsidP="00C31058">
      <w:pPr>
        <w:pStyle w:val="BodyText"/>
      </w:pPr>
      <w:r>
        <w:rPr>
          <w:b/>
          <w:bCs/>
        </w:rPr>
        <w:t>Consistency check against the parent CAD.</w:t>
      </w:r>
      <w:r>
        <w:t xml:space="preserve"> The archived job files confirm parts were printed directly from the parent tetrapod model with no additional scaling beyond the standard shrinkage compensation. Taking the parent model’s mean arm length (0.494 mm, averaged over its four arms) through the same compensation-and-shrinkage chain used elsewhere in this work </w:t>
      </w:r>
      <w:r>
        <w:lastRenderedPageBreak/>
        <w:t>(mean compensation factor 1.2455, 22.5 % linear shrinkage) predicts a sintered arm length of 476 µm, against 473–478 µm measured above — agreement within 1 %.</w:t>
      </w:r>
    </w:p>
    <w:p w14:paraId="668D4D5C" w14:textId="77777777" w:rsidR="00E93601" w:rsidRDefault="00BA0A6E" w:rsidP="00C31058">
      <w:pPr>
        <w:pStyle w:val="BodyText"/>
      </w:pPr>
      <w:r>
        <w:t>This is a consistency check rather than an independent measurement: the 22.5 % shrinkage figure is itself derived from the tetrapod’s own density (§3.6), so the agreement confirms the parent file and the density figure are mutually consistent, rather than providing two separate measurements of shrinkage. A genuinely independent figure would require a green tetrapod measured directly, which was not done.</w:t>
      </w:r>
    </w:p>
    <w:p w14:paraId="668D4D5D" w14:textId="77777777" w:rsidR="00E93601" w:rsidRDefault="00BA0A6E" w:rsidP="00C31058">
      <w:pPr>
        <w:pStyle w:val="BodyText"/>
      </w:pPr>
      <w:r>
        <w:t>A parallel check on sintered volume — the mesh or ISO50 total, divided by the counted population of 381 — gives 0.0347–0.0350 mm³ per part, against 0.0261 mm³ predicted by the same chain, a 25–26 % discrepancy larger than the length-based check. The most plausible explanation is lateral overcure inflating strut diameter beyond what the length-only shrinkage prediction implies, by analogy with the 6.3 % lateral oversize measured directly for the cubes (§3.2); this is a plausible mechanism, not a demonstrated</w:t>
      </w:r>
      <w:r>
        <w:t xml:space="preserve"> one.</w:t>
      </w:r>
    </w:p>
    <w:p w14:paraId="668D4D5E" w14:textId="77777777" w:rsidR="00E93601" w:rsidRDefault="00BA0A6E">
      <w:r>
        <w:pict w14:anchorId="668D4E9C">
          <v:rect id="_x0000_i1064" style="width:0;height:1.5pt" o:hralign="center" o:hrstd="t" o:hr="t"/>
        </w:pict>
      </w:r>
    </w:p>
    <w:p w14:paraId="668D4D5F" w14:textId="77777777" w:rsidR="00E93601" w:rsidRDefault="00BA0A6E">
      <w:pPr>
        <w:pStyle w:val="Heading2"/>
      </w:pPr>
      <w:bookmarkStart w:id="18" w:name="s3.-micro-computed-tomography"/>
      <w:bookmarkEnd w:id="13"/>
      <w:bookmarkEnd w:id="17"/>
      <w:r>
        <w:t>S3. Micro-computed tomography</w:t>
      </w:r>
    </w:p>
    <w:p w14:paraId="668D4D60" w14:textId="77777777" w:rsidR="00E93601" w:rsidRDefault="00BA0A6E" w:rsidP="00C31058">
      <w:pPr>
        <w:pStyle w:val="FirstParagraph"/>
      </w:pPr>
      <w:r>
        <w:rPr>
          <w:b/>
          <w:bCs/>
        </w:rPr>
        <w:t>Instrument.</w:t>
      </w:r>
      <w:r>
        <w:t xml:space="preserve"> RX Solutions EasyTom S; reconstruction with X-Act 2.0 (r 24.04.3). Isotropic voxel 13.222 µm.</w:t>
      </w:r>
    </w:p>
    <w:p w14:paraId="668D4D61" w14:textId="77777777" w:rsidR="00E93601" w:rsidRDefault="00BA0A6E" w:rsidP="00C31058">
      <w:pPr>
        <w:pStyle w:val="BodyText"/>
      </w:pPr>
      <w:r>
        <w:t xml:space="preserve">Both geometries were scanned and processed by the same procedure: ISO50 thresholding with material and air levels determined from interior and exterior regions (not histogram modes), exclusion of the sample holder at the slice where the filled cross-sectional area reaches a plateau, and a threshold sensitivity sweep on the resulting full-stack volume. The tetrapod dataset was reconstructed at 16-bit; the cube dataset, after an intermediate 16-bit determination described in S3.1, was reprocessed as an 8-bit </w:t>
      </w:r>
      <w:r>
        <w:t>greyscale export with a recorded display window, which is the version reported in the main text. The two bit depths are not on a common grey-value scale, so ISO50 values are not comparable between them; only the derived volumes and densities are.</w:t>
      </w:r>
    </w:p>
    <w:p w14:paraId="668D4D62" w14:textId="77777777" w:rsidR="00E93601" w:rsidRDefault="00BA0A6E">
      <w:pPr>
        <w:pStyle w:val="Heading3"/>
      </w:pPr>
      <w:bookmarkStart w:id="19" w:name="Xf7af3c4b9822c62a1daa33dcfa4c45c802e60b6"/>
      <w:r>
        <w:t>S</w:t>
      </w:r>
      <w:r>
        <w:t>3.1 Threshold determination — preliminary check, cube dataset</w:t>
      </w:r>
    </w:p>
    <w:p w14:paraId="668D4D63" w14:textId="77777777" w:rsidR="00E93601" w:rsidRDefault="00BA0A6E" w:rsidP="00C31058">
      <w:pPr>
        <w:pStyle w:val="FirstParagraph"/>
      </w:pPr>
      <w:r>
        <w:t>An initial threshold determination was performed on a single representative 16-bit slice, before the full-stack greyscale export used for the final result (S3.5) was available. Material and air grey levels were taken as the mean value of voxels lying at least 15 pixels inside and outside the part boundaries respectively; histogram modes were not used, since the material peak is asymmetric and its mode lies apart from the interior mean.</w:t>
      </w:r>
    </w:p>
    <w:p w14:paraId="668D4D64" w14:textId="77777777" w:rsidR="00E93601" w:rsidRDefault="00BA0A6E" w:rsidP="00C31058">
      <w:pPr>
        <w:pStyle w:val="BodyText"/>
      </w:pPr>
      <w:r>
        <w:rPr>
          <w:b/>
          <w:bCs/>
        </w:rPr>
        <w:t>Table S6.</w:t>
      </w:r>
      <w:r>
        <w:t xml:space="preserve"> Grey levels and threshold, single-slice preliminary check (16-bit).</w:t>
      </w:r>
    </w:p>
    <w:tbl>
      <w:tblPr>
        <w:tblStyle w:val="Table"/>
        <w:tblW w:w="0" w:type="auto"/>
        <w:tblLook w:val="0020" w:firstRow="1" w:lastRow="0" w:firstColumn="0" w:lastColumn="0" w:noHBand="0" w:noVBand="0"/>
      </w:tblPr>
      <w:tblGrid>
        <w:gridCol w:w="4451"/>
        <w:gridCol w:w="3010"/>
      </w:tblGrid>
      <w:tr w:rsidR="00E93601" w14:paraId="668D4D67" w14:textId="77777777" w:rsidTr="00E93601">
        <w:trPr>
          <w:cnfStyle w:val="100000000000" w:firstRow="1" w:lastRow="0" w:firstColumn="0" w:lastColumn="0" w:oddVBand="0" w:evenVBand="0" w:oddHBand="0" w:evenHBand="0" w:firstRowFirstColumn="0" w:firstRowLastColumn="0" w:lastRowFirstColumn="0" w:lastRowLastColumn="0"/>
          <w:tblHeader/>
        </w:trPr>
        <w:tc>
          <w:tcPr>
            <w:tcW w:w="0" w:type="auto"/>
          </w:tcPr>
          <w:p w14:paraId="668D4D65" w14:textId="77777777" w:rsidR="00E93601" w:rsidRDefault="00BA0A6E" w:rsidP="00C31058">
            <w:pPr>
              <w:pStyle w:val="Compact"/>
            </w:pPr>
            <w:r>
              <w:t>Quantity</w:t>
            </w:r>
          </w:p>
        </w:tc>
        <w:tc>
          <w:tcPr>
            <w:tcW w:w="0" w:type="auto"/>
          </w:tcPr>
          <w:p w14:paraId="668D4D66" w14:textId="77777777" w:rsidR="00E93601" w:rsidRDefault="00BA0A6E" w:rsidP="00C31058">
            <w:pPr>
              <w:pStyle w:val="Compact"/>
            </w:pPr>
            <w:r>
              <w:t>Value</w:t>
            </w:r>
          </w:p>
        </w:tc>
      </w:tr>
      <w:tr w:rsidR="00E93601" w14:paraId="668D4D6A" w14:textId="77777777">
        <w:tc>
          <w:tcPr>
            <w:tcW w:w="0" w:type="auto"/>
          </w:tcPr>
          <w:p w14:paraId="668D4D68" w14:textId="77777777" w:rsidR="00E93601" w:rsidRDefault="00BA0A6E" w:rsidP="00C31058">
            <w:pPr>
              <w:pStyle w:val="Compact"/>
            </w:pPr>
            <w:r>
              <w:t>Material level (interior mean, n = 38,100)</w:t>
            </w:r>
          </w:p>
        </w:tc>
        <w:tc>
          <w:tcPr>
            <w:tcW w:w="0" w:type="auto"/>
          </w:tcPr>
          <w:p w14:paraId="668D4D69" w14:textId="77777777" w:rsidR="00E93601" w:rsidRDefault="00BA0A6E" w:rsidP="00C31058">
            <w:pPr>
              <w:pStyle w:val="Compact"/>
            </w:pPr>
            <w:r>
              <w:t>18,243 ± 200</w:t>
            </w:r>
          </w:p>
        </w:tc>
      </w:tr>
      <w:tr w:rsidR="00E93601" w14:paraId="668D4D6D" w14:textId="77777777">
        <w:tc>
          <w:tcPr>
            <w:tcW w:w="0" w:type="auto"/>
          </w:tcPr>
          <w:p w14:paraId="668D4D6B" w14:textId="77777777" w:rsidR="00E93601" w:rsidRDefault="00BA0A6E" w:rsidP="00C31058">
            <w:pPr>
              <w:pStyle w:val="Compact"/>
            </w:pPr>
            <w:r>
              <w:t>Air level (exterior mean, n = 410,044)</w:t>
            </w:r>
          </w:p>
        </w:tc>
        <w:tc>
          <w:tcPr>
            <w:tcW w:w="0" w:type="auto"/>
          </w:tcPr>
          <w:p w14:paraId="668D4D6C" w14:textId="77777777" w:rsidR="00E93601" w:rsidRDefault="00BA0A6E" w:rsidP="00C31058">
            <w:pPr>
              <w:pStyle w:val="Compact"/>
            </w:pPr>
            <w:r>
              <w:t>16,775 ± 182</w:t>
            </w:r>
          </w:p>
        </w:tc>
      </w:tr>
      <w:tr w:rsidR="00E93601" w14:paraId="668D4D70" w14:textId="77777777">
        <w:tc>
          <w:tcPr>
            <w:tcW w:w="0" w:type="auto"/>
          </w:tcPr>
          <w:p w14:paraId="668D4D6E" w14:textId="77777777" w:rsidR="00E93601" w:rsidRDefault="00BA0A6E" w:rsidP="00C31058">
            <w:pPr>
              <w:pStyle w:val="Compact"/>
            </w:pPr>
            <w:r>
              <w:t>ISO50 threshold</w:t>
            </w:r>
          </w:p>
        </w:tc>
        <w:tc>
          <w:tcPr>
            <w:tcW w:w="0" w:type="auto"/>
          </w:tcPr>
          <w:p w14:paraId="668D4D6F" w14:textId="77777777" w:rsidR="00E93601" w:rsidRDefault="00BA0A6E" w:rsidP="00C31058">
            <w:pPr>
              <w:pStyle w:val="Compact"/>
            </w:pPr>
            <w:r>
              <w:t>17,509</w:t>
            </w:r>
          </w:p>
        </w:tc>
      </w:tr>
      <w:tr w:rsidR="00E93601" w14:paraId="668D4D73" w14:textId="77777777">
        <w:tc>
          <w:tcPr>
            <w:tcW w:w="0" w:type="auto"/>
          </w:tcPr>
          <w:p w14:paraId="668D4D71" w14:textId="77777777" w:rsidR="00E93601" w:rsidRDefault="00BA0A6E" w:rsidP="00C31058">
            <w:pPr>
              <w:pStyle w:val="Compact"/>
            </w:pPr>
            <w:r>
              <w:t>Otsu threshold, same region</w:t>
            </w:r>
          </w:p>
        </w:tc>
        <w:tc>
          <w:tcPr>
            <w:tcW w:w="0" w:type="auto"/>
          </w:tcPr>
          <w:p w14:paraId="668D4D72" w14:textId="77777777" w:rsidR="00E93601" w:rsidRDefault="00BA0A6E" w:rsidP="00C31058">
            <w:pPr>
              <w:pStyle w:val="Compact"/>
            </w:pPr>
            <w:r>
              <w:t>17,491</w:t>
            </w:r>
          </w:p>
        </w:tc>
      </w:tr>
      <w:tr w:rsidR="00E93601" w14:paraId="668D4D76" w14:textId="77777777">
        <w:tc>
          <w:tcPr>
            <w:tcW w:w="0" w:type="auto"/>
          </w:tcPr>
          <w:p w14:paraId="668D4D74" w14:textId="77777777" w:rsidR="00E93601" w:rsidRDefault="00BA0A6E" w:rsidP="00C31058">
            <w:pPr>
              <w:pStyle w:val="Compact"/>
            </w:pPr>
            <w:r>
              <w:lastRenderedPageBreak/>
              <w:t>Difference</w:t>
            </w:r>
          </w:p>
        </w:tc>
        <w:tc>
          <w:tcPr>
            <w:tcW w:w="0" w:type="auto"/>
          </w:tcPr>
          <w:p w14:paraId="668D4D75" w14:textId="77777777" w:rsidR="00E93601" w:rsidRDefault="00BA0A6E" w:rsidP="00C31058">
            <w:pPr>
              <w:pStyle w:val="Compact"/>
            </w:pPr>
            <w:r>
              <w:t>18 levels (0.3 % in volume)</w:t>
            </w:r>
          </w:p>
        </w:tc>
      </w:tr>
    </w:tbl>
    <w:p w14:paraId="668D4D77" w14:textId="77777777" w:rsidR="00E93601" w:rsidRDefault="00BA0A6E" w:rsidP="00C31058">
      <w:pPr>
        <w:pStyle w:val="BodyText"/>
      </w:pPr>
      <w:r>
        <w:t>Otsu’s method was not adopted for the final determination because it depends on the relative areas of the two phases and therefore varies with the region analysed. Across crop radii from 0.26 to 0.42 of the image width on this slice, Otsu returned values from 17,385 to 17,491 — a range of 106 grey levels, equivalent to approximately 2 % in volume — whereas ISO50 was unchanged.</w:t>
      </w:r>
    </w:p>
    <w:p w14:paraId="668D4D78" w14:textId="77777777" w:rsidR="00E93601" w:rsidRDefault="00BA0A6E">
      <w:pPr>
        <w:pStyle w:val="Heading3"/>
      </w:pPr>
      <w:bookmarkStart w:id="20" w:name="X817f00776da0f3e33fcb6ad1a04badc5fbeebf3"/>
      <w:bookmarkEnd w:id="19"/>
      <w:r>
        <w:t>S</w:t>
      </w:r>
      <w:r>
        <w:t>3.2 Threshold sensitivity — preliminary check, single slice</w:t>
      </w:r>
    </w:p>
    <w:p w14:paraId="668D4D79" w14:textId="77777777" w:rsidR="00E93601" w:rsidRDefault="00BA0A6E" w:rsidP="00C31058">
      <w:pPr>
        <w:pStyle w:val="FirstParagraph"/>
      </w:pPr>
      <w:r>
        <w:rPr>
          <w:b/>
          <w:bCs/>
        </w:rPr>
        <w:t>Table S7.</w:t>
      </w:r>
      <w:r>
        <w:t xml:space="preserve"> Sensitivity of cross-sectional area and implied volume to threshold offset, single slice, sample holder excluded, 16-bit scale.</w:t>
      </w:r>
    </w:p>
    <w:tbl>
      <w:tblPr>
        <w:tblStyle w:val="Table"/>
        <w:tblW w:w="5000" w:type="pct"/>
        <w:tblLook w:val="0020" w:firstRow="1" w:lastRow="0" w:firstColumn="0" w:lastColumn="0" w:noHBand="0" w:noVBand="0"/>
      </w:tblPr>
      <w:tblGrid>
        <w:gridCol w:w="4596"/>
        <w:gridCol w:w="3109"/>
        <w:gridCol w:w="2483"/>
      </w:tblGrid>
      <w:tr w:rsidR="00E93601" w14:paraId="668D4D7D" w14:textId="77777777" w:rsidTr="00E93601">
        <w:trPr>
          <w:cnfStyle w:val="100000000000" w:firstRow="1" w:lastRow="0" w:firstColumn="0" w:lastColumn="0" w:oddVBand="0" w:evenVBand="0" w:oddHBand="0" w:evenHBand="0" w:firstRowFirstColumn="0" w:firstRowLastColumn="0" w:lastRowFirstColumn="0" w:lastRowLastColumn="0"/>
          <w:tblHeader/>
        </w:trPr>
        <w:tc>
          <w:tcPr>
            <w:tcW w:w="0" w:type="auto"/>
          </w:tcPr>
          <w:p w14:paraId="668D4D7A" w14:textId="77777777" w:rsidR="00E93601" w:rsidRDefault="00BA0A6E" w:rsidP="00C31058">
            <w:pPr>
              <w:pStyle w:val="Compact"/>
            </w:pPr>
            <w:r>
              <w:t>Offset from ISO50 (grey levels)</w:t>
            </w:r>
          </w:p>
        </w:tc>
        <w:tc>
          <w:tcPr>
            <w:tcW w:w="0" w:type="auto"/>
          </w:tcPr>
          <w:p w14:paraId="668D4D7B" w14:textId="77777777" w:rsidR="00E93601" w:rsidRDefault="00BA0A6E" w:rsidP="00C31058">
            <w:pPr>
              <w:pStyle w:val="Compact"/>
            </w:pPr>
            <w:r>
              <w:t>Cross-sectional area</w:t>
            </w:r>
          </w:p>
        </w:tc>
        <w:tc>
          <w:tcPr>
            <w:tcW w:w="0" w:type="auto"/>
          </w:tcPr>
          <w:p w14:paraId="668D4D7C" w14:textId="77777777" w:rsidR="00E93601" w:rsidRDefault="00BA0A6E" w:rsidP="00C31058">
            <w:pPr>
              <w:pStyle w:val="Compact"/>
            </w:pPr>
            <w:r>
              <w:t>Implied volume</w:t>
            </w:r>
          </w:p>
        </w:tc>
      </w:tr>
      <w:tr w:rsidR="00E93601" w14:paraId="668D4D81" w14:textId="77777777">
        <w:tc>
          <w:tcPr>
            <w:tcW w:w="0" w:type="auto"/>
          </w:tcPr>
          <w:p w14:paraId="668D4D7E" w14:textId="77777777" w:rsidR="00E93601" w:rsidRDefault="00BA0A6E" w:rsidP="00C31058">
            <w:pPr>
              <w:pStyle w:val="Compact"/>
            </w:pPr>
            <w:r>
              <w:t>−</w:t>
            </w:r>
            <w:r>
              <w:t>300</w:t>
            </w:r>
          </w:p>
        </w:tc>
        <w:tc>
          <w:tcPr>
            <w:tcW w:w="0" w:type="auto"/>
          </w:tcPr>
          <w:p w14:paraId="668D4D7F" w14:textId="77777777" w:rsidR="00E93601" w:rsidRDefault="00BA0A6E" w:rsidP="00C31058">
            <w:pPr>
              <w:pStyle w:val="Compact"/>
            </w:pPr>
            <w:r>
              <w:t>+9.7 %</w:t>
            </w:r>
          </w:p>
        </w:tc>
        <w:tc>
          <w:tcPr>
            <w:tcW w:w="0" w:type="auto"/>
          </w:tcPr>
          <w:p w14:paraId="668D4D80" w14:textId="77777777" w:rsidR="00E93601" w:rsidRDefault="00BA0A6E" w:rsidP="00C31058">
            <w:pPr>
              <w:pStyle w:val="Compact"/>
            </w:pPr>
            <w:r>
              <w:t>+14.9 %</w:t>
            </w:r>
          </w:p>
        </w:tc>
      </w:tr>
      <w:tr w:rsidR="00E93601" w14:paraId="668D4D85" w14:textId="77777777">
        <w:tc>
          <w:tcPr>
            <w:tcW w:w="0" w:type="auto"/>
          </w:tcPr>
          <w:p w14:paraId="668D4D82" w14:textId="77777777" w:rsidR="00E93601" w:rsidRDefault="00BA0A6E" w:rsidP="00C31058">
            <w:pPr>
              <w:pStyle w:val="Compact"/>
            </w:pPr>
            <w:r>
              <w:t>−</w:t>
            </w:r>
            <w:r>
              <w:t>200</w:t>
            </w:r>
          </w:p>
        </w:tc>
        <w:tc>
          <w:tcPr>
            <w:tcW w:w="0" w:type="auto"/>
          </w:tcPr>
          <w:p w14:paraId="668D4D83" w14:textId="77777777" w:rsidR="00E93601" w:rsidRDefault="00BA0A6E" w:rsidP="00C31058">
            <w:pPr>
              <w:pStyle w:val="Compact"/>
            </w:pPr>
            <w:r>
              <w:t>+3.6 %</w:t>
            </w:r>
          </w:p>
        </w:tc>
        <w:tc>
          <w:tcPr>
            <w:tcW w:w="0" w:type="auto"/>
          </w:tcPr>
          <w:p w14:paraId="668D4D84" w14:textId="77777777" w:rsidR="00E93601" w:rsidRDefault="00BA0A6E" w:rsidP="00C31058">
            <w:pPr>
              <w:pStyle w:val="Compact"/>
            </w:pPr>
            <w:r>
              <w:t>+5.4 %</w:t>
            </w:r>
          </w:p>
        </w:tc>
      </w:tr>
      <w:tr w:rsidR="00E93601" w14:paraId="668D4D89" w14:textId="77777777">
        <w:tc>
          <w:tcPr>
            <w:tcW w:w="0" w:type="auto"/>
          </w:tcPr>
          <w:p w14:paraId="668D4D86" w14:textId="77777777" w:rsidR="00E93601" w:rsidRDefault="00BA0A6E" w:rsidP="00C31058">
            <w:pPr>
              <w:pStyle w:val="Compact"/>
            </w:pPr>
            <w:r>
              <w:t>−</w:t>
            </w:r>
            <w:r>
              <w:t>100</w:t>
            </w:r>
          </w:p>
        </w:tc>
        <w:tc>
          <w:tcPr>
            <w:tcW w:w="0" w:type="auto"/>
          </w:tcPr>
          <w:p w14:paraId="668D4D87" w14:textId="77777777" w:rsidR="00E93601" w:rsidRDefault="00BA0A6E" w:rsidP="00C31058">
            <w:pPr>
              <w:pStyle w:val="Compact"/>
            </w:pPr>
            <w:r>
              <w:t>+1.3 %</w:t>
            </w:r>
          </w:p>
        </w:tc>
        <w:tc>
          <w:tcPr>
            <w:tcW w:w="0" w:type="auto"/>
          </w:tcPr>
          <w:p w14:paraId="668D4D88" w14:textId="77777777" w:rsidR="00E93601" w:rsidRDefault="00BA0A6E" w:rsidP="00C31058">
            <w:pPr>
              <w:pStyle w:val="Compact"/>
            </w:pPr>
            <w:r>
              <w:t>+1.9 %</w:t>
            </w:r>
          </w:p>
        </w:tc>
      </w:tr>
      <w:tr w:rsidR="00E93601" w14:paraId="668D4D8D" w14:textId="77777777">
        <w:tc>
          <w:tcPr>
            <w:tcW w:w="0" w:type="auto"/>
          </w:tcPr>
          <w:p w14:paraId="668D4D8A" w14:textId="77777777" w:rsidR="00E93601" w:rsidRDefault="00BA0A6E" w:rsidP="00C31058">
            <w:pPr>
              <w:pStyle w:val="Compact"/>
            </w:pPr>
            <w:r>
              <w:t>−</w:t>
            </w:r>
            <w:r>
              <w:t>50</w:t>
            </w:r>
          </w:p>
        </w:tc>
        <w:tc>
          <w:tcPr>
            <w:tcW w:w="0" w:type="auto"/>
          </w:tcPr>
          <w:p w14:paraId="668D4D8B" w14:textId="77777777" w:rsidR="00E93601" w:rsidRDefault="00BA0A6E" w:rsidP="00C31058">
            <w:pPr>
              <w:pStyle w:val="Compact"/>
            </w:pPr>
            <w:r>
              <w:t>+0.5 %</w:t>
            </w:r>
          </w:p>
        </w:tc>
        <w:tc>
          <w:tcPr>
            <w:tcW w:w="0" w:type="auto"/>
          </w:tcPr>
          <w:p w14:paraId="668D4D8C" w14:textId="77777777" w:rsidR="00E93601" w:rsidRDefault="00BA0A6E" w:rsidP="00C31058">
            <w:pPr>
              <w:pStyle w:val="Compact"/>
            </w:pPr>
            <w:r>
              <w:t>+0.8 %</w:t>
            </w:r>
          </w:p>
        </w:tc>
      </w:tr>
      <w:tr w:rsidR="00E93601" w14:paraId="668D4D91" w14:textId="77777777">
        <w:tc>
          <w:tcPr>
            <w:tcW w:w="0" w:type="auto"/>
          </w:tcPr>
          <w:p w14:paraId="668D4D8E" w14:textId="77777777" w:rsidR="00E93601" w:rsidRDefault="00BA0A6E" w:rsidP="00C31058">
            <w:pPr>
              <w:pStyle w:val="Compact"/>
            </w:pPr>
            <w:r>
              <w:t>0</w:t>
            </w:r>
          </w:p>
        </w:tc>
        <w:tc>
          <w:tcPr>
            <w:tcW w:w="0" w:type="auto"/>
          </w:tcPr>
          <w:p w14:paraId="668D4D8F" w14:textId="77777777" w:rsidR="00E93601" w:rsidRDefault="00BA0A6E" w:rsidP="00C31058">
            <w:pPr>
              <w:pStyle w:val="Compact"/>
            </w:pPr>
            <w:r>
              <w:t>—</w:t>
            </w:r>
          </w:p>
        </w:tc>
        <w:tc>
          <w:tcPr>
            <w:tcW w:w="0" w:type="auto"/>
          </w:tcPr>
          <w:p w14:paraId="668D4D90" w14:textId="77777777" w:rsidR="00E93601" w:rsidRDefault="00BA0A6E" w:rsidP="00C31058">
            <w:pPr>
              <w:pStyle w:val="Compact"/>
            </w:pPr>
            <w:r>
              <w:t>—</w:t>
            </w:r>
          </w:p>
        </w:tc>
      </w:tr>
      <w:tr w:rsidR="00E93601" w14:paraId="668D4D95" w14:textId="77777777">
        <w:tc>
          <w:tcPr>
            <w:tcW w:w="0" w:type="auto"/>
          </w:tcPr>
          <w:p w14:paraId="668D4D92" w14:textId="77777777" w:rsidR="00E93601" w:rsidRDefault="00BA0A6E" w:rsidP="00C31058">
            <w:pPr>
              <w:pStyle w:val="Compact"/>
            </w:pPr>
            <w:r>
              <w:t>+50</w:t>
            </w:r>
          </w:p>
        </w:tc>
        <w:tc>
          <w:tcPr>
            <w:tcW w:w="0" w:type="auto"/>
          </w:tcPr>
          <w:p w14:paraId="668D4D93" w14:textId="77777777" w:rsidR="00E93601" w:rsidRDefault="00BA0A6E" w:rsidP="00C31058">
            <w:pPr>
              <w:pStyle w:val="Compact"/>
            </w:pPr>
            <w:r>
              <w:t>−</w:t>
            </w:r>
            <w:r>
              <w:t>0.6 %</w:t>
            </w:r>
          </w:p>
        </w:tc>
        <w:tc>
          <w:tcPr>
            <w:tcW w:w="0" w:type="auto"/>
          </w:tcPr>
          <w:p w14:paraId="668D4D94" w14:textId="77777777" w:rsidR="00E93601" w:rsidRDefault="00BA0A6E" w:rsidP="00C31058">
            <w:pPr>
              <w:pStyle w:val="Compact"/>
            </w:pPr>
            <w:r>
              <w:t>−</w:t>
            </w:r>
            <w:r>
              <w:t>0.9 %</w:t>
            </w:r>
          </w:p>
        </w:tc>
      </w:tr>
      <w:tr w:rsidR="00E93601" w14:paraId="668D4D99" w14:textId="77777777">
        <w:tc>
          <w:tcPr>
            <w:tcW w:w="0" w:type="auto"/>
          </w:tcPr>
          <w:p w14:paraId="668D4D96" w14:textId="77777777" w:rsidR="00E93601" w:rsidRDefault="00BA0A6E" w:rsidP="00C31058">
            <w:pPr>
              <w:pStyle w:val="Compact"/>
            </w:pPr>
            <w:r>
              <w:t>+100</w:t>
            </w:r>
          </w:p>
        </w:tc>
        <w:tc>
          <w:tcPr>
            <w:tcW w:w="0" w:type="auto"/>
          </w:tcPr>
          <w:p w14:paraId="668D4D97" w14:textId="77777777" w:rsidR="00E93601" w:rsidRDefault="00BA0A6E" w:rsidP="00C31058">
            <w:pPr>
              <w:pStyle w:val="Compact"/>
            </w:pPr>
            <w:r>
              <w:t>−</w:t>
            </w:r>
            <w:r>
              <w:t>1.1 %</w:t>
            </w:r>
          </w:p>
        </w:tc>
        <w:tc>
          <w:tcPr>
            <w:tcW w:w="0" w:type="auto"/>
          </w:tcPr>
          <w:p w14:paraId="668D4D98" w14:textId="77777777" w:rsidR="00E93601" w:rsidRDefault="00BA0A6E" w:rsidP="00C31058">
            <w:pPr>
              <w:pStyle w:val="Compact"/>
            </w:pPr>
            <w:r>
              <w:t>−</w:t>
            </w:r>
            <w:r>
              <w:t>1.7 %</w:t>
            </w:r>
          </w:p>
        </w:tc>
      </w:tr>
      <w:tr w:rsidR="00E93601" w14:paraId="668D4D9D" w14:textId="77777777">
        <w:tc>
          <w:tcPr>
            <w:tcW w:w="0" w:type="auto"/>
          </w:tcPr>
          <w:p w14:paraId="668D4D9A" w14:textId="77777777" w:rsidR="00E93601" w:rsidRDefault="00BA0A6E" w:rsidP="00C31058">
            <w:pPr>
              <w:pStyle w:val="Compact"/>
            </w:pPr>
            <w:r>
              <w:t>+200</w:t>
            </w:r>
          </w:p>
        </w:tc>
        <w:tc>
          <w:tcPr>
            <w:tcW w:w="0" w:type="auto"/>
          </w:tcPr>
          <w:p w14:paraId="668D4D9B" w14:textId="77777777" w:rsidR="00E93601" w:rsidRDefault="00BA0A6E" w:rsidP="00C31058">
            <w:pPr>
              <w:pStyle w:val="Compact"/>
            </w:pPr>
            <w:r>
              <w:t>−</w:t>
            </w:r>
            <w:r>
              <w:t>2.4 %</w:t>
            </w:r>
          </w:p>
        </w:tc>
        <w:tc>
          <w:tcPr>
            <w:tcW w:w="0" w:type="auto"/>
          </w:tcPr>
          <w:p w14:paraId="668D4D9C" w14:textId="77777777" w:rsidR="00E93601" w:rsidRDefault="00BA0A6E" w:rsidP="00C31058">
            <w:pPr>
              <w:pStyle w:val="Compact"/>
            </w:pPr>
            <w:r>
              <w:t>−</w:t>
            </w:r>
            <w:r>
              <w:t>3.6 %</w:t>
            </w:r>
          </w:p>
        </w:tc>
      </w:tr>
      <w:tr w:rsidR="00E93601" w14:paraId="668D4DA1" w14:textId="77777777">
        <w:tc>
          <w:tcPr>
            <w:tcW w:w="0" w:type="auto"/>
          </w:tcPr>
          <w:p w14:paraId="668D4D9E" w14:textId="77777777" w:rsidR="00E93601" w:rsidRDefault="00BA0A6E" w:rsidP="00C31058">
            <w:pPr>
              <w:pStyle w:val="Compact"/>
            </w:pPr>
            <w:r>
              <w:t>+300</w:t>
            </w:r>
          </w:p>
        </w:tc>
        <w:tc>
          <w:tcPr>
            <w:tcW w:w="0" w:type="auto"/>
          </w:tcPr>
          <w:p w14:paraId="668D4D9F" w14:textId="77777777" w:rsidR="00E93601" w:rsidRDefault="00BA0A6E" w:rsidP="00C31058">
            <w:pPr>
              <w:pStyle w:val="Compact"/>
            </w:pPr>
            <w:r>
              <w:t>−</w:t>
            </w:r>
            <w:r>
              <w:t>4.6 %</w:t>
            </w:r>
          </w:p>
        </w:tc>
        <w:tc>
          <w:tcPr>
            <w:tcW w:w="0" w:type="auto"/>
          </w:tcPr>
          <w:p w14:paraId="668D4DA0" w14:textId="77777777" w:rsidR="00E93601" w:rsidRDefault="00BA0A6E" w:rsidP="00C31058">
            <w:pPr>
              <w:pStyle w:val="Compact"/>
            </w:pPr>
            <w:r>
              <w:t>−</w:t>
            </w:r>
            <w:r>
              <w:t>6.8 %</w:t>
            </w:r>
          </w:p>
        </w:tc>
      </w:tr>
    </w:tbl>
    <w:p w14:paraId="668D4DA2" w14:textId="77777777" w:rsidR="00E93601" w:rsidRDefault="00BA0A6E" w:rsidP="00C31058">
      <w:pPr>
        <w:pStyle w:val="BodyText"/>
      </w:pPr>
      <w:r>
        <w:t>Volume changes were obtained from areas as (</w:t>
      </w:r>
      <w:r>
        <w:rPr>
          <w:i/>
          <w:iCs/>
        </w:rPr>
        <w:t>A</w:t>
      </w:r>
      <w:r>
        <w:t>/</w:t>
      </w:r>
      <w:r>
        <w:rPr>
          <w:i/>
          <w:iCs/>
        </w:rPr>
        <w:t>A</w:t>
      </w:r>
      <w:r>
        <w:t>₀</w:t>
      </w:r>
      <w:r>
        <w:t>)^1.5, valid for small displacements of a compact boundary on a single slice. This preliminary check motivated the ±100-level sensitivity window subsequently applied to both full-stack determinations (S3.3, S3.5), but is superseded by them for the reported volumes and densities.</w:t>
      </w:r>
    </w:p>
    <w:p w14:paraId="668D4DA3" w14:textId="77777777" w:rsidR="00E93601" w:rsidRDefault="00BA0A6E">
      <w:pPr>
        <w:pStyle w:val="Heading3"/>
      </w:pPr>
      <w:bookmarkStart w:id="21" w:name="s3.3-tetrapod-batch-final-determination"/>
      <w:bookmarkEnd w:id="20"/>
      <w:r>
        <w:t>S</w:t>
      </w:r>
      <w:r>
        <w:t>3.3 Tetrapod batch — final determination</w:t>
      </w:r>
    </w:p>
    <w:p w14:paraId="668D4DA4" w14:textId="77777777" w:rsidR="00E93601" w:rsidRDefault="00BA0A6E" w:rsidP="00C31058">
      <w:pPr>
        <w:pStyle w:val="FirstParagraph"/>
      </w:pPr>
      <w:r>
        <w:rPr>
          <w:b/>
          <w:bCs/>
        </w:rPr>
        <w:t>Table S8.</w:t>
      </w:r>
      <w:r>
        <w:t xml:space="preserve"> Tetrapod ISO50 determination, full stack (16-bit, 147 slices, sample holder excluded from slice 25).</w:t>
      </w:r>
    </w:p>
    <w:tbl>
      <w:tblPr>
        <w:tblStyle w:val="Table"/>
        <w:tblW w:w="0" w:type="auto"/>
        <w:tblLook w:val="0020" w:firstRow="1" w:lastRow="0" w:firstColumn="0" w:lastColumn="0" w:noHBand="0" w:noVBand="0"/>
      </w:tblPr>
      <w:tblGrid>
        <w:gridCol w:w="3280"/>
        <w:gridCol w:w="3231"/>
      </w:tblGrid>
      <w:tr w:rsidR="00E93601" w14:paraId="668D4DA7" w14:textId="77777777" w:rsidTr="00E93601">
        <w:trPr>
          <w:cnfStyle w:val="100000000000" w:firstRow="1" w:lastRow="0" w:firstColumn="0" w:lastColumn="0" w:oddVBand="0" w:evenVBand="0" w:oddHBand="0" w:evenHBand="0" w:firstRowFirstColumn="0" w:firstRowLastColumn="0" w:lastRowFirstColumn="0" w:lastRowLastColumn="0"/>
          <w:tblHeader/>
        </w:trPr>
        <w:tc>
          <w:tcPr>
            <w:tcW w:w="0" w:type="auto"/>
          </w:tcPr>
          <w:p w14:paraId="668D4DA5" w14:textId="77777777" w:rsidR="00E93601" w:rsidRDefault="00BA0A6E" w:rsidP="00C31058">
            <w:pPr>
              <w:pStyle w:val="Compact"/>
            </w:pPr>
            <w:r>
              <w:t>Quantity</w:t>
            </w:r>
          </w:p>
        </w:tc>
        <w:tc>
          <w:tcPr>
            <w:tcW w:w="0" w:type="auto"/>
          </w:tcPr>
          <w:p w14:paraId="668D4DA6" w14:textId="77777777" w:rsidR="00E93601" w:rsidRDefault="00BA0A6E" w:rsidP="00C31058">
            <w:pPr>
              <w:pStyle w:val="Compact"/>
            </w:pPr>
            <w:r>
              <w:t>Value</w:t>
            </w:r>
          </w:p>
        </w:tc>
      </w:tr>
      <w:tr w:rsidR="00E93601" w14:paraId="668D4DAA" w14:textId="77777777">
        <w:tc>
          <w:tcPr>
            <w:tcW w:w="0" w:type="auto"/>
          </w:tcPr>
          <w:p w14:paraId="668D4DA8" w14:textId="77777777" w:rsidR="00E93601" w:rsidRDefault="00BA0A6E" w:rsidP="00C31058">
            <w:pPr>
              <w:pStyle w:val="Compact"/>
            </w:pPr>
            <w:r>
              <w:t>Ceramic level (interior mean)</w:t>
            </w:r>
          </w:p>
        </w:tc>
        <w:tc>
          <w:tcPr>
            <w:tcW w:w="0" w:type="auto"/>
          </w:tcPr>
          <w:p w14:paraId="668D4DA9" w14:textId="77777777" w:rsidR="00E93601" w:rsidRDefault="00BA0A6E" w:rsidP="00C31058">
            <w:pPr>
              <w:pStyle w:val="Compact"/>
            </w:pPr>
            <w:r>
              <w:t>22,267 ± 176</w:t>
            </w:r>
          </w:p>
        </w:tc>
      </w:tr>
      <w:tr w:rsidR="00E93601" w14:paraId="668D4DAD" w14:textId="77777777">
        <w:tc>
          <w:tcPr>
            <w:tcW w:w="0" w:type="auto"/>
          </w:tcPr>
          <w:p w14:paraId="668D4DAB" w14:textId="77777777" w:rsidR="00E93601" w:rsidRDefault="00BA0A6E" w:rsidP="00C31058">
            <w:pPr>
              <w:pStyle w:val="Compact"/>
            </w:pPr>
            <w:r>
              <w:t>Medium level (exterior mean)</w:t>
            </w:r>
          </w:p>
        </w:tc>
        <w:tc>
          <w:tcPr>
            <w:tcW w:w="0" w:type="auto"/>
          </w:tcPr>
          <w:p w14:paraId="668D4DAC" w14:textId="77777777" w:rsidR="00E93601" w:rsidRDefault="00BA0A6E" w:rsidP="00C31058">
            <w:pPr>
              <w:pStyle w:val="Compact"/>
            </w:pPr>
            <w:r>
              <w:t>19,049 ± 255</w:t>
            </w:r>
          </w:p>
        </w:tc>
      </w:tr>
      <w:tr w:rsidR="00E93601" w14:paraId="668D4DB0" w14:textId="77777777">
        <w:tc>
          <w:tcPr>
            <w:tcW w:w="0" w:type="auto"/>
          </w:tcPr>
          <w:p w14:paraId="668D4DAE" w14:textId="77777777" w:rsidR="00E93601" w:rsidRDefault="00BA0A6E" w:rsidP="00C31058">
            <w:pPr>
              <w:pStyle w:val="Compact"/>
            </w:pPr>
            <w:r>
              <w:t>ISO50 threshold</w:t>
            </w:r>
          </w:p>
        </w:tc>
        <w:tc>
          <w:tcPr>
            <w:tcW w:w="0" w:type="auto"/>
          </w:tcPr>
          <w:p w14:paraId="668D4DAF" w14:textId="77777777" w:rsidR="00E93601" w:rsidRDefault="00BA0A6E" w:rsidP="00C31058">
            <w:pPr>
              <w:pStyle w:val="Compact"/>
            </w:pPr>
            <w:r>
              <w:t>20,658</w:t>
            </w:r>
          </w:p>
        </w:tc>
      </w:tr>
      <w:tr w:rsidR="00E93601" w14:paraId="668D4DB3" w14:textId="77777777">
        <w:tc>
          <w:tcPr>
            <w:tcW w:w="0" w:type="auto"/>
          </w:tcPr>
          <w:p w14:paraId="668D4DB1" w14:textId="77777777" w:rsidR="00E93601" w:rsidRDefault="00BA0A6E" w:rsidP="00C31058">
            <w:pPr>
              <w:pStyle w:val="Compact"/>
            </w:pPr>
            <w:r>
              <w:t>Volume at ISO50</w:t>
            </w:r>
          </w:p>
        </w:tc>
        <w:tc>
          <w:tcPr>
            <w:tcW w:w="0" w:type="auto"/>
          </w:tcPr>
          <w:p w14:paraId="668D4DB2" w14:textId="77777777" w:rsidR="00E93601" w:rsidRDefault="00BA0A6E" w:rsidP="00C31058">
            <w:pPr>
              <w:pStyle w:val="Compact"/>
            </w:pPr>
            <w:r>
              <w:t>13.351 mm³</w:t>
            </w:r>
          </w:p>
        </w:tc>
      </w:tr>
      <w:tr w:rsidR="00E93601" w14:paraId="668D4DB6" w14:textId="77777777">
        <w:tc>
          <w:tcPr>
            <w:tcW w:w="0" w:type="auto"/>
          </w:tcPr>
          <w:p w14:paraId="668D4DB4" w14:textId="77777777" w:rsidR="00E93601" w:rsidRDefault="00BA0A6E" w:rsidP="00C31058">
            <w:pPr>
              <w:pStyle w:val="Compact"/>
            </w:pPr>
            <w:r>
              <w:t>Mass of the same parts</w:t>
            </w:r>
          </w:p>
        </w:tc>
        <w:tc>
          <w:tcPr>
            <w:tcW w:w="0" w:type="auto"/>
          </w:tcPr>
          <w:p w14:paraId="668D4DB5" w14:textId="77777777" w:rsidR="00E93601" w:rsidRDefault="00BA0A6E" w:rsidP="00C31058">
            <w:pPr>
              <w:pStyle w:val="Compact"/>
            </w:pPr>
            <w:r>
              <w:t>40.0 mg (four-figure balance)</w:t>
            </w:r>
          </w:p>
        </w:tc>
      </w:tr>
      <w:tr w:rsidR="00E93601" w14:paraId="668D4DB9" w14:textId="77777777">
        <w:tc>
          <w:tcPr>
            <w:tcW w:w="0" w:type="auto"/>
          </w:tcPr>
          <w:p w14:paraId="668D4DB7" w14:textId="77777777" w:rsidR="00E93601" w:rsidRDefault="00BA0A6E" w:rsidP="00C31058">
            <w:pPr>
              <w:pStyle w:val="Compact"/>
            </w:pPr>
            <w:r>
              <w:t>Relative density</w:t>
            </w:r>
          </w:p>
        </w:tc>
        <w:tc>
          <w:tcPr>
            <w:tcW w:w="0" w:type="auto"/>
          </w:tcPr>
          <w:p w14:paraId="668D4DB8" w14:textId="77777777" w:rsidR="00E93601" w:rsidRDefault="00BA0A6E" w:rsidP="00C31058">
            <w:pPr>
              <w:pStyle w:val="Compact"/>
            </w:pPr>
            <w:r>
              <w:t>94.9 %TD</w:t>
            </w:r>
          </w:p>
        </w:tc>
      </w:tr>
    </w:tbl>
    <w:p w14:paraId="668D4DBA" w14:textId="77777777" w:rsidR="00E93601" w:rsidRDefault="00BA0A6E" w:rsidP="00C31058">
      <w:pPr>
        <w:pStyle w:val="BodyText"/>
      </w:pPr>
      <w:r>
        <w:rPr>
          <w:b/>
          <w:bCs/>
        </w:rPr>
        <w:t>Table S9.</w:t>
      </w:r>
      <w:r>
        <w:t xml:space="preserve"> Threshold sensitivity, full stack.</w:t>
      </w:r>
    </w:p>
    <w:tbl>
      <w:tblPr>
        <w:tblStyle w:val="Table"/>
        <w:tblW w:w="0" w:type="auto"/>
        <w:tblLook w:val="0020" w:firstRow="1" w:lastRow="0" w:firstColumn="0" w:lastColumn="0" w:noHBand="0" w:noVBand="0"/>
      </w:tblPr>
      <w:tblGrid>
        <w:gridCol w:w="2153"/>
        <w:gridCol w:w="1480"/>
        <w:gridCol w:w="1113"/>
        <w:gridCol w:w="1860"/>
      </w:tblGrid>
      <w:tr w:rsidR="00E93601" w14:paraId="668D4DBF" w14:textId="77777777" w:rsidTr="00E93601">
        <w:trPr>
          <w:cnfStyle w:val="100000000000" w:firstRow="1" w:lastRow="0" w:firstColumn="0" w:lastColumn="0" w:oddVBand="0" w:evenVBand="0" w:oddHBand="0" w:evenHBand="0" w:firstRowFirstColumn="0" w:firstRowLastColumn="0" w:lastRowFirstColumn="0" w:lastRowLastColumn="0"/>
          <w:tblHeader/>
        </w:trPr>
        <w:tc>
          <w:tcPr>
            <w:tcW w:w="0" w:type="auto"/>
          </w:tcPr>
          <w:p w14:paraId="668D4DBB" w14:textId="77777777" w:rsidR="00E93601" w:rsidRDefault="00BA0A6E" w:rsidP="00C31058">
            <w:pPr>
              <w:pStyle w:val="Compact"/>
            </w:pPr>
            <w:r>
              <w:lastRenderedPageBreak/>
              <w:t>Offset (grey levels)</w:t>
            </w:r>
          </w:p>
        </w:tc>
        <w:tc>
          <w:tcPr>
            <w:tcW w:w="0" w:type="auto"/>
          </w:tcPr>
          <w:p w14:paraId="668D4DBC" w14:textId="77777777" w:rsidR="00E93601" w:rsidRDefault="00BA0A6E" w:rsidP="00C31058">
            <w:pPr>
              <w:pStyle w:val="Compact"/>
            </w:pPr>
            <w:r>
              <w:t>Volume</w:t>
            </w:r>
          </w:p>
        </w:tc>
        <w:tc>
          <w:tcPr>
            <w:tcW w:w="0" w:type="auto"/>
          </w:tcPr>
          <w:p w14:paraId="668D4DBD" w14:textId="77777777" w:rsidR="00E93601" w:rsidRDefault="00BA0A6E" w:rsidP="00C31058">
            <w:pPr>
              <w:pStyle w:val="Compact"/>
            </w:pPr>
            <w:r>
              <w:t>vs ISO50</w:t>
            </w:r>
          </w:p>
        </w:tc>
        <w:tc>
          <w:tcPr>
            <w:tcW w:w="0" w:type="auto"/>
          </w:tcPr>
          <w:p w14:paraId="668D4DBE" w14:textId="77777777" w:rsidR="00E93601" w:rsidRDefault="00BA0A6E" w:rsidP="00C31058">
            <w:pPr>
              <w:pStyle w:val="Compact"/>
            </w:pPr>
            <w:r>
              <w:t>Relative density</w:t>
            </w:r>
          </w:p>
        </w:tc>
      </w:tr>
      <w:tr w:rsidR="00E93601" w14:paraId="668D4DC4" w14:textId="77777777">
        <w:tc>
          <w:tcPr>
            <w:tcW w:w="0" w:type="auto"/>
          </w:tcPr>
          <w:p w14:paraId="668D4DC0" w14:textId="77777777" w:rsidR="00E93601" w:rsidRDefault="00BA0A6E" w:rsidP="00C31058">
            <w:pPr>
              <w:pStyle w:val="Compact"/>
            </w:pPr>
            <w:r>
              <w:t>−</w:t>
            </w:r>
            <w:r>
              <w:t>300</w:t>
            </w:r>
          </w:p>
        </w:tc>
        <w:tc>
          <w:tcPr>
            <w:tcW w:w="0" w:type="auto"/>
          </w:tcPr>
          <w:p w14:paraId="668D4DC1" w14:textId="77777777" w:rsidR="00E93601" w:rsidRDefault="00BA0A6E" w:rsidP="00C31058">
            <w:pPr>
              <w:pStyle w:val="Compact"/>
            </w:pPr>
            <w:r>
              <w:t>14.885 mm³</w:t>
            </w:r>
          </w:p>
        </w:tc>
        <w:tc>
          <w:tcPr>
            <w:tcW w:w="0" w:type="auto"/>
          </w:tcPr>
          <w:p w14:paraId="668D4DC2" w14:textId="77777777" w:rsidR="00E93601" w:rsidRDefault="00BA0A6E" w:rsidP="00C31058">
            <w:pPr>
              <w:pStyle w:val="Compact"/>
            </w:pPr>
            <w:r>
              <w:t>+11.5 %</w:t>
            </w:r>
          </w:p>
        </w:tc>
        <w:tc>
          <w:tcPr>
            <w:tcW w:w="0" w:type="auto"/>
          </w:tcPr>
          <w:p w14:paraId="668D4DC3" w14:textId="77777777" w:rsidR="00E93601" w:rsidRDefault="00BA0A6E" w:rsidP="00C31058">
            <w:pPr>
              <w:pStyle w:val="Compact"/>
            </w:pPr>
            <w:r>
              <w:t>85.1 %TD</w:t>
            </w:r>
          </w:p>
        </w:tc>
      </w:tr>
      <w:tr w:rsidR="00E93601" w14:paraId="668D4DC9" w14:textId="77777777">
        <w:tc>
          <w:tcPr>
            <w:tcW w:w="0" w:type="auto"/>
          </w:tcPr>
          <w:p w14:paraId="668D4DC5" w14:textId="77777777" w:rsidR="00E93601" w:rsidRDefault="00BA0A6E" w:rsidP="00C31058">
            <w:pPr>
              <w:pStyle w:val="Compact"/>
            </w:pPr>
            <w:r>
              <w:t>−</w:t>
            </w:r>
            <w:r>
              <w:t>200</w:t>
            </w:r>
          </w:p>
        </w:tc>
        <w:tc>
          <w:tcPr>
            <w:tcW w:w="0" w:type="auto"/>
          </w:tcPr>
          <w:p w14:paraId="668D4DC6" w14:textId="77777777" w:rsidR="00E93601" w:rsidRDefault="00BA0A6E" w:rsidP="00C31058">
            <w:pPr>
              <w:pStyle w:val="Compact"/>
            </w:pPr>
            <w:r>
              <w:t>14.279 mm³</w:t>
            </w:r>
          </w:p>
        </w:tc>
        <w:tc>
          <w:tcPr>
            <w:tcW w:w="0" w:type="auto"/>
          </w:tcPr>
          <w:p w14:paraId="668D4DC7" w14:textId="77777777" w:rsidR="00E93601" w:rsidRDefault="00BA0A6E" w:rsidP="00C31058">
            <w:pPr>
              <w:pStyle w:val="Compact"/>
            </w:pPr>
            <w:r>
              <w:t>+7.0 %</w:t>
            </w:r>
          </w:p>
        </w:tc>
        <w:tc>
          <w:tcPr>
            <w:tcW w:w="0" w:type="auto"/>
          </w:tcPr>
          <w:p w14:paraId="668D4DC8" w14:textId="77777777" w:rsidR="00E93601" w:rsidRDefault="00BA0A6E" w:rsidP="00C31058">
            <w:pPr>
              <w:pStyle w:val="Compact"/>
            </w:pPr>
            <w:r>
              <w:t>88.8 %TD</w:t>
            </w:r>
          </w:p>
        </w:tc>
      </w:tr>
      <w:tr w:rsidR="00E93601" w14:paraId="668D4DCE" w14:textId="77777777">
        <w:tc>
          <w:tcPr>
            <w:tcW w:w="0" w:type="auto"/>
          </w:tcPr>
          <w:p w14:paraId="668D4DCA" w14:textId="77777777" w:rsidR="00E93601" w:rsidRDefault="00BA0A6E" w:rsidP="00C31058">
            <w:pPr>
              <w:pStyle w:val="Compact"/>
            </w:pPr>
            <w:r>
              <w:t>−</w:t>
            </w:r>
            <w:r>
              <w:t>100</w:t>
            </w:r>
          </w:p>
        </w:tc>
        <w:tc>
          <w:tcPr>
            <w:tcW w:w="0" w:type="auto"/>
          </w:tcPr>
          <w:p w14:paraId="668D4DCB" w14:textId="77777777" w:rsidR="00E93601" w:rsidRDefault="00BA0A6E" w:rsidP="00C31058">
            <w:pPr>
              <w:pStyle w:val="Compact"/>
            </w:pPr>
            <w:r>
              <w:t>13.778 mm³</w:t>
            </w:r>
          </w:p>
        </w:tc>
        <w:tc>
          <w:tcPr>
            <w:tcW w:w="0" w:type="auto"/>
          </w:tcPr>
          <w:p w14:paraId="668D4DCC" w14:textId="77777777" w:rsidR="00E93601" w:rsidRDefault="00BA0A6E" w:rsidP="00C31058">
            <w:pPr>
              <w:pStyle w:val="Compact"/>
            </w:pPr>
            <w:r>
              <w:t>+3.2 %</w:t>
            </w:r>
          </w:p>
        </w:tc>
        <w:tc>
          <w:tcPr>
            <w:tcW w:w="0" w:type="auto"/>
          </w:tcPr>
          <w:p w14:paraId="668D4DCD" w14:textId="77777777" w:rsidR="00E93601" w:rsidRDefault="00BA0A6E" w:rsidP="00C31058">
            <w:pPr>
              <w:pStyle w:val="Compact"/>
            </w:pPr>
            <w:r>
              <w:t>92.0 %TD</w:t>
            </w:r>
          </w:p>
        </w:tc>
      </w:tr>
      <w:tr w:rsidR="00E93601" w14:paraId="668D4DD3" w14:textId="77777777">
        <w:tc>
          <w:tcPr>
            <w:tcW w:w="0" w:type="auto"/>
          </w:tcPr>
          <w:p w14:paraId="668D4DCF" w14:textId="77777777" w:rsidR="00E93601" w:rsidRDefault="00BA0A6E" w:rsidP="00C31058">
            <w:pPr>
              <w:pStyle w:val="Compact"/>
            </w:pPr>
            <w:r>
              <w:t>−</w:t>
            </w:r>
            <w:r>
              <w:t>50</w:t>
            </w:r>
          </w:p>
        </w:tc>
        <w:tc>
          <w:tcPr>
            <w:tcW w:w="0" w:type="auto"/>
          </w:tcPr>
          <w:p w14:paraId="668D4DD0" w14:textId="77777777" w:rsidR="00E93601" w:rsidRDefault="00BA0A6E" w:rsidP="00C31058">
            <w:pPr>
              <w:pStyle w:val="Compact"/>
            </w:pPr>
            <w:r>
              <w:t>13.557 mm³</w:t>
            </w:r>
          </w:p>
        </w:tc>
        <w:tc>
          <w:tcPr>
            <w:tcW w:w="0" w:type="auto"/>
          </w:tcPr>
          <w:p w14:paraId="668D4DD1" w14:textId="77777777" w:rsidR="00E93601" w:rsidRDefault="00BA0A6E" w:rsidP="00C31058">
            <w:pPr>
              <w:pStyle w:val="Compact"/>
            </w:pPr>
            <w:r>
              <w:t>+1.5 %</w:t>
            </w:r>
          </w:p>
        </w:tc>
        <w:tc>
          <w:tcPr>
            <w:tcW w:w="0" w:type="auto"/>
          </w:tcPr>
          <w:p w14:paraId="668D4DD2" w14:textId="77777777" w:rsidR="00E93601" w:rsidRDefault="00BA0A6E" w:rsidP="00C31058">
            <w:pPr>
              <w:pStyle w:val="Compact"/>
            </w:pPr>
            <w:r>
              <w:t>93.5 %TD</w:t>
            </w:r>
          </w:p>
        </w:tc>
      </w:tr>
      <w:tr w:rsidR="00E93601" w14:paraId="668D4DD8" w14:textId="77777777">
        <w:tc>
          <w:tcPr>
            <w:tcW w:w="0" w:type="auto"/>
          </w:tcPr>
          <w:p w14:paraId="668D4DD4" w14:textId="77777777" w:rsidR="00E93601" w:rsidRDefault="00BA0A6E" w:rsidP="00C31058">
            <w:pPr>
              <w:pStyle w:val="Compact"/>
            </w:pPr>
            <w:r>
              <w:t>0</w:t>
            </w:r>
          </w:p>
        </w:tc>
        <w:tc>
          <w:tcPr>
            <w:tcW w:w="0" w:type="auto"/>
          </w:tcPr>
          <w:p w14:paraId="668D4DD5" w14:textId="77777777" w:rsidR="00E93601" w:rsidRDefault="00BA0A6E" w:rsidP="00C31058">
            <w:pPr>
              <w:pStyle w:val="Compact"/>
            </w:pPr>
            <w:r>
              <w:t>13.351 mm³</w:t>
            </w:r>
          </w:p>
        </w:tc>
        <w:tc>
          <w:tcPr>
            <w:tcW w:w="0" w:type="auto"/>
          </w:tcPr>
          <w:p w14:paraId="668D4DD6" w14:textId="77777777" w:rsidR="00E93601" w:rsidRDefault="00BA0A6E" w:rsidP="00C31058">
            <w:pPr>
              <w:pStyle w:val="Compact"/>
            </w:pPr>
            <w:r>
              <w:t>—</w:t>
            </w:r>
          </w:p>
        </w:tc>
        <w:tc>
          <w:tcPr>
            <w:tcW w:w="0" w:type="auto"/>
          </w:tcPr>
          <w:p w14:paraId="668D4DD7" w14:textId="77777777" w:rsidR="00E93601" w:rsidRDefault="00BA0A6E" w:rsidP="00C31058">
            <w:pPr>
              <w:pStyle w:val="Compact"/>
            </w:pPr>
            <w:r>
              <w:t>94.9 %TD</w:t>
            </w:r>
          </w:p>
        </w:tc>
      </w:tr>
      <w:tr w:rsidR="00E93601" w14:paraId="668D4DDD" w14:textId="77777777">
        <w:tc>
          <w:tcPr>
            <w:tcW w:w="0" w:type="auto"/>
          </w:tcPr>
          <w:p w14:paraId="668D4DD9" w14:textId="77777777" w:rsidR="00E93601" w:rsidRDefault="00BA0A6E" w:rsidP="00C31058">
            <w:pPr>
              <w:pStyle w:val="Compact"/>
            </w:pPr>
            <w:r>
              <w:t>+50</w:t>
            </w:r>
          </w:p>
        </w:tc>
        <w:tc>
          <w:tcPr>
            <w:tcW w:w="0" w:type="auto"/>
          </w:tcPr>
          <w:p w14:paraId="668D4DDA" w14:textId="77777777" w:rsidR="00E93601" w:rsidRDefault="00BA0A6E" w:rsidP="00C31058">
            <w:pPr>
              <w:pStyle w:val="Compact"/>
            </w:pPr>
            <w:r>
              <w:t>13.158 mm³</w:t>
            </w:r>
          </w:p>
        </w:tc>
        <w:tc>
          <w:tcPr>
            <w:tcW w:w="0" w:type="auto"/>
          </w:tcPr>
          <w:p w14:paraId="668D4DDB" w14:textId="77777777" w:rsidR="00E93601" w:rsidRDefault="00BA0A6E" w:rsidP="00C31058">
            <w:pPr>
              <w:pStyle w:val="Compact"/>
            </w:pPr>
            <w:r>
              <w:t>−</w:t>
            </w:r>
            <w:r>
              <w:t>1.5 %</w:t>
            </w:r>
          </w:p>
        </w:tc>
        <w:tc>
          <w:tcPr>
            <w:tcW w:w="0" w:type="auto"/>
          </w:tcPr>
          <w:p w14:paraId="668D4DDC" w14:textId="77777777" w:rsidR="00E93601" w:rsidRDefault="00BA0A6E" w:rsidP="00C31058">
            <w:pPr>
              <w:pStyle w:val="Compact"/>
            </w:pPr>
            <w:r>
              <w:t>96.3 %TD</w:t>
            </w:r>
          </w:p>
        </w:tc>
      </w:tr>
      <w:tr w:rsidR="00E93601" w14:paraId="668D4DE2" w14:textId="77777777">
        <w:tc>
          <w:tcPr>
            <w:tcW w:w="0" w:type="auto"/>
          </w:tcPr>
          <w:p w14:paraId="668D4DDE" w14:textId="77777777" w:rsidR="00E93601" w:rsidRDefault="00BA0A6E" w:rsidP="00C31058">
            <w:pPr>
              <w:pStyle w:val="Compact"/>
            </w:pPr>
            <w:r>
              <w:t>+100</w:t>
            </w:r>
          </w:p>
        </w:tc>
        <w:tc>
          <w:tcPr>
            <w:tcW w:w="0" w:type="auto"/>
          </w:tcPr>
          <w:p w14:paraId="668D4DDF" w14:textId="77777777" w:rsidR="00E93601" w:rsidRDefault="00BA0A6E" w:rsidP="00C31058">
            <w:pPr>
              <w:pStyle w:val="Compact"/>
            </w:pPr>
            <w:r>
              <w:t>12.976 mm³</w:t>
            </w:r>
          </w:p>
        </w:tc>
        <w:tc>
          <w:tcPr>
            <w:tcW w:w="0" w:type="auto"/>
          </w:tcPr>
          <w:p w14:paraId="668D4DE0" w14:textId="77777777" w:rsidR="00E93601" w:rsidRDefault="00BA0A6E" w:rsidP="00C31058">
            <w:pPr>
              <w:pStyle w:val="Compact"/>
            </w:pPr>
            <w:r>
              <w:t>−</w:t>
            </w:r>
            <w:r>
              <w:t>2.8 %</w:t>
            </w:r>
          </w:p>
        </w:tc>
        <w:tc>
          <w:tcPr>
            <w:tcW w:w="0" w:type="auto"/>
          </w:tcPr>
          <w:p w14:paraId="668D4DE1" w14:textId="77777777" w:rsidR="00E93601" w:rsidRDefault="00BA0A6E" w:rsidP="00C31058">
            <w:pPr>
              <w:pStyle w:val="Compact"/>
            </w:pPr>
            <w:r>
              <w:t>97.7 %TD</w:t>
            </w:r>
          </w:p>
        </w:tc>
      </w:tr>
      <w:tr w:rsidR="00E93601" w14:paraId="668D4DE7" w14:textId="77777777">
        <w:tc>
          <w:tcPr>
            <w:tcW w:w="0" w:type="auto"/>
          </w:tcPr>
          <w:p w14:paraId="668D4DE3" w14:textId="77777777" w:rsidR="00E93601" w:rsidRDefault="00BA0A6E" w:rsidP="00C31058">
            <w:pPr>
              <w:pStyle w:val="Compact"/>
            </w:pPr>
            <w:r>
              <w:t>+200</w:t>
            </w:r>
          </w:p>
        </w:tc>
        <w:tc>
          <w:tcPr>
            <w:tcW w:w="0" w:type="auto"/>
          </w:tcPr>
          <w:p w14:paraId="668D4DE4" w14:textId="77777777" w:rsidR="00E93601" w:rsidRDefault="00BA0A6E" w:rsidP="00C31058">
            <w:pPr>
              <w:pStyle w:val="Compact"/>
            </w:pPr>
            <w:r>
              <w:t>12.634 mm³</w:t>
            </w:r>
          </w:p>
        </w:tc>
        <w:tc>
          <w:tcPr>
            <w:tcW w:w="0" w:type="auto"/>
          </w:tcPr>
          <w:p w14:paraId="668D4DE5" w14:textId="77777777" w:rsidR="00E93601" w:rsidRDefault="00BA0A6E" w:rsidP="00C31058">
            <w:pPr>
              <w:pStyle w:val="Compact"/>
            </w:pPr>
            <w:r>
              <w:t>−</w:t>
            </w:r>
            <w:r>
              <w:t>5.4 %</w:t>
            </w:r>
          </w:p>
        </w:tc>
        <w:tc>
          <w:tcPr>
            <w:tcW w:w="0" w:type="auto"/>
          </w:tcPr>
          <w:p w14:paraId="668D4DE6" w14:textId="77777777" w:rsidR="00E93601" w:rsidRDefault="00BA0A6E" w:rsidP="00C31058">
            <w:pPr>
              <w:pStyle w:val="Compact"/>
            </w:pPr>
            <w:r>
              <w:t>100.3 %TD</w:t>
            </w:r>
          </w:p>
        </w:tc>
      </w:tr>
      <w:tr w:rsidR="00E93601" w14:paraId="668D4DEC" w14:textId="77777777">
        <w:tc>
          <w:tcPr>
            <w:tcW w:w="0" w:type="auto"/>
          </w:tcPr>
          <w:p w14:paraId="668D4DE8" w14:textId="77777777" w:rsidR="00E93601" w:rsidRDefault="00BA0A6E" w:rsidP="00C31058">
            <w:pPr>
              <w:pStyle w:val="Compact"/>
            </w:pPr>
            <w:r>
              <w:t>+300</w:t>
            </w:r>
          </w:p>
        </w:tc>
        <w:tc>
          <w:tcPr>
            <w:tcW w:w="0" w:type="auto"/>
          </w:tcPr>
          <w:p w14:paraId="668D4DE9" w14:textId="77777777" w:rsidR="00E93601" w:rsidRDefault="00BA0A6E" w:rsidP="00C31058">
            <w:pPr>
              <w:pStyle w:val="Compact"/>
            </w:pPr>
            <w:r>
              <w:t>12.305 mm³</w:t>
            </w:r>
          </w:p>
        </w:tc>
        <w:tc>
          <w:tcPr>
            <w:tcW w:w="0" w:type="auto"/>
          </w:tcPr>
          <w:p w14:paraId="668D4DEA" w14:textId="77777777" w:rsidR="00E93601" w:rsidRDefault="00BA0A6E" w:rsidP="00C31058">
            <w:pPr>
              <w:pStyle w:val="Compact"/>
            </w:pPr>
            <w:r>
              <w:t>−</w:t>
            </w:r>
            <w:r>
              <w:t>7.8 %</w:t>
            </w:r>
          </w:p>
        </w:tc>
        <w:tc>
          <w:tcPr>
            <w:tcW w:w="0" w:type="auto"/>
          </w:tcPr>
          <w:p w14:paraId="668D4DEB" w14:textId="77777777" w:rsidR="00E93601" w:rsidRDefault="00BA0A6E" w:rsidP="00C31058">
            <w:pPr>
              <w:pStyle w:val="Compact"/>
            </w:pPr>
            <w:r>
              <w:t>103.0 %TD</w:t>
            </w:r>
          </w:p>
        </w:tc>
      </w:tr>
    </w:tbl>
    <w:p w14:paraId="668D4DED" w14:textId="77777777" w:rsidR="00E93601" w:rsidRDefault="00BA0A6E" w:rsidP="00C31058">
      <w:pPr>
        <w:pStyle w:val="BodyText"/>
      </w:pPr>
      <w:r>
        <w:t>A threshold offset of ±100 grey levels — 3.1 % of the ceramic-to-medium contrast of 3,218 — changes volume by ∓2.8 %, adopted as ±3 percentage points of density uncertainty. Note that an offset of +200 or greater implies a relative density above 100 %, which is not physically admissible and therefore bounds the threshold from above independently of the sensitivity argument.</w:t>
      </w:r>
    </w:p>
    <w:p w14:paraId="668D4DEE" w14:textId="77777777" w:rsidR="00E93601" w:rsidRDefault="00BA0A6E" w:rsidP="00C31058">
      <w:pPr>
        <w:pStyle w:val="BodyText"/>
      </w:pPr>
      <w:r>
        <w:rPr>
          <w:b/>
          <w:bCs/>
        </w:rPr>
        <w:t>Independent corroboration.</w:t>
      </w:r>
      <w:r>
        <w:t xml:space="preserve"> A surface mesh of the same dataset, generated separately (Dragonfly 3D World, threshold set by visual inspection rather than ISO50) gave a volume of 13.2199 mm³, corresponding to 95.9 %TD — agreeing with the ISO50 determination to 1.0 %. The mesh was verified watertight (11,203,218 edges, all two-manifold, zero boundary edges).</w:t>
      </w:r>
    </w:p>
    <w:p w14:paraId="668D4DEF" w14:textId="77777777" w:rsidR="00E93601" w:rsidRDefault="00BA0A6E" w:rsidP="00C31058">
      <w:pPr>
        <w:pStyle w:val="BodyText"/>
      </w:pPr>
      <w:r>
        <w:rPr>
          <w:b/>
          <w:bCs/>
        </w:rPr>
        <w:t>Count-based corroboration.</w:t>
      </w:r>
      <w:r>
        <w:t xml:space="preserve"> 381 parts were identifiable as tetrapods after scanning, with 11 further fragments too small to identify, giving an implied volume of 0.0347 mm³ per part. Relative density does not depend on this count, being the quotient of mass and volume measured on the same batch; the count instead checks that the scanned region contained the parts that were weighed. Expected mesh surface area for </w:t>
      </w:r>
      <w:r>
        <w:rPr>
          <w:i/>
          <w:iCs/>
        </w:rPr>
        <w:t>N</w:t>
      </w:r>
      <w:r>
        <w:t xml:space="preserve"> parts of this volume, assuming the parent model’s shape scaled isotropically:</w:t>
      </w:r>
    </w:p>
    <w:p w14:paraId="668D4DF0" w14:textId="77777777" w:rsidR="00E93601" w:rsidRDefault="00BA0A6E" w:rsidP="00C31058">
      <w:pPr>
        <w:pStyle w:val="BodyText"/>
      </w:pPr>
      <w:r>
        <w:rPr>
          <w:b/>
          <w:bCs/>
        </w:rPr>
        <w:t>Table S10.</w:t>
      </w:r>
      <w:r>
        <w:t xml:space="preserve"> Expected versus actual mesh surface area, by assumed part count.</w:t>
      </w:r>
    </w:p>
    <w:tbl>
      <w:tblPr>
        <w:tblStyle w:val="Table"/>
        <w:tblW w:w="0" w:type="auto"/>
        <w:tblLook w:val="0020" w:firstRow="1" w:lastRow="0" w:firstColumn="0" w:lastColumn="0" w:noHBand="0" w:noVBand="0"/>
      </w:tblPr>
      <w:tblGrid>
        <w:gridCol w:w="615"/>
        <w:gridCol w:w="1890"/>
        <w:gridCol w:w="1959"/>
        <w:gridCol w:w="1909"/>
      </w:tblGrid>
      <w:tr w:rsidR="00E93601" w14:paraId="668D4DF5" w14:textId="77777777" w:rsidTr="00E93601">
        <w:trPr>
          <w:cnfStyle w:val="100000000000" w:firstRow="1" w:lastRow="0" w:firstColumn="0" w:lastColumn="0" w:oddVBand="0" w:evenVBand="0" w:oddHBand="0" w:evenHBand="0" w:firstRowFirstColumn="0" w:firstRowLastColumn="0" w:lastRowFirstColumn="0" w:lastRowLastColumn="0"/>
          <w:tblHeader/>
        </w:trPr>
        <w:tc>
          <w:tcPr>
            <w:tcW w:w="0" w:type="auto"/>
          </w:tcPr>
          <w:p w14:paraId="668D4DF1" w14:textId="77777777" w:rsidR="00E93601" w:rsidRDefault="00BA0A6E" w:rsidP="00C31058">
            <w:pPr>
              <w:pStyle w:val="Compact"/>
            </w:pPr>
            <w:r>
              <w:t>N</w:t>
            </w:r>
          </w:p>
        </w:tc>
        <w:tc>
          <w:tcPr>
            <w:tcW w:w="0" w:type="auto"/>
          </w:tcPr>
          <w:p w14:paraId="668D4DF2" w14:textId="77777777" w:rsidR="00E93601" w:rsidRDefault="00BA0A6E" w:rsidP="00C31058">
            <w:pPr>
              <w:pStyle w:val="Compact"/>
            </w:pPr>
            <w:r>
              <w:t>Volume per part</w:t>
            </w:r>
          </w:p>
        </w:tc>
        <w:tc>
          <w:tcPr>
            <w:tcW w:w="0" w:type="auto"/>
          </w:tcPr>
          <w:p w14:paraId="668D4DF3" w14:textId="77777777" w:rsidR="00E93601" w:rsidRDefault="00BA0A6E" w:rsidP="00C31058">
            <w:pPr>
              <w:pStyle w:val="Compact"/>
            </w:pPr>
            <w:r>
              <w:t>Expected surface</w:t>
            </w:r>
          </w:p>
        </w:tc>
        <w:tc>
          <w:tcPr>
            <w:tcW w:w="0" w:type="auto"/>
          </w:tcPr>
          <w:p w14:paraId="668D4DF4" w14:textId="77777777" w:rsidR="00E93601" w:rsidRDefault="00BA0A6E" w:rsidP="00C31058">
            <w:pPr>
              <w:pStyle w:val="Compact"/>
            </w:pPr>
            <w:r>
              <w:t>Mesh / expected</w:t>
            </w:r>
          </w:p>
        </w:tc>
      </w:tr>
      <w:tr w:rsidR="00E93601" w14:paraId="668D4DFA" w14:textId="77777777">
        <w:tc>
          <w:tcPr>
            <w:tcW w:w="0" w:type="auto"/>
          </w:tcPr>
          <w:p w14:paraId="668D4DF6" w14:textId="77777777" w:rsidR="00E93601" w:rsidRDefault="00BA0A6E" w:rsidP="00C31058">
            <w:pPr>
              <w:pStyle w:val="Compact"/>
            </w:pPr>
            <w:r>
              <w:t>285</w:t>
            </w:r>
          </w:p>
        </w:tc>
        <w:tc>
          <w:tcPr>
            <w:tcW w:w="0" w:type="auto"/>
          </w:tcPr>
          <w:p w14:paraId="668D4DF7" w14:textId="77777777" w:rsidR="00E93601" w:rsidRDefault="00BA0A6E" w:rsidP="00C31058">
            <w:pPr>
              <w:pStyle w:val="Compact"/>
            </w:pPr>
            <w:r>
              <w:t>0.0464 mm³</w:t>
            </w:r>
          </w:p>
        </w:tc>
        <w:tc>
          <w:tcPr>
            <w:tcW w:w="0" w:type="auto"/>
          </w:tcPr>
          <w:p w14:paraId="668D4DF8" w14:textId="77777777" w:rsidR="00E93601" w:rsidRDefault="00BA0A6E" w:rsidP="00C31058">
            <w:pPr>
              <w:pStyle w:val="Compact"/>
            </w:pPr>
            <w:r>
              <w:t>308.3 mm²</w:t>
            </w:r>
          </w:p>
        </w:tc>
        <w:tc>
          <w:tcPr>
            <w:tcW w:w="0" w:type="auto"/>
          </w:tcPr>
          <w:p w14:paraId="668D4DF9" w14:textId="77777777" w:rsidR="00E93601" w:rsidRDefault="00BA0A6E" w:rsidP="00C31058">
            <w:pPr>
              <w:pStyle w:val="Compact"/>
            </w:pPr>
            <w:r>
              <w:t>1.40</w:t>
            </w:r>
          </w:p>
        </w:tc>
      </w:tr>
      <w:tr w:rsidR="00E93601" w14:paraId="668D4DFF" w14:textId="77777777">
        <w:tc>
          <w:tcPr>
            <w:tcW w:w="0" w:type="auto"/>
          </w:tcPr>
          <w:p w14:paraId="668D4DFB" w14:textId="77777777" w:rsidR="00E93601" w:rsidRDefault="00BA0A6E" w:rsidP="00C31058">
            <w:pPr>
              <w:pStyle w:val="Compact"/>
            </w:pPr>
            <w:r>
              <w:t>381</w:t>
            </w:r>
          </w:p>
        </w:tc>
        <w:tc>
          <w:tcPr>
            <w:tcW w:w="0" w:type="auto"/>
          </w:tcPr>
          <w:p w14:paraId="668D4DFC" w14:textId="77777777" w:rsidR="00E93601" w:rsidRDefault="00BA0A6E" w:rsidP="00C31058">
            <w:pPr>
              <w:pStyle w:val="Compact"/>
            </w:pPr>
            <w:r>
              <w:t>0.0347 mm³</w:t>
            </w:r>
          </w:p>
        </w:tc>
        <w:tc>
          <w:tcPr>
            <w:tcW w:w="0" w:type="auto"/>
          </w:tcPr>
          <w:p w14:paraId="668D4DFD" w14:textId="77777777" w:rsidR="00E93601" w:rsidRDefault="00BA0A6E" w:rsidP="00C31058">
            <w:pPr>
              <w:pStyle w:val="Compact"/>
            </w:pPr>
            <w:r>
              <w:t>339.6 mm²</w:t>
            </w:r>
          </w:p>
        </w:tc>
        <w:tc>
          <w:tcPr>
            <w:tcW w:w="0" w:type="auto"/>
          </w:tcPr>
          <w:p w14:paraId="668D4DFE" w14:textId="77777777" w:rsidR="00E93601" w:rsidRDefault="00BA0A6E" w:rsidP="00C31058">
            <w:pPr>
              <w:pStyle w:val="Compact"/>
            </w:pPr>
            <w:r>
              <w:t>1.27</w:t>
            </w:r>
          </w:p>
        </w:tc>
      </w:tr>
    </w:tbl>
    <w:p w14:paraId="668D4E00" w14:textId="77777777" w:rsidR="00E93601" w:rsidRDefault="00BA0A6E" w:rsidP="00C31058">
      <w:pPr>
        <w:pStyle w:val="BodyText"/>
      </w:pPr>
      <w:r>
        <w:t>Marching-cubes surfaces typically carry a 10–30 % excess over ideal geometry from voxel-scale roughness, consistent with the counted value of 381 and less consistent with 285. This comparison is indicative rather than conclusive: contact between parts in the pile removes surface from the mesh, while fracture faces on damaged parts add surface, and neither effect was quantified; the two act in opposite directions.</w:t>
      </w:r>
    </w:p>
    <w:p w14:paraId="668D4E01" w14:textId="77777777" w:rsidR="00E93601" w:rsidRDefault="00BA0A6E">
      <w:pPr>
        <w:pStyle w:val="Heading3"/>
      </w:pPr>
      <w:bookmarkStart w:id="22" w:name="X26b421242bf2db446f83b5e724c0342fa928867"/>
      <w:bookmarkEnd w:id="21"/>
      <w:r>
        <w:t>S</w:t>
      </w:r>
      <w:r>
        <w:t>3.4 Consistency with supplier specifications</w:t>
      </w:r>
    </w:p>
    <w:p w14:paraId="668D4E02" w14:textId="77777777" w:rsidR="00E93601" w:rsidRDefault="00BA0A6E" w:rsidP="00C31058">
      <w:pPr>
        <w:pStyle w:val="FirstParagraph"/>
      </w:pPr>
      <w:r>
        <w:t>Two independent predictions are available, from different supplier sources.</w:t>
      </w:r>
    </w:p>
    <w:p w14:paraId="668D4E03" w14:textId="77777777" w:rsidR="00E93601" w:rsidRDefault="00BA0A6E" w:rsidP="00C31058">
      <w:pPr>
        <w:pStyle w:val="BodyText"/>
      </w:pPr>
      <w:r>
        <w:rPr>
          <w:b/>
          <w:bCs/>
        </w:rPr>
        <w:lastRenderedPageBreak/>
        <w:t>From the shrinkage compensation factor and solid loading</w:t>
      </w:r>
      <w:r>
        <w:t xml:space="preserve"> (calculated, this work): the specified lateral compensation of 1.29 implies a linear shrinkage of 22.5 % and a volume ratio of 0.4658; combined with 44.7 vol % solid loading, this predicts 96.0 %TD. Including the build-direction factor (1.33) as well gives 98.9 %TD — see the note below on why the lateral factor alone is preferred.</w:t>
      </w:r>
    </w:p>
    <w:p w14:paraId="668D4E04" w14:textId="77777777" w:rsidR="00E93601" w:rsidRDefault="00BA0A6E" w:rsidP="00C31058">
      <w:pPr>
        <w:pStyle w:val="BodyText"/>
      </w:pPr>
      <w:r>
        <w:rPr>
          <w:b/>
          <w:bCs/>
        </w:rPr>
        <w:t>From the supplier directly:</w:t>
      </w:r>
      <w:r>
        <w:t xml:space="preserve"> the supplier has stated an expected relative density of 94–97 %TD at 1300 °C, depending on part volume, for their currently qualified material grade, and has since confirmed on inspection that the batch </w:t>
      </w:r>
      <w:commentRangeStart w:id="23"/>
      <w:r>
        <w:t>used here corresponds to that product</w:t>
      </w:r>
      <w:commentRangeEnd w:id="23"/>
      <w:r w:rsidR="003A42BB">
        <w:rPr>
          <w:rStyle w:val="CommentReference"/>
          <w:sz w:val="24"/>
          <w:szCs w:val="24"/>
        </w:rPr>
        <w:commentReference w:id="23"/>
      </w:r>
      <w:r>
        <w:t>.</w:t>
      </w:r>
    </w:p>
    <w:p w14:paraId="668D4E05" w14:textId="77777777" w:rsidR="00E93601" w:rsidRDefault="00BA0A6E" w:rsidP="00C31058">
      <w:pPr>
        <w:pStyle w:val="BodyText"/>
      </w:pPr>
      <w:r>
        <w:rPr>
          <w:b/>
          <w:bCs/>
        </w:rPr>
        <w:t>Table S11.</w:t>
      </w:r>
      <w:r>
        <w:t xml:space="preserve"> Relative density, measured and predicted.</w:t>
      </w:r>
    </w:p>
    <w:tbl>
      <w:tblPr>
        <w:tblStyle w:val="Table"/>
        <w:tblW w:w="5000" w:type="pct"/>
        <w:tblLook w:val="0020" w:firstRow="1" w:lastRow="0" w:firstColumn="0" w:lastColumn="0" w:noHBand="0" w:noVBand="0"/>
      </w:tblPr>
      <w:tblGrid>
        <w:gridCol w:w="6116"/>
        <w:gridCol w:w="4072"/>
      </w:tblGrid>
      <w:tr w:rsidR="00E93601" w14:paraId="668D4E08" w14:textId="77777777" w:rsidTr="00E93601">
        <w:trPr>
          <w:cnfStyle w:val="100000000000" w:firstRow="1" w:lastRow="0" w:firstColumn="0" w:lastColumn="0" w:oddVBand="0" w:evenVBand="0" w:oddHBand="0" w:evenHBand="0" w:firstRowFirstColumn="0" w:firstRowLastColumn="0" w:lastRowFirstColumn="0" w:lastRowLastColumn="0"/>
          <w:tblHeader/>
        </w:trPr>
        <w:tc>
          <w:tcPr>
            <w:tcW w:w="0" w:type="auto"/>
          </w:tcPr>
          <w:p w14:paraId="668D4E06" w14:textId="77777777" w:rsidR="00E93601" w:rsidRDefault="00BA0A6E" w:rsidP="00C31058">
            <w:pPr>
              <w:pStyle w:val="Compact"/>
            </w:pPr>
            <w:r>
              <w:t>Basis</w:t>
            </w:r>
          </w:p>
        </w:tc>
        <w:tc>
          <w:tcPr>
            <w:tcW w:w="0" w:type="auto"/>
          </w:tcPr>
          <w:p w14:paraId="668D4E07" w14:textId="77777777" w:rsidR="00E93601" w:rsidRDefault="00BA0A6E" w:rsidP="00C31058">
            <w:pPr>
              <w:pStyle w:val="Compact"/>
            </w:pPr>
            <w:r>
              <w:t>Predicted / measured relative density</w:t>
            </w:r>
          </w:p>
        </w:tc>
      </w:tr>
      <w:tr w:rsidR="00E93601" w14:paraId="668D4E0B" w14:textId="77777777">
        <w:tc>
          <w:tcPr>
            <w:tcW w:w="0" w:type="auto"/>
          </w:tcPr>
          <w:p w14:paraId="668D4E09" w14:textId="77777777" w:rsidR="00E93601" w:rsidRDefault="00BA0A6E" w:rsidP="00C31058">
            <w:pPr>
              <w:pStyle w:val="Compact"/>
            </w:pPr>
            <w:r>
              <w:t>Compensation factor, lateral only</w:t>
            </w:r>
          </w:p>
        </w:tc>
        <w:tc>
          <w:tcPr>
            <w:tcW w:w="0" w:type="auto"/>
          </w:tcPr>
          <w:p w14:paraId="668D4E0A" w14:textId="77777777" w:rsidR="00E93601" w:rsidRDefault="00BA0A6E" w:rsidP="00C31058">
            <w:pPr>
              <w:pStyle w:val="Compact"/>
            </w:pPr>
            <w:r>
              <w:t>96.0 %TD</w:t>
            </w:r>
          </w:p>
        </w:tc>
      </w:tr>
      <w:tr w:rsidR="00E93601" w14:paraId="668D4E0E" w14:textId="77777777">
        <w:tc>
          <w:tcPr>
            <w:tcW w:w="0" w:type="auto"/>
          </w:tcPr>
          <w:p w14:paraId="668D4E0C" w14:textId="77777777" w:rsidR="00E93601" w:rsidRDefault="00BA0A6E" w:rsidP="00C31058">
            <w:pPr>
              <w:pStyle w:val="Compact"/>
            </w:pPr>
            <w:r>
              <w:t>Compensation factor, lateral + build-direction</w:t>
            </w:r>
          </w:p>
        </w:tc>
        <w:tc>
          <w:tcPr>
            <w:tcW w:w="0" w:type="auto"/>
          </w:tcPr>
          <w:p w14:paraId="668D4E0D" w14:textId="77777777" w:rsidR="00E93601" w:rsidRDefault="00BA0A6E" w:rsidP="00C31058">
            <w:pPr>
              <w:pStyle w:val="Compact"/>
            </w:pPr>
            <w:r>
              <w:t>98.9 %TD</w:t>
            </w:r>
          </w:p>
        </w:tc>
      </w:tr>
      <w:tr w:rsidR="00E93601" w14:paraId="668D4E11" w14:textId="77777777">
        <w:tc>
          <w:tcPr>
            <w:tcW w:w="0" w:type="auto"/>
          </w:tcPr>
          <w:p w14:paraId="668D4E0F" w14:textId="77777777" w:rsidR="00E93601" w:rsidRDefault="00BA0A6E" w:rsidP="00C31058">
            <w:pPr>
              <w:pStyle w:val="Compact"/>
            </w:pPr>
            <w:r>
              <w:t>Supplier-stated range (confirmed applicable to this batch)</w:t>
            </w:r>
          </w:p>
        </w:tc>
        <w:tc>
          <w:tcPr>
            <w:tcW w:w="0" w:type="auto"/>
          </w:tcPr>
          <w:p w14:paraId="668D4E10" w14:textId="77777777" w:rsidR="00E93601" w:rsidRDefault="00BA0A6E" w:rsidP="00C31058">
            <w:pPr>
              <w:pStyle w:val="Compact"/>
            </w:pPr>
            <w:r>
              <w:t>94–97 %TD</w:t>
            </w:r>
          </w:p>
        </w:tc>
      </w:tr>
      <w:tr w:rsidR="00E93601" w14:paraId="668D4E14" w14:textId="77777777">
        <w:tc>
          <w:tcPr>
            <w:tcW w:w="0" w:type="auto"/>
          </w:tcPr>
          <w:p w14:paraId="668D4E12" w14:textId="77777777" w:rsidR="00E93601" w:rsidRDefault="00BA0A6E" w:rsidP="00C31058">
            <w:pPr>
              <w:pStyle w:val="Compact"/>
            </w:pPr>
            <w:r>
              <w:t>Measured (balance and micro-CT, this work)</w:t>
            </w:r>
          </w:p>
        </w:tc>
        <w:tc>
          <w:tcPr>
            <w:tcW w:w="0" w:type="auto"/>
          </w:tcPr>
          <w:p w14:paraId="668D4E13" w14:textId="77777777" w:rsidR="00E93601" w:rsidRDefault="00BA0A6E" w:rsidP="00C31058">
            <w:pPr>
              <w:pStyle w:val="Compact"/>
            </w:pPr>
            <w:r>
              <w:t>94.9 %TD</w:t>
            </w:r>
          </w:p>
        </w:tc>
      </w:tr>
    </w:tbl>
    <w:p w14:paraId="668D4E15" w14:textId="77777777" w:rsidR="00E93601" w:rsidRDefault="00BA0A6E" w:rsidP="00C31058">
      <w:pPr>
        <w:pStyle w:val="BodyText"/>
      </w:pPr>
      <w:r>
        <w:t>The measured value is consistent with both predictions, sitting inside the supplier-stated range and at the lower edge of the compensation-factor prediction.</w:t>
      </w:r>
    </w:p>
    <w:p w14:paraId="668D4E16" w14:textId="77777777" w:rsidR="00E93601" w:rsidRDefault="00BA0A6E" w:rsidP="00C31058">
      <w:pPr>
        <w:pStyle w:val="BodyText"/>
      </w:pPr>
      <w:r>
        <w:t>The build-direction factor is treated as secondary in the main text because cure depth in vat photopolymerization deliberately exceeds the layer thickness to bond successive layers, so that factor corrects for over-build as well as shrinkage; this is a reasoned interpretation rather than a measurement. The lateral-only prediction is also sensitive to the assumed solid loading: 43.0 vol % gives 92.3 %TD and 46.0 vol % gives 98.7 %TD.</w:t>
      </w:r>
    </w:p>
    <w:p w14:paraId="668D4E17" w14:textId="77777777" w:rsidR="00E93601" w:rsidRDefault="00BA0A6E">
      <w:pPr>
        <w:pStyle w:val="Heading3"/>
      </w:pPr>
      <w:bookmarkStart w:id="24" w:name="s3.5-cube-batch-final-determination"/>
      <w:bookmarkEnd w:id="22"/>
      <w:r>
        <w:t>S</w:t>
      </w:r>
      <w:r>
        <w:t>3.5 Cube batch — final determination</w:t>
      </w:r>
    </w:p>
    <w:p w14:paraId="668D4E18" w14:textId="77777777" w:rsidR="00E93601" w:rsidRDefault="00BA0A6E" w:rsidP="00C31058">
      <w:pPr>
        <w:pStyle w:val="FirstParagraph"/>
      </w:pPr>
      <w:r>
        <w:rPr>
          <w:b/>
          <w:bCs/>
        </w:rPr>
        <w:t>Table S12.</w:t>
      </w:r>
      <w:r>
        <w:t xml:space="preserve"> Cube ISO50 determination, full stack (8-bit, 452 slices, sample holder excluded from the slice at which the filled fraction of the vial cross-section plateaus).</w:t>
      </w:r>
    </w:p>
    <w:tbl>
      <w:tblPr>
        <w:tblStyle w:val="Table"/>
        <w:tblW w:w="0" w:type="auto"/>
        <w:tblLook w:val="0020" w:firstRow="1" w:lastRow="0" w:firstColumn="0" w:lastColumn="0" w:noHBand="0" w:noVBand="0"/>
      </w:tblPr>
      <w:tblGrid>
        <w:gridCol w:w="3280"/>
        <w:gridCol w:w="1613"/>
      </w:tblGrid>
      <w:tr w:rsidR="00E93601" w14:paraId="668D4E1B" w14:textId="77777777" w:rsidTr="00E93601">
        <w:trPr>
          <w:cnfStyle w:val="100000000000" w:firstRow="1" w:lastRow="0" w:firstColumn="0" w:lastColumn="0" w:oddVBand="0" w:evenVBand="0" w:oddHBand="0" w:evenHBand="0" w:firstRowFirstColumn="0" w:firstRowLastColumn="0" w:lastRowFirstColumn="0" w:lastRowLastColumn="0"/>
          <w:tblHeader/>
        </w:trPr>
        <w:tc>
          <w:tcPr>
            <w:tcW w:w="0" w:type="auto"/>
          </w:tcPr>
          <w:p w14:paraId="668D4E19" w14:textId="77777777" w:rsidR="00E93601" w:rsidRDefault="00BA0A6E" w:rsidP="00C31058">
            <w:pPr>
              <w:pStyle w:val="Compact"/>
            </w:pPr>
            <w:r>
              <w:t>Quantity</w:t>
            </w:r>
          </w:p>
        </w:tc>
        <w:tc>
          <w:tcPr>
            <w:tcW w:w="0" w:type="auto"/>
          </w:tcPr>
          <w:p w14:paraId="668D4E1A" w14:textId="77777777" w:rsidR="00E93601" w:rsidRDefault="00BA0A6E" w:rsidP="00C31058">
            <w:pPr>
              <w:pStyle w:val="Compact"/>
            </w:pPr>
            <w:r>
              <w:t>Value</w:t>
            </w:r>
          </w:p>
        </w:tc>
      </w:tr>
      <w:tr w:rsidR="00E93601" w14:paraId="668D4E1E" w14:textId="77777777">
        <w:tc>
          <w:tcPr>
            <w:tcW w:w="0" w:type="auto"/>
          </w:tcPr>
          <w:p w14:paraId="668D4E1C" w14:textId="77777777" w:rsidR="00E93601" w:rsidRDefault="00BA0A6E" w:rsidP="00C31058">
            <w:pPr>
              <w:pStyle w:val="Compact"/>
            </w:pPr>
            <w:r>
              <w:t>Ceramic level (interior mean)</w:t>
            </w:r>
          </w:p>
        </w:tc>
        <w:tc>
          <w:tcPr>
            <w:tcW w:w="0" w:type="auto"/>
          </w:tcPr>
          <w:p w14:paraId="668D4E1D" w14:textId="77777777" w:rsidR="00E93601" w:rsidRDefault="00BA0A6E" w:rsidP="00C31058">
            <w:pPr>
              <w:pStyle w:val="Compact"/>
            </w:pPr>
            <w:r>
              <w:t>166.5</w:t>
            </w:r>
          </w:p>
        </w:tc>
      </w:tr>
      <w:tr w:rsidR="00E93601" w14:paraId="668D4E21" w14:textId="77777777">
        <w:tc>
          <w:tcPr>
            <w:tcW w:w="0" w:type="auto"/>
          </w:tcPr>
          <w:p w14:paraId="668D4E1F" w14:textId="77777777" w:rsidR="00E93601" w:rsidRDefault="00BA0A6E" w:rsidP="00C31058">
            <w:pPr>
              <w:pStyle w:val="Compact"/>
            </w:pPr>
            <w:r>
              <w:t>Medium level (exterior mean)</w:t>
            </w:r>
          </w:p>
        </w:tc>
        <w:tc>
          <w:tcPr>
            <w:tcW w:w="0" w:type="auto"/>
          </w:tcPr>
          <w:p w14:paraId="668D4E20" w14:textId="77777777" w:rsidR="00E93601" w:rsidRDefault="00BA0A6E" w:rsidP="00C31058">
            <w:pPr>
              <w:pStyle w:val="Compact"/>
            </w:pPr>
            <w:r>
              <w:t>79.2</w:t>
            </w:r>
          </w:p>
        </w:tc>
      </w:tr>
      <w:tr w:rsidR="00E93601" w14:paraId="668D4E24" w14:textId="77777777">
        <w:tc>
          <w:tcPr>
            <w:tcW w:w="0" w:type="auto"/>
          </w:tcPr>
          <w:p w14:paraId="668D4E22" w14:textId="77777777" w:rsidR="00E93601" w:rsidRDefault="00BA0A6E" w:rsidP="00C31058">
            <w:pPr>
              <w:pStyle w:val="Compact"/>
            </w:pPr>
            <w:r>
              <w:t>ISO50 threshold</w:t>
            </w:r>
          </w:p>
        </w:tc>
        <w:tc>
          <w:tcPr>
            <w:tcW w:w="0" w:type="auto"/>
          </w:tcPr>
          <w:p w14:paraId="668D4E23" w14:textId="77777777" w:rsidR="00E93601" w:rsidRDefault="00BA0A6E" w:rsidP="00C31058">
            <w:pPr>
              <w:pStyle w:val="Compact"/>
            </w:pPr>
            <w:r>
              <w:t>122.9</w:t>
            </w:r>
          </w:p>
        </w:tc>
      </w:tr>
      <w:tr w:rsidR="00E93601" w14:paraId="668D4E27" w14:textId="77777777">
        <w:tc>
          <w:tcPr>
            <w:tcW w:w="0" w:type="auto"/>
          </w:tcPr>
          <w:p w14:paraId="668D4E25" w14:textId="77777777" w:rsidR="00E93601" w:rsidRDefault="00BA0A6E" w:rsidP="00C31058">
            <w:pPr>
              <w:pStyle w:val="Compact"/>
            </w:pPr>
            <w:r>
              <w:t>Volume at ISO50</w:t>
            </w:r>
          </w:p>
        </w:tc>
        <w:tc>
          <w:tcPr>
            <w:tcW w:w="0" w:type="auto"/>
          </w:tcPr>
          <w:p w14:paraId="668D4E26" w14:textId="77777777" w:rsidR="00E93601" w:rsidRDefault="00BA0A6E" w:rsidP="00C31058">
            <w:pPr>
              <w:pStyle w:val="Compact"/>
            </w:pPr>
            <w:r>
              <w:t>157.947 mm³</w:t>
            </w:r>
          </w:p>
        </w:tc>
      </w:tr>
      <w:tr w:rsidR="00E93601" w14:paraId="668D4E2A" w14:textId="77777777">
        <w:tc>
          <w:tcPr>
            <w:tcW w:w="0" w:type="auto"/>
          </w:tcPr>
          <w:p w14:paraId="668D4E28" w14:textId="77777777" w:rsidR="00E93601" w:rsidRDefault="00BA0A6E" w:rsidP="00C31058">
            <w:pPr>
              <w:pStyle w:val="Compact"/>
            </w:pPr>
            <w:r>
              <w:t>Mass of 132 counted parts</w:t>
            </w:r>
          </w:p>
        </w:tc>
        <w:tc>
          <w:tcPr>
            <w:tcW w:w="0" w:type="auto"/>
          </w:tcPr>
          <w:p w14:paraId="668D4E29" w14:textId="77777777" w:rsidR="00E93601" w:rsidRDefault="00BA0A6E" w:rsidP="00C31058">
            <w:pPr>
              <w:pStyle w:val="Compact"/>
            </w:pPr>
            <w:r>
              <w:t>398.2 mg</w:t>
            </w:r>
          </w:p>
        </w:tc>
      </w:tr>
      <w:tr w:rsidR="00E93601" w14:paraId="668D4E2D" w14:textId="77777777">
        <w:tc>
          <w:tcPr>
            <w:tcW w:w="0" w:type="auto"/>
          </w:tcPr>
          <w:p w14:paraId="668D4E2B" w14:textId="77777777" w:rsidR="00E93601" w:rsidRDefault="00BA0A6E" w:rsidP="00C31058">
            <w:pPr>
              <w:pStyle w:val="Compact"/>
            </w:pPr>
            <w:r>
              <w:t>Relative density</w:t>
            </w:r>
          </w:p>
        </w:tc>
        <w:tc>
          <w:tcPr>
            <w:tcW w:w="0" w:type="auto"/>
          </w:tcPr>
          <w:p w14:paraId="668D4E2C" w14:textId="77777777" w:rsidR="00E93601" w:rsidRDefault="00BA0A6E" w:rsidP="00C31058">
            <w:pPr>
              <w:pStyle w:val="Compact"/>
            </w:pPr>
            <w:r>
              <w:t>79.9 %TD</w:t>
            </w:r>
          </w:p>
        </w:tc>
      </w:tr>
    </w:tbl>
    <w:p w14:paraId="668D4E2E" w14:textId="77777777" w:rsidR="00E93601" w:rsidRDefault="00BA0A6E" w:rsidP="00C31058">
      <w:pPr>
        <w:pStyle w:val="BodyText"/>
      </w:pPr>
      <w:r>
        <w:rPr>
          <w:b/>
          <w:bCs/>
        </w:rPr>
        <w:t>Table S13.</w:t>
      </w:r>
      <w:r>
        <w:t xml:space="preserve"> Threshold sensitivity, full stack.</w:t>
      </w:r>
    </w:p>
    <w:tbl>
      <w:tblPr>
        <w:tblStyle w:val="Table"/>
        <w:tblW w:w="0" w:type="auto"/>
        <w:tblLook w:val="0020" w:firstRow="1" w:lastRow="0" w:firstColumn="0" w:lastColumn="0" w:noHBand="0" w:noVBand="0"/>
      </w:tblPr>
      <w:tblGrid>
        <w:gridCol w:w="2153"/>
        <w:gridCol w:w="1613"/>
        <w:gridCol w:w="1113"/>
        <w:gridCol w:w="1860"/>
      </w:tblGrid>
      <w:tr w:rsidR="00E93601" w14:paraId="668D4E33" w14:textId="77777777" w:rsidTr="00E93601">
        <w:trPr>
          <w:cnfStyle w:val="100000000000" w:firstRow="1" w:lastRow="0" w:firstColumn="0" w:lastColumn="0" w:oddVBand="0" w:evenVBand="0" w:oddHBand="0" w:evenHBand="0" w:firstRowFirstColumn="0" w:firstRowLastColumn="0" w:lastRowFirstColumn="0" w:lastRowLastColumn="0"/>
          <w:tblHeader/>
        </w:trPr>
        <w:tc>
          <w:tcPr>
            <w:tcW w:w="0" w:type="auto"/>
          </w:tcPr>
          <w:p w14:paraId="668D4E2F" w14:textId="77777777" w:rsidR="00E93601" w:rsidRDefault="00BA0A6E" w:rsidP="00C31058">
            <w:pPr>
              <w:pStyle w:val="Compact"/>
            </w:pPr>
            <w:r>
              <w:t>Offset (grey levels)</w:t>
            </w:r>
          </w:p>
        </w:tc>
        <w:tc>
          <w:tcPr>
            <w:tcW w:w="0" w:type="auto"/>
          </w:tcPr>
          <w:p w14:paraId="668D4E30" w14:textId="77777777" w:rsidR="00E93601" w:rsidRDefault="00BA0A6E" w:rsidP="00C31058">
            <w:pPr>
              <w:pStyle w:val="Compact"/>
            </w:pPr>
            <w:r>
              <w:t>Volume</w:t>
            </w:r>
          </w:p>
        </w:tc>
        <w:tc>
          <w:tcPr>
            <w:tcW w:w="0" w:type="auto"/>
          </w:tcPr>
          <w:p w14:paraId="668D4E31" w14:textId="77777777" w:rsidR="00E93601" w:rsidRDefault="00BA0A6E" w:rsidP="00C31058">
            <w:pPr>
              <w:pStyle w:val="Compact"/>
            </w:pPr>
            <w:r>
              <w:t>vs ISO50</w:t>
            </w:r>
          </w:p>
        </w:tc>
        <w:tc>
          <w:tcPr>
            <w:tcW w:w="0" w:type="auto"/>
          </w:tcPr>
          <w:p w14:paraId="668D4E32" w14:textId="77777777" w:rsidR="00E93601" w:rsidRDefault="00BA0A6E" w:rsidP="00C31058">
            <w:pPr>
              <w:pStyle w:val="Compact"/>
            </w:pPr>
            <w:r>
              <w:t>Relative density</w:t>
            </w:r>
          </w:p>
        </w:tc>
      </w:tr>
      <w:tr w:rsidR="00E93601" w14:paraId="668D4E38" w14:textId="77777777">
        <w:tc>
          <w:tcPr>
            <w:tcW w:w="0" w:type="auto"/>
          </w:tcPr>
          <w:p w14:paraId="668D4E34" w14:textId="77777777" w:rsidR="00E93601" w:rsidRDefault="00BA0A6E" w:rsidP="00C31058">
            <w:pPr>
              <w:pStyle w:val="Compact"/>
            </w:pPr>
            <w:r>
              <w:t>−</w:t>
            </w:r>
            <w:r>
              <w:t>20</w:t>
            </w:r>
          </w:p>
        </w:tc>
        <w:tc>
          <w:tcPr>
            <w:tcW w:w="0" w:type="auto"/>
          </w:tcPr>
          <w:p w14:paraId="668D4E35" w14:textId="77777777" w:rsidR="00E93601" w:rsidRDefault="00BA0A6E" w:rsidP="00C31058">
            <w:pPr>
              <w:pStyle w:val="Compact"/>
            </w:pPr>
            <w:r>
              <w:t>176.274 mm³</w:t>
            </w:r>
          </w:p>
        </w:tc>
        <w:tc>
          <w:tcPr>
            <w:tcW w:w="0" w:type="auto"/>
          </w:tcPr>
          <w:p w14:paraId="668D4E36" w14:textId="77777777" w:rsidR="00E93601" w:rsidRDefault="00BA0A6E" w:rsidP="00C31058">
            <w:pPr>
              <w:pStyle w:val="Compact"/>
            </w:pPr>
            <w:r>
              <w:t>+11.6 %</w:t>
            </w:r>
          </w:p>
        </w:tc>
        <w:tc>
          <w:tcPr>
            <w:tcW w:w="0" w:type="auto"/>
          </w:tcPr>
          <w:p w14:paraId="668D4E37" w14:textId="77777777" w:rsidR="00E93601" w:rsidRDefault="00BA0A6E" w:rsidP="00C31058">
            <w:pPr>
              <w:pStyle w:val="Compact"/>
            </w:pPr>
            <w:r>
              <w:t>71.6 %TD</w:t>
            </w:r>
          </w:p>
        </w:tc>
      </w:tr>
      <w:tr w:rsidR="00E93601" w14:paraId="668D4E3D" w14:textId="77777777">
        <w:tc>
          <w:tcPr>
            <w:tcW w:w="0" w:type="auto"/>
          </w:tcPr>
          <w:p w14:paraId="668D4E39" w14:textId="77777777" w:rsidR="00E93601" w:rsidRDefault="00BA0A6E" w:rsidP="00C31058">
            <w:pPr>
              <w:pStyle w:val="Compact"/>
            </w:pPr>
            <w:r>
              <w:lastRenderedPageBreak/>
              <w:t>−</w:t>
            </w:r>
            <w:r>
              <w:t>10</w:t>
            </w:r>
          </w:p>
        </w:tc>
        <w:tc>
          <w:tcPr>
            <w:tcW w:w="0" w:type="auto"/>
          </w:tcPr>
          <w:p w14:paraId="668D4E3A" w14:textId="77777777" w:rsidR="00E93601" w:rsidRDefault="00BA0A6E" w:rsidP="00C31058">
            <w:pPr>
              <w:pStyle w:val="Compact"/>
            </w:pPr>
            <w:r>
              <w:t>163.181 mm³</w:t>
            </w:r>
          </w:p>
        </w:tc>
        <w:tc>
          <w:tcPr>
            <w:tcW w:w="0" w:type="auto"/>
          </w:tcPr>
          <w:p w14:paraId="668D4E3B" w14:textId="77777777" w:rsidR="00E93601" w:rsidRDefault="00BA0A6E" w:rsidP="00C31058">
            <w:pPr>
              <w:pStyle w:val="Compact"/>
            </w:pPr>
            <w:r>
              <w:t>+3.3 %</w:t>
            </w:r>
          </w:p>
        </w:tc>
        <w:tc>
          <w:tcPr>
            <w:tcW w:w="0" w:type="auto"/>
          </w:tcPr>
          <w:p w14:paraId="668D4E3C" w14:textId="77777777" w:rsidR="00E93601" w:rsidRDefault="00BA0A6E" w:rsidP="00C31058">
            <w:pPr>
              <w:pStyle w:val="Compact"/>
            </w:pPr>
            <w:r>
              <w:t>77.3 %TD</w:t>
            </w:r>
          </w:p>
        </w:tc>
      </w:tr>
      <w:tr w:rsidR="00E93601" w14:paraId="668D4E42" w14:textId="77777777">
        <w:tc>
          <w:tcPr>
            <w:tcW w:w="0" w:type="auto"/>
          </w:tcPr>
          <w:p w14:paraId="668D4E3E" w14:textId="77777777" w:rsidR="00E93601" w:rsidRDefault="00BA0A6E" w:rsidP="00C31058">
            <w:pPr>
              <w:pStyle w:val="Compact"/>
            </w:pPr>
            <w:r>
              <w:t>−</w:t>
            </w:r>
            <w:r>
              <w:t>5</w:t>
            </w:r>
          </w:p>
        </w:tc>
        <w:tc>
          <w:tcPr>
            <w:tcW w:w="0" w:type="auto"/>
          </w:tcPr>
          <w:p w14:paraId="668D4E3F" w14:textId="77777777" w:rsidR="00E93601" w:rsidRDefault="00BA0A6E" w:rsidP="00C31058">
            <w:pPr>
              <w:pStyle w:val="Compact"/>
            </w:pPr>
            <w:r>
              <w:t>160.184 mm³</w:t>
            </w:r>
          </w:p>
        </w:tc>
        <w:tc>
          <w:tcPr>
            <w:tcW w:w="0" w:type="auto"/>
          </w:tcPr>
          <w:p w14:paraId="668D4E40" w14:textId="77777777" w:rsidR="00E93601" w:rsidRDefault="00BA0A6E" w:rsidP="00C31058">
            <w:pPr>
              <w:pStyle w:val="Compact"/>
            </w:pPr>
            <w:r>
              <w:t>+1.4 %</w:t>
            </w:r>
          </w:p>
        </w:tc>
        <w:tc>
          <w:tcPr>
            <w:tcW w:w="0" w:type="auto"/>
          </w:tcPr>
          <w:p w14:paraId="668D4E41" w14:textId="77777777" w:rsidR="00E93601" w:rsidRDefault="00BA0A6E" w:rsidP="00C31058">
            <w:pPr>
              <w:pStyle w:val="Compact"/>
            </w:pPr>
            <w:r>
              <w:t>78.8 %TD</w:t>
            </w:r>
          </w:p>
        </w:tc>
      </w:tr>
      <w:tr w:rsidR="00E93601" w14:paraId="668D4E47" w14:textId="77777777">
        <w:tc>
          <w:tcPr>
            <w:tcW w:w="0" w:type="auto"/>
          </w:tcPr>
          <w:p w14:paraId="668D4E43" w14:textId="77777777" w:rsidR="00E93601" w:rsidRDefault="00BA0A6E" w:rsidP="00C31058">
            <w:pPr>
              <w:pStyle w:val="Compact"/>
            </w:pPr>
            <w:r>
              <w:t>0</w:t>
            </w:r>
          </w:p>
        </w:tc>
        <w:tc>
          <w:tcPr>
            <w:tcW w:w="0" w:type="auto"/>
          </w:tcPr>
          <w:p w14:paraId="668D4E44" w14:textId="77777777" w:rsidR="00E93601" w:rsidRDefault="00BA0A6E" w:rsidP="00C31058">
            <w:pPr>
              <w:pStyle w:val="Compact"/>
            </w:pPr>
            <w:r>
              <w:t>157.947 mm³</w:t>
            </w:r>
          </w:p>
        </w:tc>
        <w:tc>
          <w:tcPr>
            <w:tcW w:w="0" w:type="auto"/>
          </w:tcPr>
          <w:p w14:paraId="668D4E45" w14:textId="77777777" w:rsidR="00E93601" w:rsidRDefault="00BA0A6E" w:rsidP="00C31058">
            <w:pPr>
              <w:pStyle w:val="Compact"/>
            </w:pPr>
            <w:r>
              <w:t>—</w:t>
            </w:r>
          </w:p>
        </w:tc>
        <w:tc>
          <w:tcPr>
            <w:tcW w:w="0" w:type="auto"/>
          </w:tcPr>
          <w:p w14:paraId="668D4E46" w14:textId="77777777" w:rsidR="00E93601" w:rsidRDefault="00BA0A6E" w:rsidP="00C31058">
            <w:pPr>
              <w:pStyle w:val="Compact"/>
            </w:pPr>
            <w:r>
              <w:t>79.9 %TD</w:t>
            </w:r>
          </w:p>
        </w:tc>
      </w:tr>
      <w:tr w:rsidR="00E93601" w14:paraId="668D4E4C" w14:textId="77777777">
        <w:tc>
          <w:tcPr>
            <w:tcW w:w="0" w:type="auto"/>
          </w:tcPr>
          <w:p w14:paraId="668D4E48" w14:textId="77777777" w:rsidR="00E93601" w:rsidRDefault="00BA0A6E" w:rsidP="00C31058">
            <w:pPr>
              <w:pStyle w:val="Compact"/>
            </w:pPr>
            <w:r>
              <w:t>+5</w:t>
            </w:r>
          </w:p>
        </w:tc>
        <w:tc>
          <w:tcPr>
            <w:tcW w:w="0" w:type="auto"/>
          </w:tcPr>
          <w:p w14:paraId="668D4E49" w14:textId="77777777" w:rsidR="00E93601" w:rsidRDefault="00BA0A6E" w:rsidP="00C31058">
            <w:pPr>
              <w:pStyle w:val="Compact"/>
            </w:pPr>
            <w:r>
              <w:t>155.847 mm³</w:t>
            </w:r>
          </w:p>
        </w:tc>
        <w:tc>
          <w:tcPr>
            <w:tcW w:w="0" w:type="auto"/>
          </w:tcPr>
          <w:p w14:paraId="668D4E4A" w14:textId="77777777" w:rsidR="00E93601" w:rsidRDefault="00BA0A6E" w:rsidP="00C31058">
            <w:pPr>
              <w:pStyle w:val="Compact"/>
            </w:pPr>
            <w:r>
              <w:t>−</w:t>
            </w:r>
            <w:r>
              <w:t>1.3 %</w:t>
            </w:r>
          </w:p>
        </w:tc>
        <w:tc>
          <w:tcPr>
            <w:tcW w:w="0" w:type="auto"/>
          </w:tcPr>
          <w:p w14:paraId="668D4E4B" w14:textId="77777777" w:rsidR="00E93601" w:rsidRDefault="00BA0A6E" w:rsidP="00C31058">
            <w:pPr>
              <w:pStyle w:val="Compact"/>
            </w:pPr>
            <w:r>
              <w:t>81.0 %TD</w:t>
            </w:r>
          </w:p>
        </w:tc>
      </w:tr>
      <w:tr w:rsidR="00E93601" w14:paraId="668D4E51" w14:textId="77777777">
        <w:tc>
          <w:tcPr>
            <w:tcW w:w="0" w:type="auto"/>
          </w:tcPr>
          <w:p w14:paraId="668D4E4D" w14:textId="77777777" w:rsidR="00E93601" w:rsidRDefault="00BA0A6E" w:rsidP="00C31058">
            <w:pPr>
              <w:pStyle w:val="Compact"/>
            </w:pPr>
            <w:r>
              <w:t>+10</w:t>
            </w:r>
          </w:p>
        </w:tc>
        <w:tc>
          <w:tcPr>
            <w:tcW w:w="0" w:type="auto"/>
          </w:tcPr>
          <w:p w14:paraId="668D4E4E" w14:textId="77777777" w:rsidR="00E93601" w:rsidRDefault="00BA0A6E" w:rsidP="00C31058">
            <w:pPr>
              <w:pStyle w:val="Compact"/>
            </w:pPr>
            <w:r>
              <w:t>153.326 mm³</w:t>
            </w:r>
          </w:p>
        </w:tc>
        <w:tc>
          <w:tcPr>
            <w:tcW w:w="0" w:type="auto"/>
          </w:tcPr>
          <w:p w14:paraId="668D4E4F" w14:textId="77777777" w:rsidR="00E93601" w:rsidRDefault="00BA0A6E" w:rsidP="00C31058">
            <w:pPr>
              <w:pStyle w:val="Compact"/>
            </w:pPr>
            <w:r>
              <w:t>−</w:t>
            </w:r>
            <w:r>
              <w:t>2.9 %</w:t>
            </w:r>
          </w:p>
        </w:tc>
        <w:tc>
          <w:tcPr>
            <w:tcW w:w="0" w:type="auto"/>
          </w:tcPr>
          <w:p w14:paraId="668D4E50" w14:textId="77777777" w:rsidR="00E93601" w:rsidRDefault="00BA0A6E" w:rsidP="00C31058">
            <w:pPr>
              <w:pStyle w:val="Compact"/>
            </w:pPr>
            <w:r>
              <w:t>82.3 %TD</w:t>
            </w:r>
          </w:p>
        </w:tc>
      </w:tr>
      <w:tr w:rsidR="00E93601" w14:paraId="668D4E56" w14:textId="77777777">
        <w:tc>
          <w:tcPr>
            <w:tcW w:w="0" w:type="auto"/>
          </w:tcPr>
          <w:p w14:paraId="668D4E52" w14:textId="77777777" w:rsidR="00E93601" w:rsidRDefault="00BA0A6E" w:rsidP="00C31058">
            <w:pPr>
              <w:pStyle w:val="Compact"/>
            </w:pPr>
            <w:r>
              <w:t>+20</w:t>
            </w:r>
          </w:p>
        </w:tc>
        <w:tc>
          <w:tcPr>
            <w:tcW w:w="0" w:type="auto"/>
          </w:tcPr>
          <w:p w14:paraId="668D4E53" w14:textId="77777777" w:rsidR="00E93601" w:rsidRDefault="00BA0A6E" w:rsidP="00C31058">
            <w:pPr>
              <w:pStyle w:val="Compact"/>
            </w:pPr>
            <w:r>
              <w:t>144.197 mm³</w:t>
            </w:r>
          </w:p>
        </w:tc>
        <w:tc>
          <w:tcPr>
            <w:tcW w:w="0" w:type="auto"/>
          </w:tcPr>
          <w:p w14:paraId="668D4E54" w14:textId="77777777" w:rsidR="00E93601" w:rsidRDefault="00BA0A6E" w:rsidP="00C31058">
            <w:pPr>
              <w:pStyle w:val="Compact"/>
            </w:pPr>
            <w:r>
              <w:t>−</w:t>
            </w:r>
            <w:r>
              <w:t>8.7 %</w:t>
            </w:r>
          </w:p>
        </w:tc>
        <w:tc>
          <w:tcPr>
            <w:tcW w:w="0" w:type="auto"/>
          </w:tcPr>
          <w:p w14:paraId="668D4E55" w14:textId="77777777" w:rsidR="00E93601" w:rsidRDefault="00BA0A6E" w:rsidP="00C31058">
            <w:pPr>
              <w:pStyle w:val="Compact"/>
            </w:pPr>
            <w:r>
              <w:t>87.5 %TD</w:t>
            </w:r>
          </w:p>
        </w:tc>
      </w:tr>
    </w:tbl>
    <w:p w14:paraId="668D4E57" w14:textId="77777777" w:rsidR="00E93601" w:rsidRDefault="00BA0A6E" w:rsidP="00C31058">
      <w:pPr>
        <w:pStyle w:val="BodyText"/>
      </w:pPr>
      <w:r>
        <w:t>A threshold offset of ±5 grey levels — 5.7 % of the ceramic-to-medium contrast of 87.3 — changes volume by ∓1.3 %, adopted as ±1 percentage point of density uncertainty.</w:t>
      </w:r>
    </w:p>
    <w:p w14:paraId="668D4E58" w14:textId="77777777" w:rsidR="00E93601" w:rsidRDefault="00BA0A6E" w:rsidP="00C31058">
      <w:pPr>
        <w:pStyle w:val="BodyText"/>
      </w:pPr>
      <w:r>
        <w:rPr>
          <w:b/>
          <w:bCs/>
        </w:rPr>
        <w:t>Reproducibility of the vial exclusion.</w:t>
      </w:r>
      <w:r>
        <w:t xml:space="preserve"> Three separately exported reconstructions of the same scan gave volumes of 163.6, 164.0 and 164.1 mm³ before ISO50 correction — a spread of 0.3 %, using a threshold set independently in each export rather than ISO50. Residual segmentation noise (some 33,000 objects, each below 0.01 mm³) accounted for 0.44 % of the total volume in one such export.</w:t>
      </w:r>
    </w:p>
    <w:p w14:paraId="668D4E59" w14:textId="77777777" w:rsidR="00E93601" w:rsidRDefault="00BA0A6E" w:rsidP="00C31058">
      <w:pPr>
        <w:pStyle w:val="BodyText"/>
      </w:pPr>
      <w:r>
        <w:t>The ISO50 volume (157.947 mm³) is approximately 3.8 % smaller than these three exports, corresponding to roughly 3 percentage points of density. This is consistent with the independently exported thresholds having been set somewhat below ISO50, including additional volume at the part boundary; it is not a discrepancy between repeated measurements of the same quantity; it reflects a difference in the threshold used to define the boundary. The ISO50 value is preferred as the reproducible, non-arbitrary choice</w:t>
      </w:r>
      <w:r>
        <w:t xml:space="preserve"> and is the one reported in the main text.</w:t>
      </w:r>
    </w:p>
    <w:p w14:paraId="668D4E5A" w14:textId="77777777" w:rsidR="00E93601" w:rsidRDefault="00BA0A6E" w:rsidP="00C31058">
      <w:pPr>
        <w:pStyle w:val="BodyText"/>
      </w:pPr>
      <w:r>
        <w:t>The sample holder was excluded using the same criterion applied to the tetrapod dataset: the first slice at which the filled fraction of the vial cross-section reaches a plateau, here found at slices 22–24 across the three exports (0.3 % spread in the resulting volume).</w:t>
      </w:r>
    </w:p>
    <w:p w14:paraId="668D4E5B" w14:textId="77777777" w:rsidR="00E93601" w:rsidRDefault="00BA0A6E">
      <w:pPr>
        <w:pStyle w:val="Heading2"/>
      </w:pPr>
      <w:bookmarkStart w:id="25" w:name="X117eb87fdeba54893e28bac9fde82393bb99a0a"/>
      <w:bookmarkEnd w:id="18"/>
      <w:bookmarkEnd w:id="24"/>
      <w:r>
        <w:t>S</w:t>
      </w:r>
      <w:r>
        <w:t>4. X-ray diffraction — peak matching detail</w:t>
      </w:r>
    </w:p>
    <w:p w14:paraId="668D4E5C" w14:textId="77777777" w:rsidR="00E93601" w:rsidRDefault="00BA0A6E" w:rsidP="00C31058">
      <w:pPr>
        <w:pStyle w:val="FirstParagraph"/>
      </w:pPr>
      <w:r>
        <w:rPr>
          <w:b/>
          <w:bCs/>
        </w:rPr>
        <w:t>Instrument settings.</w:t>
      </w:r>
      <w:r>
        <w:t xml:space="preserve"> Cu Kα (λ = 1.54060/1.54443 Å), 5–100° 2θ, both samples measured loose and unground.</w:t>
      </w:r>
    </w:p>
    <w:p w14:paraId="668D4E5D" w14:textId="77777777" w:rsidR="00E93601" w:rsidRDefault="00BA0A6E" w:rsidP="00C31058">
      <w:pPr>
        <w:pStyle w:val="BodyText"/>
      </w:pPr>
      <w:r>
        <w:rPr>
          <w:b/>
          <w:bCs/>
        </w:rPr>
        <w:t>Peak matching.</w:t>
      </w:r>
      <w:r>
        <w:t xml:space="preserve"> Peaks were identified by prominence in each pattern independently, then matched between the tetrapod and cube patterns by nearest position. Two pairs from the crowded 26–32° region were excluded as mismatches (the peak-finding algorithm paired non-corresponding peaks within the hydroxyapatite triplet); the remaining 22 pairs, spanning 11–88° 2θ, gave a mean shift of +0.238° (SD 0.093°) with no significant correlation to diffraction angle (r = 0.05 against 2θ; r = 0.05 against cos θ, the trend expected from</w:t>
      </w:r>
      <w:r>
        <w:t xml:space="preserve"> a sample-displacement error alone). A near-constant offset across the full angular range, rather than one concentrated at low angle, is consistent with a difference in sample height between the two independently mounted specimens and was treated as an instrumental artefact.</w:t>
      </w:r>
    </w:p>
    <w:p w14:paraId="668D4E5E" w14:textId="77777777" w:rsidR="00E93601" w:rsidRDefault="00BA0A6E" w:rsidP="00C31058">
      <w:pPr>
        <w:pStyle w:val="BodyText"/>
      </w:pPr>
      <w:r>
        <w:rPr>
          <w:b/>
          <w:bCs/>
        </w:rPr>
        <w:t>CaO check.</w:t>
      </w:r>
      <w:r>
        <w:t xml:space="preserve"> The region 35–40° 2θ, containing the isolated CaO reflection near 37.3°, was inspected directly in both shift-corrected patterns; no feature above baseline was present in either.</w:t>
      </w:r>
    </w:p>
    <w:p w14:paraId="668D4E5F" w14:textId="77777777" w:rsidR="00E93601" w:rsidRDefault="00BA0A6E" w:rsidP="00C31058">
      <w:pPr>
        <w:pStyle w:val="BodyText"/>
      </w:pPr>
      <w:r>
        <w:rPr>
          <w:b/>
          <w:bCs/>
        </w:rPr>
        <w:lastRenderedPageBreak/>
        <w:t>Limitation.</w:t>
      </w:r>
      <w:r>
        <w:t xml:space="preserve"> β-tricalcium phosphate’s principal reflections (approximately 27.8° and 34.2° 2θ) overlap substantially with hydroxyapatite in the 31–32° cluster. This survey scan can exclude gross decomposition (via the CaO check) and confirms the two geometries do not differ detectably in phase, but cannot exclude a minor, geometry-independent TCP fraction without full-pattern refinement.</w:t>
      </w:r>
    </w:p>
    <w:p w14:paraId="668D4E60" w14:textId="77777777" w:rsidR="00E93601" w:rsidRDefault="00BA0A6E">
      <w:pPr>
        <w:pStyle w:val="Heading2"/>
      </w:pPr>
      <w:bookmarkStart w:id="26" w:name="s5.-binder-escape-path"/>
      <w:bookmarkEnd w:id="25"/>
      <w:r>
        <w:t>S</w:t>
      </w:r>
      <w:r>
        <w:t>5. Binder escape path</w:t>
      </w:r>
    </w:p>
    <w:p w14:paraId="668D4E61" w14:textId="77777777" w:rsidR="00E93601" w:rsidRDefault="00BA0A6E" w:rsidP="00C31058">
      <w:pPr>
        <w:pStyle w:val="FirstParagraph"/>
      </w:pPr>
      <w:r>
        <w:rPr>
          <w:b/>
          <w:bCs/>
        </w:rPr>
        <w:t>Table S14.</w:t>
      </w:r>
      <w:r>
        <w:t xml:space="preserve"> Section thickness governing diffusion-limited binder removal.</w:t>
      </w:r>
    </w:p>
    <w:tbl>
      <w:tblPr>
        <w:tblStyle w:val="Table"/>
        <w:tblW w:w="5000" w:type="pct"/>
        <w:tblLook w:val="0020" w:firstRow="1" w:lastRow="0" w:firstColumn="0" w:lastColumn="0" w:noHBand="0" w:noVBand="0"/>
      </w:tblPr>
      <w:tblGrid>
        <w:gridCol w:w="3490"/>
        <w:gridCol w:w="1832"/>
        <w:gridCol w:w="1655"/>
        <w:gridCol w:w="3211"/>
      </w:tblGrid>
      <w:tr w:rsidR="00E93601" w14:paraId="668D4E66" w14:textId="77777777" w:rsidTr="00E93601">
        <w:trPr>
          <w:cnfStyle w:val="100000000000" w:firstRow="1" w:lastRow="0" w:firstColumn="0" w:lastColumn="0" w:oddVBand="0" w:evenVBand="0" w:oddHBand="0" w:evenHBand="0" w:firstRowFirstColumn="0" w:firstRowLastColumn="0" w:lastRowFirstColumn="0" w:lastRowLastColumn="0"/>
          <w:tblHeader/>
        </w:trPr>
        <w:tc>
          <w:tcPr>
            <w:tcW w:w="0" w:type="auto"/>
          </w:tcPr>
          <w:p w14:paraId="668D4E62" w14:textId="77777777" w:rsidR="00E93601" w:rsidRDefault="00BA0A6E" w:rsidP="00C31058">
            <w:pPr>
              <w:pStyle w:val="Compact"/>
            </w:pPr>
            <w:r>
              <w:t>Geometry</w:t>
            </w:r>
          </w:p>
        </w:tc>
        <w:tc>
          <w:tcPr>
            <w:tcW w:w="0" w:type="auto"/>
          </w:tcPr>
          <w:p w14:paraId="668D4E63" w14:textId="77777777" w:rsidR="00E93601" w:rsidRDefault="00BA0A6E" w:rsidP="00C31058">
            <w:pPr>
              <w:pStyle w:val="Compact"/>
            </w:pPr>
            <w:r>
              <w:t>Thickest section</w:t>
            </w:r>
          </w:p>
        </w:tc>
        <w:tc>
          <w:tcPr>
            <w:tcW w:w="0" w:type="auto"/>
          </w:tcPr>
          <w:p w14:paraId="668D4E64" w14:textId="77777777" w:rsidR="00E93601" w:rsidRDefault="00BA0A6E" w:rsidP="00C31058">
            <w:pPr>
              <w:pStyle w:val="Compact"/>
            </w:pPr>
            <w:r>
              <w:t>Half-thickness</w:t>
            </w:r>
          </w:p>
        </w:tc>
        <w:tc>
          <w:tcPr>
            <w:tcW w:w="0" w:type="auto"/>
          </w:tcPr>
          <w:p w14:paraId="668D4E65" w14:textId="77777777" w:rsidR="00E93601" w:rsidRDefault="00BA0A6E" w:rsidP="00C31058">
            <w:pPr>
              <w:pStyle w:val="Compact"/>
            </w:pPr>
            <w:r>
              <w:t xml:space="preserve">Relative debinding time (∝ </w:t>
            </w:r>
            <w:r>
              <w:rPr>
                <w:i/>
                <w:iCs/>
              </w:rPr>
              <w:t>L</w:t>
            </w:r>
            <w:r>
              <w:t>²)</w:t>
            </w:r>
          </w:p>
        </w:tc>
      </w:tr>
      <w:tr w:rsidR="00E93601" w14:paraId="668D4E6B" w14:textId="77777777">
        <w:tc>
          <w:tcPr>
            <w:tcW w:w="0" w:type="auto"/>
          </w:tcPr>
          <w:p w14:paraId="668D4E67" w14:textId="77777777" w:rsidR="00E93601" w:rsidRDefault="00BA0A6E" w:rsidP="00C31058">
            <w:pPr>
              <w:pStyle w:val="Compact"/>
            </w:pPr>
            <w:r>
              <w:t>Green cube</w:t>
            </w:r>
          </w:p>
        </w:tc>
        <w:tc>
          <w:tcPr>
            <w:tcW w:w="0" w:type="auto"/>
          </w:tcPr>
          <w:p w14:paraId="668D4E68" w14:textId="77777777" w:rsidR="00E93601" w:rsidRDefault="00BA0A6E" w:rsidP="00C31058">
            <w:pPr>
              <w:pStyle w:val="Compact"/>
            </w:pPr>
            <w:r>
              <w:t>1.310 mm solid</w:t>
            </w:r>
          </w:p>
        </w:tc>
        <w:tc>
          <w:tcPr>
            <w:tcW w:w="0" w:type="auto"/>
          </w:tcPr>
          <w:p w14:paraId="668D4E69" w14:textId="77777777" w:rsidR="00E93601" w:rsidRDefault="00BA0A6E" w:rsidP="00C31058">
            <w:pPr>
              <w:pStyle w:val="Compact"/>
            </w:pPr>
            <w:r>
              <w:t>0.655 mm</w:t>
            </w:r>
          </w:p>
        </w:tc>
        <w:tc>
          <w:tcPr>
            <w:tcW w:w="0" w:type="auto"/>
          </w:tcPr>
          <w:p w14:paraId="668D4E6A" w14:textId="77777777" w:rsidR="00E93601" w:rsidRDefault="00BA0A6E" w:rsidP="00C31058">
            <w:pPr>
              <w:pStyle w:val="Compact"/>
            </w:pPr>
            <w:r>
              <w:t>32</w:t>
            </w:r>
          </w:p>
        </w:tc>
      </w:tr>
      <w:tr w:rsidR="00E93601" w14:paraId="668D4E70" w14:textId="77777777">
        <w:tc>
          <w:tcPr>
            <w:tcW w:w="0" w:type="auto"/>
          </w:tcPr>
          <w:p w14:paraId="668D4E6C" w14:textId="77777777" w:rsidR="00E93601" w:rsidRDefault="00BA0A6E" w:rsidP="00C31058">
            <w:pPr>
              <w:pStyle w:val="Compact"/>
            </w:pPr>
            <w:r>
              <w:t>Tetrapod strut</w:t>
            </w:r>
          </w:p>
        </w:tc>
        <w:tc>
          <w:tcPr>
            <w:tcW w:w="0" w:type="auto"/>
          </w:tcPr>
          <w:p w14:paraId="668D4E6D" w14:textId="77777777" w:rsidR="00E93601" w:rsidRDefault="00BA0A6E" w:rsidP="00C31058">
            <w:pPr>
              <w:pStyle w:val="Compact"/>
            </w:pPr>
            <w:r>
              <w:t>~0.231 mm</w:t>
            </w:r>
          </w:p>
        </w:tc>
        <w:tc>
          <w:tcPr>
            <w:tcW w:w="0" w:type="auto"/>
          </w:tcPr>
          <w:p w14:paraId="668D4E6E" w14:textId="77777777" w:rsidR="00E93601" w:rsidRDefault="00BA0A6E" w:rsidP="00C31058">
            <w:pPr>
              <w:pStyle w:val="Compact"/>
            </w:pPr>
            <w:r>
              <w:t>0.116 mm</w:t>
            </w:r>
          </w:p>
        </w:tc>
        <w:tc>
          <w:tcPr>
            <w:tcW w:w="0" w:type="auto"/>
          </w:tcPr>
          <w:p w14:paraId="668D4E6F" w14:textId="77777777" w:rsidR="00E93601" w:rsidRDefault="00BA0A6E" w:rsidP="00C31058">
            <w:pPr>
              <w:pStyle w:val="Compact"/>
            </w:pPr>
            <w:r>
              <w:t>1</w:t>
            </w:r>
          </w:p>
        </w:tc>
      </w:tr>
      <w:tr w:rsidR="00E93601" w14:paraId="668D4E75" w14:textId="77777777">
        <w:tc>
          <w:tcPr>
            <w:tcW w:w="0" w:type="auto"/>
          </w:tcPr>
          <w:p w14:paraId="668D4E71" w14:textId="77777777" w:rsidR="00E93601" w:rsidRDefault="00BA0A6E" w:rsidP="00C31058">
            <w:pPr>
              <w:pStyle w:val="Compact"/>
            </w:pPr>
            <w:r>
              <w:t>Parts as described to the supplier</w:t>
            </w:r>
          </w:p>
        </w:tc>
        <w:tc>
          <w:tcPr>
            <w:tcW w:w="0" w:type="auto"/>
          </w:tcPr>
          <w:p w14:paraId="668D4E72" w14:textId="77777777" w:rsidR="00E93601" w:rsidRDefault="00BA0A6E" w:rsidP="00C31058">
            <w:pPr>
              <w:pStyle w:val="Compact"/>
            </w:pPr>
            <w:r>
              <w:t>0.200 mm</w:t>
            </w:r>
          </w:p>
        </w:tc>
        <w:tc>
          <w:tcPr>
            <w:tcW w:w="0" w:type="auto"/>
          </w:tcPr>
          <w:p w14:paraId="668D4E73" w14:textId="77777777" w:rsidR="00E93601" w:rsidRDefault="00BA0A6E" w:rsidP="00C31058">
            <w:pPr>
              <w:pStyle w:val="Compact"/>
            </w:pPr>
            <w:r>
              <w:t>0.100 mm</w:t>
            </w:r>
          </w:p>
        </w:tc>
        <w:tc>
          <w:tcPr>
            <w:tcW w:w="0" w:type="auto"/>
          </w:tcPr>
          <w:p w14:paraId="668D4E74" w14:textId="77777777" w:rsidR="00E93601" w:rsidRDefault="00BA0A6E" w:rsidP="00C31058">
            <w:pPr>
              <w:pStyle w:val="Compact"/>
            </w:pPr>
            <w:r>
              <w:t>0.74</w:t>
            </w:r>
          </w:p>
        </w:tc>
      </w:tr>
    </w:tbl>
    <w:p w14:paraId="668D4E76" w14:textId="77777777" w:rsidR="00E93601" w:rsidRDefault="00BA0A6E" w:rsidP="00C31058">
      <w:pPr>
        <w:pStyle w:val="BodyText"/>
      </w:pPr>
      <w:r>
        <w:t>The shortened schedule was recommended for parts described as 200 µm. A solid 1.31 mm cube is 6.5 times thicker, corresponding to approximately a 43-fold increase in debinding requirement.</w:t>
      </w:r>
    </w:p>
    <w:p w14:paraId="668D4E77" w14:textId="77777777" w:rsidR="00E93601" w:rsidRDefault="00BA0A6E">
      <w:r>
        <w:pict w14:anchorId="668D4E9D">
          <v:rect id="_x0000_i1065" style="width:0;height:1.5pt" o:hralign="center" o:hrstd="t" o:hr="t"/>
        </w:pict>
      </w:r>
    </w:p>
    <w:p w14:paraId="668D4E78" w14:textId="77777777" w:rsidR="00E93601" w:rsidRDefault="00BA0A6E">
      <w:pPr>
        <w:pStyle w:val="Heading2"/>
      </w:pPr>
      <w:bookmarkStart w:id="27" w:name="s6.-notes-on-measurement-method"/>
      <w:bookmarkEnd w:id="26"/>
      <w:r>
        <w:t>S6. Notes on measurement method</w:t>
      </w:r>
    </w:p>
    <w:p w14:paraId="668D4E79" w14:textId="77777777" w:rsidR="00E93601" w:rsidRDefault="00BA0A6E" w:rsidP="00C31058">
      <w:pPr>
        <w:pStyle w:val="FirstParagraph"/>
      </w:pPr>
      <w:r>
        <w:rPr>
          <w:b/>
          <w:bCs/>
        </w:rPr>
        <w:t>Segmentation bias.</w:t>
      </w:r>
      <w:r>
        <w:t xml:space="preserve"> Automated segmentation systematically oversizes parts on over-exposed micrographs, because Otsu thresholding includes the optical halo at the boundary. The same field of green cubes imaged at two exposures gave edge lengths of 1447 µm and 1278 µm — a 13 % difference — while the nesting pitch measured 273.0 and 273.2 pixels respectively, confirming identical magnification. The difference is therefore entirely thresholding.</w:t>
      </w:r>
    </w:p>
    <w:p w14:paraId="668D4E7A" w14:textId="77777777" w:rsidR="00E93601" w:rsidRDefault="00BA0A6E" w:rsidP="00C31058">
      <w:pPr>
        <w:pStyle w:val="BodyText"/>
      </w:pPr>
      <w:r>
        <w:t>Consequently, absolute dimensions in this work are taken only from digital caliper measurement or from images calibrated against a rule placed in the field of view. Automated analysis is used for scatter, counts and ratios, where the bias is common to all measurements in a group.</w:t>
      </w:r>
    </w:p>
    <w:p w14:paraId="668D4E7B" w14:textId="77777777" w:rsidR="00E93601" w:rsidRDefault="00BA0A6E" w:rsidP="00C31058">
      <w:pPr>
        <w:pStyle w:val="BodyText"/>
      </w:pPr>
      <w:r>
        <w:rPr>
          <w:b/>
          <w:bCs/>
        </w:rPr>
        <w:t>Rotated bounding boxes.</w:t>
      </w:r>
      <w:r>
        <w:t xml:space="preserve"> Parts lie at arbitrary in-plane angles. Axis-aligned bounding boxes of a rotated square overestimate its dimensions; minimum-area rotated rectangles were used throughout.</w:t>
      </w:r>
    </w:p>
    <w:p w14:paraId="668D4E7C" w14:textId="77777777" w:rsidR="00E93601" w:rsidRDefault="00BA0A6E">
      <w:r>
        <w:pict w14:anchorId="668D4E9E">
          <v:rect id="_x0000_i1066" style="width:0;height:1.5pt" o:hralign="center" o:hrstd="t" o:hr="t"/>
        </w:pict>
      </w:r>
    </w:p>
    <w:p w14:paraId="668D4E7D" w14:textId="77777777" w:rsidR="00E93601" w:rsidRDefault="00BA0A6E">
      <w:pPr>
        <w:pStyle w:val="Heading2"/>
      </w:pPr>
      <w:bookmarkStart w:id="28" w:name="s7.-analyses-performed-and-not-reported"/>
      <w:bookmarkEnd w:id="27"/>
      <w:r>
        <w:t>S7. Analyses performed and not reported</w:t>
      </w:r>
    </w:p>
    <w:p w14:paraId="668D4E7E" w14:textId="77777777" w:rsidR="00E93601" w:rsidRDefault="00BA0A6E" w:rsidP="00C31058">
      <w:pPr>
        <w:pStyle w:val="FirstParagraph"/>
      </w:pPr>
      <w:r>
        <w:t>Recorded for completeness; none is relied upon in the main text.</w:t>
      </w:r>
    </w:p>
    <w:p w14:paraId="668D4E7F" w14:textId="77777777" w:rsidR="00E93601" w:rsidRDefault="00BA0A6E" w:rsidP="00C31058">
      <w:pPr>
        <w:pStyle w:val="BodyText"/>
      </w:pPr>
      <w:r>
        <w:rPr>
          <w:b/>
          <w:bCs/>
        </w:rPr>
        <w:t>Table S15.</w:t>
      </w:r>
      <w:r>
        <w:t xml:space="preserve"> Analyses performed and not relied upon.</w:t>
      </w:r>
    </w:p>
    <w:tbl>
      <w:tblPr>
        <w:tblStyle w:val="Table"/>
        <w:tblW w:w="5000" w:type="pct"/>
        <w:tblLook w:val="0020" w:firstRow="1" w:lastRow="0" w:firstColumn="0" w:lastColumn="0" w:noHBand="0" w:noVBand="0"/>
      </w:tblPr>
      <w:tblGrid>
        <w:gridCol w:w="2381"/>
        <w:gridCol w:w="3143"/>
        <w:gridCol w:w="4664"/>
      </w:tblGrid>
      <w:tr w:rsidR="00E93601" w14:paraId="668D4E83" w14:textId="77777777" w:rsidTr="00E93601">
        <w:trPr>
          <w:cnfStyle w:val="100000000000" w:firstRow="1" w:lastRow="0" w:firstColumn="0" w:lastColumn="0" w:oddVBand="0" w:evenVBand="0" w:oddHBand="0" w:evenHBand="0" w:firstRowFirstColumn="0" w:firstRowLastColumn="0" w:lastRowFirstColumn="0" w:lastRowLastColumn="0"/>
          <w:tblHeader/>
        </w:trPr>
        <w:tc>
          <w:tcPr>
            <w:tcW w:w="0" w:type="auto"/>
          </w:tcPr>
          <w:p w14:paraId="668D4E80" w14:textId="77777777" w:rsidR="00E93601" w:rsidRDefault="00BA0A6E" w:rsidP="00C31058">
            <w:pPr>
              <w:pStyle w:val="Compact"/>
            </w:pPr>
            <w:r>
              <w:t>Analysis</w:t>
            </w:r>
          </w:p>
        </w:tc>
        <w:tc>
          <w:tcPr>
            <w:tcW w:w="0" w:type="auto"/>
          </w:tcPr>
          <w:p w14:paraId="668D4E81" w14:textId="77777777" w:rsidR="00E93601" w:rsidRDefault="00BA0A6E" w:rsidP="00C31058">
            <w:pPr>
              <w:pStyle w:val="Compact"/>
            </w:pPr>
            <w:r>
              <w:t>Outcome</w:t>
            </w:r>
          </w:p>
        </w:tc>
        <w:tc>
          <w:tcPr>
            <w:tcW w:w="0" w:type="auto"/>
          </w:tcPr>
          <w:p w14:paraId="668D4E82" w14:textId="77777777" w:rsidR="00E93601" w:rsidRDefault="00BA0A6E" w:rsidP="00C31058">
            <w:pPr>
              <w:pStyle w:val="Compact"/>
            </w:pPr>
            <w:r>
              <w:t>Reason not reported</w:t>
            </w:r>
          </w:p>
        </w:tc>
      </w:tr>
      <w:tr w:rsidR="00E93601" w14:paraId="668D4E87" w14:textId="77777777">
        <w:tc>
          <w:tcPr>
            <w:tcW w:w="0" w:type="auto"/>
          </w:tcPr>
          <w:p w14:paraId="668D4E84" w14:textId="77777777" w:rsidR="00E93601" w:rsidRDefault="00BA0A6E" w:rsidP="00C31058">
            <w:pPr>
              <w:pStyle w:val="Compact"/>
            </w:pPr>
            <w:r>
              <w:t xml:space="preserve">Per-part watershed separation, tetrapod </w:t>
            </w:r>
            <w:r>
              <w:lastRenderedPageBreak/>
              <w:t>pile</w:t>
            </w:r>
          </w:p>
        </w:tc>
        <w:tc>
          <w:tcPr>
            <w:tcW w:w="0" w:type="auto"/>
          </w:tcPr>
          <w:p w14:paraId="668D4E85" w14:textId="77777777" w:rsidR="00E93601" w:rsidRDefault="00BA0A6E" w:rsidP="00C31058">
            <w:pPr>
              <w:pStyle w:val="Compact"/>
            </w:pPr>
            <w:r>
              <w:lastRenderedPageBreak/>
              <w:t xml:space="preserve">Volume/bounding-box fill </w:t>
            </w:r>
            <w:r>
              <w:lastRenderedPageBreak/>
              <w:t>0.41–0.45</w:t>
            </w:r>
          </w:p>
        </w:tc>
        <w:tc>
          <w:tcPr>
            <w:tcW w:w="0" w:type="auto"/>
          </w:tcPr>
          <w:p w14:paraId="668D4E86" w14:textId="77777777" w:rsidR="00E93601" w:rsidRDefault="00BA0A6E" w:rsidP="00C31058">
            <w:pPr>
              <w:pStyle w:val="Compact"/>
            </w:pPr>
            <w:r>
              <w:lastRenderedPageBreak/>
              <w:t xml:space="preserve">Physically implausible for the geometry; </w:t>
            </w:r>
            <w:r>
              <w:lastRenderedPageBreak/>
              <w:t>watershed captured neighbouring material</w:t>
            </w:r>
          </w:p>
        </w:tc>
      </w:tr>
      <w:tr w:rsidR="00E93601" w14:paraId="668D4E8B" w14:textId="77777777">
        <w:tc>
          <w:tcPr>
            <w:tcW w:w="0" w:type="auto"/>
          </w:tcPr>
          <w:p w14:paraId="668D4E88" w14:textId="77777777" w:rsidR="00E93601" w:rsidRDefault="00BA0A6E" w:rsidP="00C31058">
            <w:pPr>
              <w:pStyle w:val="Compact"/>
            </w:pPr>
            <w:r>
              <w:lastRenderedPageBreak/>
              <w:t>Per-part watershed separation, cube batch</w:t>
            </w:r>
          </w:p>
        </w:tc>
        <w:tc>
          <w:tcPr>
            <w:tcW w:w="0" w:type="auto"/>
          </w:tcPr>
          <w:p w14:paraId="668D4E89" w14:textId="77777777" w:rsidR="00E93601" w:rsidRDefault="00BA0A6E" w:rsidP="00C31058">
            <w:pPr>
              <w:pStyle w:val="Compact"/>
            </w:pPr>
            <w:r>
              <w:t>CV 22–26 %</w:t>
            </w:r>
          </w:p>
        </w:tc>
        <w:tc>
          <w:tcPr>
            <w:tcW w:w="0" w:type="auto"/>
          </w:tcPr>
          <w:p w14:paraId="668D4E8A" w14:textId="77777777" w:rsidR="00E93601" w:rsidRDefault="00BA0A6E" w:rsidP="00C31058">
            <w:pPr>
              <w:pStyle w:val="Compact"/>
            </w:pPr>
            <w:r>
              <w:t>Same; downsampling required to fit memory coarsened the separation</w:t>
            </w:r>
          </w:p>
        </w:tc>
      </w:tr>
      <w:tr w:rsidR="00E93601" w14:paraId="668D4E8F" w14:textId="77777777">
        <w:tc>
          <w:tcPr>
            <w:tcW w:w="0" w:type="auto"/>
          </w:tcPr>
          <w:p w14:paraId="668D4E8C" w14:textId="77777777" w:rsidR="00E93601" w:rsidRDefault="00BA0A6E" w:rsidP="00C31058">
            <w:pPr>
              <w:pStyle w:val="Compact"/>
            </w:pPr>
            <w:r>
              <w:t>Radial size gradient across build platform</w:t>
            </w:r>
          </w:p>
        </w:tc>
        <w:tc>
          <w:tcPr>
            <w:tcW w:w="0" w:type="auto"/>
          </w:tcPr>
          <w:p w14:paraId="668D4E8D" w14:textId="77777777" w:rsidR="00E93601" w:rsidRDefault="00BA0A6E" w:rsidP="00C31058">
            <w:pPr>
              <w:pStyle w:val="Compact"/>
            </w:pPr>
            <w:r>
              <w:t>r = +0.559, p &lt; 0.0001, n = 287, +11.4 % centre to edge</w:t>
            </w:r>
          </w:p>
        </w:tc>
        <w:tc>
          <w:tcPr>
            <w:tcW w:w="0" w:type="auto"/>
          </w:tcPr>
          <w:p w14:paraId="668D4E8E" w14:textId="77777777" w:rsidR="00E93601" w:rsidRDefault="00BA0A6E" w:rsidP="00C31058">
            <w:pPr>
              <w:pStyle w:val="Compact"/>
            </w:pPr>
            <w:r>
              <w:t>Confounded by rectilinear projection in a non-telecentric photograph; cannot be attributed to the process</w:t>
            </w:r>
          </w:p>
        </w:tc>
      </w:tr>
      <w:tr w:rsidR="00E93601" w14:paraId="668D4E93" w14:textId="77777777">
        <w:tc>
          <w:tcPr>
            <w:tcW w:w="0" w:type="auto"/>
          </w:tcPr>
          <w:p w14:paraId="668D4E90" w14:textId="77777777" w:rsidR="00E93601" w:rsidRDefault="00BA0A6E" w:rsidP="00C31058">
            <w:pPr>
              <w:pStyle w:val="Compact"/>
            </w:pPr>
            <w:r>
              <w:t>Alumina tetrapods as a cross-material comparison</w:t>
            </w:r>
          </w:p>
        </w:tc>
        <w:tc>
          <w:tcPr>
            <w:tcW w:w="0" w:type="auto"/>
          </w:tcPr>
          <w:p w14:paraId="668D4E91" w14:textId="77777777" w:rsidR="00E93601" w:rsidRDefault="00BA0A6E" w:rsidP="00C31058">
            <w:pPr>
              <w:pStyle w:val="Compact"/>
            </w:pPr>
            <w:r>
              <w:t>Reported by a third party as showing no base deformation</w:t>
            </w:r>
          </w:p>
        </w:tc>
        <w:tc>
          <w:tcPr>
            <w:tcW w:w="0" w:type="auto"/>
          </w:tcPr>
          <w:p w14:paraId="668D4E92" w14:textId="77777777" w:rsidR="00E93601" w:rsidRDefault="00BA0A6E" w:rsidP="00C31058">
            <w:pPr>
              <w:pStyle w:val="Compact"/>
            </w:pPr>
            <w:r>
              <w:t>Four uncontrolled variables (slurry, layer thickness, part height, parameters); comparison not controlled</w:t>
            </w:r>
          </w:p>
        </w:tc>
      </w:tr>
      <w:tr w:rsidR="00E93601" w14:paraId="668D4E97" w14:textId="77777777">
        <w:tc>
          <w:tcPr>
            <w:tcW w:w="0" w:type="auto"/>
          </w:tcPr>
          <w:p w14:paraId="668D4E94" w14:textId="77777777" w:rsidR="00E93601" w:rsidRDefault="00BA0A6E" w:rsidP="00C31058">
            <w:pPr>
              <w:pStyle w:val="Compact"/>
            </w:pPr>
            <w:r>
              <w:t>Green surface dark features</w:t>
            </w:r>
          </w:p>
        </w:tc>
        <w:tc>
          <w:tcPr>
            <w:tcW w:w="0" w:type="auto"/>
          </w:tcPr>
          <w:p w14:paraId="668D4E95" w14:textId="77777777" w:rsidR="00E93601" w:rsidRDefault="00BA0A6E" w:rsidP="00C31058">
            <w:pPr>
              <w:pStyle w:val="Compact"/>
            </w:pPr>
            <w:r>
              <w:t>~7 % areal, median 2.9 µm equivalent diameter</w:t>
            </w:r>
          </w:p>
        </w:tc>
        <w:tc>
          <w:tcPr>
            <w:tcW w:w="0" w:type="auto"/>
          </w:tcPr>
          <w:p w14:paraId="668D4E96" w14:textId="77777777" w:rsidR="00E93601" w:rsidRDefault="00BA0A6E" w:rsidP="00C31058">
            <w:pPr>
              <w:pStyle w:val="Compact"/>
            </w:pPr>
            <w:r>
              <w:t>Median is six pixels at the calibration used; resolution-limited, and agglomerates cannot be distinguished from entrapped air optically</w:t>
            </w:r>
          </w:p>
        </w:tc>
      </w:tr>
    </w:tbl>
    <w:p w14:paraId="668D4E98" w14:textId="77777777" w:rsidR="00E93601" w:rsidRDefault="00BA0A6E" w:rsidP="00C31058">
      <w:pPr>
        <w:pStyle w:val="BodyText"/>
      </w:pPr>
      <w:r>
        <w:t>Each of these analyses was completed and set aside on the grounds given.</w:t>
      </w:r>
      <w:bookmarkEnd w:id="0"/>
      <w:bookmarkEnd w:id="28"/>
    </w:p>
    <w:sectPr w:rsidR="00E93601">
      <w:headerReference w:type="even" r:id="rId10"/>
      <w:headerReference w:type="default" r:id="rId11"/>
      <w:headerReference w:type="first" r:id="rId12"/>
      <w:pgSz w:w="12240" w:h="15840"/>
      <w:pgMar w:top="1417" w:right="1134" w:bottom="1417" w:left="1134"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3" w:author="Adel Badria (note to self)" w:date="2026-09-18T03:20:00Z" w:initials="AB">
    <w:p w14:paraId="668D4E9F" w14:textId="77777777" w:rsidR="00E93601" w:rsidRDefault="00BA0A6E">
      <w:r>
        <w:annotationRef/>
      </w:r>
      <w:r>
        <w:rPr>
          <w:color w:val="000000"/>
          <w:sz w:val="20"/>
          <w:szCs w:val="20"/>
        </w:rPr>
        <w:t>Lithoz GmbH, personal communication — citation permission pending on M. Schwentenwein, see §2.1 of the main text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68D4E9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68D4E9F" w16cid:durableId="668D4E9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58D04D" w14:textId="77777777" w:rsidR="00BA0A6E" w:rsidRDefault="00BA0A6E">
      <w:pPr>
        <w:spacing w:after="0"/>
      </w:pPr>
      <w:r>
        <w:separator/>
      </w:r>
    </w:p>
  </w:endnote>
  <w:endnote w:type="continuationSeparator" w:id="0">
    <w:p w14:paraId="599CEF57" w14:textId="77777777" w:rsidR="00BA0A6E" w:rsidRDefault="00BA0A6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D961AC" w14:textId="77777777" w:rsidR="00BA0A6E" w:rsidRDefault="00BA0A6E">
      <w:r>
        <w:separator/>
      </w:r>
    </w:p>
  </w:footnote>
  <w:footnote w:type="continuationSeparator" w:id="0">
    <w:p w14:paraId="52120302" w14:textId="77777777" w:rsidR="00BA0A6E" w:rsidRDefault="00BA0A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01D8E" w14:textId="77777777" w:rsidR="00C31058" w:rsidRDefault="00C310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EA903" w14:textId="77777777" w:rsidR="00C31058" w:rsidRDefault="00C310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DFE4B" w14:textId="77777777" w:rsidR="00C31058" w:rsidRDefault="00C310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E44E2CA4"/>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A99411"/>
    <w:multiLevelType w:val="multilevel"/>
    <w:tmpl w:val="EBF46EEE"/>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 w16cid:durableId="380834398">
    <w:abstractNumId w:val="0"/>
  </w:num>
  <w:num w:numId="2" w16cid:durableId="20505665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93601"/>
    <w:rsid w:val="003A42BB"/>
    <w:rsid w:val="00691F43"/>
    <w:rsid w:val="00BA0A6E"/>
    <w:rsid w:val="00C31058"/>
    <w:rsid w:val="00D84E32"/>
    <w:rsid w:val="00E93601"/>
  </w:rsids>
  <m:mathPr>
    <m:mathFont m:val="Cambria Math"/>
    <m:brkBin m:val="before"/>
    <m:brkBinSub m:val="--"/>
    <m:smallFrac m:val="0"/>
    <m:dispDef/>
    <m:lMargin m:val="0"/>
    <m:rMargin m:val="0"/>
    <m:defJc m:val="centerGroup"/>
    <m:wrapRight/>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D4C62"/>
  <w15:docId w15:val="{58DB82DE-5ED2-4612-8C69-5D4E07129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C31058"/>
    <w:pPr>
      <w:spacing w:before="180" w:after="180"/>
      <w:jc w:val="both"/>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rPr>
      <w:sz w:val="20"/>
      <w:szCs w:val="20"/>
    </w:rPr>
  </w:style>
  <w:style w:type="character" w:styleId="CommentReference">
    <w:name w:val="annotation reference"/>
    <w:basedOn w:val="DefaultParagraphFont"/>
    <w:rPr>
      <w:sz w:val="16"/>
      <w:szCs w:val="16"/>
    </w:rPr>
  </w:style>
  <w:style w:type="paragraph" w:styleId="Header">
    <w:name w:val="header"/>
    <w:basedOn w:val="Normal"/>
    <w:link w:val="HeaderChar"/>
    <w:rsid w:val="00C31058"/>
    <w:pPr>
      <w:tabs>
        <w:tab w:val="center" w:pos="4819"/>
        <w:tab w:val="right" w:pos="9638"/>
      </w:tabs>
      <w:spacing w:after="0"/>
    </w:pPr>
  </w:style>
  <w:style w:type="character" w:customStyle="1" w:styleId="HeaderChar">
    <w:name w:val="Header Char"/>
    <w:basedOn w:val="DefaultParagraphFont"/>
    <w:link w:val="Header"/>
    <w:rsid w:val="00C31058"/>
  </w:style>
  <w:style w:type="paragraph" w:styleId="Footer">
    <w:name w:val="footer"/>
    <w:basedOn w:val="Normal"/>
    <w:link w:val="FooterChar"/>
    <w:rsid w:val="00D84E32"/>
    <w:pPr>
      <w:tabs>
        <w:tab w:val="center" w:pos="4819"/>
        <w:tab w:val="right" w:pos="9638"/>
      </w:tabs>
      <w:spacing w:after="0"/>
    </w:pPr>
  </w:style>
  <w:style w:type="character" w:customStyle="1" w:styleId="FooterChar">
    <w:name w:val="Footer Char"/>
    <w:basedOn w:val="DefaultParagraphFont"/>
    <w:link w:val="Footer"/>
    <w:rsid w:val="00D84E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4818</Words>
  <Characters>27467</Characters>
  <Application>Microsoft Office Word</Application>
  <DocSecurity>0</DocSecurity>
  <Lines>228</Lines>
  <Paragraphs>64</Paragraphs>
  <ScaleCrop>false</ScaleCrop>
  <Company/>
  <LinksUpToDate>false</LinksUpToDate>
  <CharactersWithSpaces>32221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Adel Badria (TAU)</cp:lastModifiedBy>
  <cp:revision>4</cp:revision>
  <dcterms:created xsi:type="dcterms:W3CDTF">2026-09-18T03:20:00Z</dcterms:created>
  <dcterms:modified xsi:type="dcterms:W3CDTF">2026-09-18T04:08:00Z</dcterms:modified>
</cp:coreProperties>
</file>