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Table S1. Compound identities, structural classes, sources and ADMET properties.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9D9D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Compound</w:t>
            </w:r>
          </w:p>
        </w:tc>
        <w:tc>
          <w:tcPr>
            <w:shd w:fill="D9D9D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Scaffold class</w:t>
            </w:r>
          </w:p>
        </w:tc>
        <w:tc>
          <w:tcPr>
            <w:shd w:fill="D9D9D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Source</w:t>
            </w:r>
          </w:p>
        </w:tc>
        <w:tc>
          <w:tcPr>
            <w:shd w:fill="D9D9D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MW (Da)</w:t>
            </w:r>
          </w:p>
        </w:tc>
        <w:tc>
          <w:tcPr>
            <w:shd w:fill="D9D9D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LogP</w:t>
            </w:r>
          </w:p>
        </w:tc>
        <w:tc>
          <w:tcPr>
            <w:shd w:fill="D9D9D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QED</w:t>
            </w:r>
          </w:p>
        </w:tc>
        <w:tc>
          <w:tcPr>
            <w:shd w:fill="D9D9D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Lipinski</w:t>
            </w:r>
          </w:p>
        </w:tc>
        <w:tc>
          <w:tcPr>
            <w:shd w:fill="D9D9D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PAINS</w:t>
            </w:r>
          </w:p>
        </w:tc>
        <w:tc>
          <w:tcPr>
            <w:shd w:fill="D9D9D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SMILES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JKE-1674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Chloroacetamide–piperazine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Prior GPX4 screening [6]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377.4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2.29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0.888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PASS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Clean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Available on request</w:t>
            </w:r>
          </w:p>
        </w:tc>
      </w:tr>
      <w:tr>
        <w:trPr>
          <w:tblHeader w:val="false"/>
        </w:trPr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ClAcNH_001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Chloroacetamide–naphthalenyl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Prior GPX4 screening [6]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267.6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2.81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0.852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PASS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Clean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Available on request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PipAryl_005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Piperazine–aryl ketone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Prior SLC7A11 screening [6]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381.5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3.02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0.821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PASS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Clean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Available on request</w:t>
            </w:r>
          </w:p>
        </w:tc>
      </w:tr>
      <w:tr>
        <w:trPr>
          <w:tblHeader w:val="false"/>
        </w:trPr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iFSP1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Aryl-urea CoQ mimic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Bersuker 2019 [4]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398.4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6.23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0.444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FAIL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Clean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Available on request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FSEN1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Aryl-urea (approx.)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Hendricks 2023 [7]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357.2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6.30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0.567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FAIL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Clean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Approximate — see footnote</w:t>
            </w:r>
          </w:p>
        </w:tc>
      </w:tr>
      <w:tr>
        <w:trPr>
          <w:tblHeader w:val="false"/>
        </w:trPr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CoQ_Mimic_001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Dimethoxyphenyl-amide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De novo, this work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303.3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3.41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0.889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PASS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Clean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Available on request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CoQ_Mimic_002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Dimethoxyphenyl-amide (ext.)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De novo, this work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339.3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3.90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0.899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PASS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Clean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Available on request</w:t>
            </w:r>
          </w:p>
        </w:tc>
      </w:tr>
      <w:tr>
        <w:trPr>
          <w:tblHeader w:val="false"/>
        </w:trPr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BenzThiaz_FSP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Benzothiazole–CoQ hybrid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De novo, this work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408.5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5.37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0.482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FAIL*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Clean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Available on request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Quinone_001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Naphthoquinone–amine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De novo, this work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267.3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3.20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0.908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PASS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quinone_A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Available on request</w:t>
            </w:r>
          </w:p>
        </w:tc>
      </w:tr>
      <w:tr>
        <w:trPr>
          <w:tblHeader w:val="false"/>
        </w:trPr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Quinone_002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Methoxy-naphthoquinone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De novo, this work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343.8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3.73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0.916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PASS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quinone_A</w:t>
            </w:r>
          </w:p>
        </w:tc>
        <w:tc>
          <w:tcPr>
            <w:shd w:fill="F2F2F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Available on request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DualTarget_001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ClAc–methoxybenzamide hybrid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De novo, this work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348.8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3.13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0.786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PASS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Clean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Available on request</w:t>
            </w:r>
          </w:p>
        </w:tc>
      </w:tr>
    </w:tbl>
    <w:p>
      <w:pPr>
        <w:spacing w:before="200"/>
      </w:pPr>
      <w:r>
        <w:rPr>
          <w:rFonts w:ascii="Times New Roman" w:cs="Times New Roman" w:eastAsia="Times New Roman" w:hAnsi="Times New Roman"/>
          <w:sz w:val="17"/>
          <w:szCs w:val="17"/>
        </w:rPr>
        <w:t xml:space="preserve">MW: molecular weight. LogP: calculated octanol-water partition coefficient (RDKit). QED: quantitative estimate of drug-likeness. Lipinski: Rule of Five (MW ≤ 500, LogP ≤ 5, HBD ≤ 5, HBA ≤ 10). PAINS: pan-assay interference compound filter (RDKit PAINS_A/B/C). FAIL*: Lipinski failure on LogP (5.37). SMILES strings are available from the corresponding author on request. FSEN1 SMILES used here is approximate; the primary FSP1 reference inhibitor is iFSP1.</w:t>
      </w:r>
    </w:p>
    <w:sectPr>
      <w:pgSz w:w="15840" w:h="122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2026-10-02T17:32:30.093Z</dcterms:created>
  <dcterms:modified xsi:type="dcterms:W3CDTF">2026-10-02T17:32:30.099Z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