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Times New Roman" w:cs="Times New Roman" w:eastAsia="Times New Roman" w:hAnsi="Times New Roman"/>
          <w:b/>
          <w:bCs/>
          <w:sz w:val="20"/>
          <w:szCs w:val="20"/>
        </w:rPr>
        <w:t xml:space="preserve">Supplementary Table S2. Prior screening campaign parameters and top scores.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tblGrid>
      <w:tr>
        <w:trPr>
          <w:tblHeader/>
        </w:trPr>
        <w:tc>
          <w:tcPr>
            <w:shd w:fill="D9D9D9" w:val="solid"/>
            <w:tcMar>
              <w:top w:type="dxa" w:w="60"/>
              <w:left w:type="dxa" w:w="80"/>
              <w:bottom w:type="dxa" w:w="60"/>
              <w:right w:type="dxa" w:w="80"/>
            </w:tcMar>
          </w:tcPr>
          <w:p>
            <w:pPr>
              <w:spacing w:after="40" w:before="40"/>
              <w:jc w:val="center"/>
            </w:pPr>
            <w:r>
              <w:rPr>
                <w:rFonts w:ascii="Times New Roman" w:cs="Times New Roman" w:eastAsia="Times New Roman" w:hAnsi="Times New Roman"/>
                <w:b/>
                <w:bCs/>
                <w:sz w:val="20"/>
                <w:szCs w:val="20"/>
              </w:rPr>
              <w:t xml:space="preserve">Campaign</w:t>
            </w:r>
          </w:p>
        </w:tc>
        <w:tc>
          <w:tcPr>
            <w:shd w:fill="D9D9D9" w:val="solid"/>
            <w:tcMar>
              <w:top w:type="dxa" w:w="60"/>
              <w:left w:type="dxa" w:w="80"/>
              <w:bottom w:type="dxa" w:w="60"/>
              <w:right w:type="dxa" w:w="80"/>
            </w:tcMar>
          </w:tcPr>
          <w:p>
            <w:pPr>
              <w:spacing w:after="40" w:before="40"/>
              <w:jc w:val="center"/>
            </w:pPr>
            <w:r>
              <w:rPr>
                <w:rFonts w:ascii="Times New Roman" w:cs="Times New Roman" w:eastAsia="Times New Roman" w:hAnsi="Times New Roman"/>
                <w:b/>
                <w:bCs/>
                <w:sz w:val="20"/>
                <w:szCs w:val="20"/>
              </w:rPr>
              <w:t xml:space="preserve">Receptor PDB</w:t>
            </w:r>
          </w:p>
        </w:tc>
        <w:tc>
          <w:tcPr>
            <w:shd w:fill="D9D9D9" w:val="solid"/>
            <w:tcMar>
              <w:top w:type="dxa" w:w="60"/>
              <w:left w:type="dxa" w:w="80"/>
              <w:bottom w:type="dxa" w:w="60"/>
              <w:right w:type="dxa" w:w="80"/>
            </w:tcMar>
          </w:tcPr>
          <w:p>
            <w:pPr>
              <w:spacing w:after="40" w:before="40"/>
              <w:jc w:val="center"/>
            </w:pPr>
            <w:r>
              <w:rPr>
                <w:rFonts w:ascii="Times New Roman" w:cs="Times New Roman" w:eastAsia="Times New Roman" w:hAnsi="Times New Roman"/>
                <w:b/>
                <w:bCs/>
                <w:sz w:val="20"/>
                <w:szCs w:val="20"/>
              </w:rPr>
              <w:t xml:space="preserve">Binding site</w:t>
            </w:r>
          </w:p>
        </w:tc>
        <w:tc>
          <w:tcPr>
            <w:shd w:fill="D9D9D9" w:val="solid"/>
            <w:tcMar>
              <w:top w:type="dxa" w:w="60"/>
              <w:left w:type="dxa" w:w="80"/>
              <w:bottom w:type="dxa" w:w="60"/>
              <w:right w:type="dxa" w:w="80"/>
            </w:tcMar>
          </w:tcPr>
          <w:p>
            <w:pPr>
              <w:spacing w:after="40" w:before="40"/>
              <w:jc w:val="center"/>
            </w:pPr>
            <w:r>
              <w:rPr>
                <w:rFonts w:ascii="Times New Roman" w:cs="Times New Roman" w:eastAsia="Times New Roman" w:hAnsi="Times New Roman"/>
                <w:b/>
                <w:bCs/>
                <w:sz w:val="20"/>
                <w:szCs w:val="20"/>
              </w:rPr>
              <w:t xml:space="preserve">Box centre (Å)</w:t>
            </w:r>
          </w:p>
        </w:tc>
        <w:tc>
          <w:tcPr>
            <w:shd w:fill="D9D9D9" w:val="solid"/>
            <w:tcMar>
              <w:top w:type="dxa" w:w="60"/>
              <w:left w:type="dxa" w:w="80"/>
              <w:bottom w:type="dxa" w:w="60"/>
              <w:right w:type="dxa" w:w="80"/>
            </w:tcMar>
          </w:tcPr>
          <w:p>
            <w:pPr>
              <w:spacing w:after="40" w:before="40"/>
              <w:jc w:val="center"/>
            </w:pPr>
            <w:r>
              <w:rPr>
                <w:rFonts w:ascii="Times New Roman" w:cs="Times New Roman" w:eastAsia="Times New Roman" w:hAnsi="Times New Roman"/>
                <w:b/>
                <w:bCs/>
                <w:sz w:val="20"/>
                <w:szCs w:val="20"/>
              </w:rPr>
              <w:t xml:space="preserve">Box size (Å³)</w:t>
            </w:r>
          </w:p>
        </w:tc>
        <w:tc>
          <w:tcPr>
            <w:shd w:fill="D9D9D9" w:val="solid"/>
            <w:tcMar>
              <w:top w:type="dxa" w:w="60"/>
              <w:left w:type="dxa" w:w="80"/>
              <w:bottom w:type="dxa" w:w="60"/>
              <w:right w:type="dxa" w:w="80"/>
            </w:tcMar>
          </w:tcPr>
          <w:p>
            <w:pPr>
              <w:spacing w:after="40" w:before="40"/>
              <w:jc w:val="center"/>
            </w:pPr>
            <w:r>
              <w:rPr>
                <w:rFonts w:ascii="Times New Roman" w:cs="Times New Roman" w:eastAsia="Times New Roman" w:hAnsi="Times New Roman"/>
                <w:b/>
                <w:bCs/>
                <w:sz w:val="20"/>
                <w:szCs w:val="20"/>
              </w:rPr>
              <w:t xml:space="preserve">Exhaustiveness</w:t>
            </w:r>
          </w:p>
        </w:tc>
        <w:tc>
          <w:tcPr>
            <w:shd w:fill="D9D9D9" w:val="solid"/>
            <w:tcMar>
              <w:top w:type="dxa" w:w="60"/>
              <w:left w:type="dxa" w:w="80"/>
              <w:bottom w:type="dxa" w:w="60"/>
              <w:right w:type="dxa" w:w="80"/>
            </w:tcMar>
          </w:tcPr>
          <w:p>
            <w:pPr>
              <w:spacing w:after="40" w:before="40"/>
              <w:jc w:val="center"/>
            </w:pPr>
            <w:r>
              <w:rPr>
                <w:rFonts w:ascii="Times New Roman" w:cs="Times New Roman" w:eastAsia="Times New Roman" w:hAnsi="Times New Roman"/>
                <w:b/>
                <w:bCs/>
                <w:sz w:val="20"/>
                <w:szCs w:val="20"/>
              </w:rPr>
              <w:t xml:space="preserve">Compound</w:t>
            </w:r>
          </w:p>
        </w:tc>
        <w:tc>
          <w:tcPr>
            <w:shd w:fill="D9D9D9" w:val="solid"/>
            <w:tcMar>
              <w:top w:type="dxa" w:w="60"/>
              <w:left w:type="dxa" w:w="80"/>
              <w:bottom w:type="dxa" w:w="60"/>
              <w:right w:type="dxa" w:w="80"/>
            </w:tcMar>
          </w:tcPr>
          <w:p>
            <w:pPr>
              <w:spacing w:after="40" w:before="40"/>
              <w:jc w:val="center"/>
            </w:pPr>
            <w:r>
              <w:rPr>
                <w:rFonts w:ascii="Times New Roman" w:cs="Times New Roman" w:eastAsia="Times New Roman" w:hAnsi="Times New Roman"/>
                <w:b/>
                <w:bCs/>
                <w:sz w:val="20"/>
                <w:szCs w:val="20"/>
              </w:rPr>
              <w:t xml:space="preserve">Score (kcal/mol)</w:t>
            </w:r>
          </w:p>
        </w:tc>
        <w:tc>
          <w:tcPr>
            <w:shd w:fill="D9D9D9" w:val="solid"/>
            <w:tcMar>
              <w:top w:type="dxa" w:w="60"/>
              <w:left w:type="dxa" w:w="80"/>
              <w:bottom w:type="dxa" w:w="60"/>
              <w:right w:type="dxa" w:w="80"/>
            </w:tcMar>
          </w:tcPr>
          <w:p>
            <w:pPr>
              <w:spacing w:after="40" w:before="40"/>
              <w:jc w:val="center"/>
            </w:pPr>
            <w:r>
              <w:rPr>
                <w:rFonts w:ascii="Times New Roman" w:cs="Times New Roman" w:eastAsia="Times New Roman" w:hAnsi="Times New Roman"/>
                <w:b/>
                <w:bCs/>
                <w:sz w:val="20"/>
                <w:szCs w:val="20"/>
              </w:rPr>
              <w:t xml:space="preserve">Notes</w:t>
            </w:r>
          </w:p>
        </w:tc>
      </w:tr>
      <w:tr>
        <w:tc>
          <w:tcPr>
            <w:shd w:fill="F5F5F5" w:val="solid"/>
            <w:tcMar>
              <w:top w:type="dxa" w:w="60"/>
              <w:left w:type="dxa" w:w="80"/>
              <w:bottom w:type="dxa" w:w="60"/>
              <w:right w:type="dxa" w:w="80"/>
            </w:tcMar>
          </w:tcPr>
          <w:p>
            <w:pPr>
              <w:spacing w:after="40" w:before="40"/>
              <w:jc w:val="left"/>
            </w:pPr>
            <w:r>
              <w:rPr>
                <w:rFonts w:ascii="Times New Roman" w:cs="Times New Roman" w:eastAsia="Times New Roman" w:hAnsi="Times New Roman"/>
                <w:b w:val="false"/>
                <w:bCs w:val="false"/>
                <w:sz w:val="20"/>
                <w:szCs w:val="20"/>
              </w:rPr>
              <w:t xml:space="preserve">GPX4 campaign</w:t>
            </w:r>
          </w:p>
        </w:tc>
        <w:tc>
          <w:tcPr>
            <w:shd w:fill="F5F5F5" w:val="solid"/>
            <w:tcMar>
              <w:top w:type="dxa" w:w="60"/>
              <w:left w:type="dxa" w:w="80"/>
              <w:bottom w:type="dxa" w:w="60"/>
              <w:right w:type="dxa" w:w="80"/>
            </w:tcMar>
          </w:tcPr>
          <w:p>
            <w:pPr>
              <w:spacing w:after="40" w:before="40"/>
              <w:jc w:val="center"/>
            </w:pPr>
            <w:r>
              <w:rPr>
                <w:rFonts w:ascii="Times New Roman" w:cs="Times New Roman" w:eastAsia="Times New Roman" w:hAnsi="Times New Roman"/>
                <w:b w:val="false"/>
                <w:bCs w:val="false"/>
                <w:sz w:val="20"/>
                <w:szCs w:val="20"/>
              </w:rPr>
              <w:t xml:space="preserve">7KTC (GPX4–RSL3 complex)</w:t>
            </w:r>
          </w:p>
        </w:tc>
        <w:tc>
          <w:tcPr>
            <w:shd w:fill="F5F5F5" w:val="solid"/>
            <w:tcMar>
              <w:top w:type="dxa" w:w="60"/>
              <w:left w:type="dxa" w:w="80"/>
              <w:bottom w:type="dxa" w:w="60"/>
              <w:right w:type="dxa" w:w="80"/>
            </w:tcMar>
          </w:tcPr>
          <w:p>
            <w:pPr>
              <w:spacing w:after="40" w:before="40"/>
              <w:jc w:val="center"/>
            </w:pPr>
            <w:r>
              <w:rPr>
                <w:rFonts w:ascii="Times New Roman" w:cs="Times New Roman" w:eastAsia="Times New Roman" w:hAnsi="Times New Roman"/>
                <w:b w:val="false"/>
                <w:bCs w:val="false"/>
                <w:sz w:val="20"/>
                <w:szCs w:val="20"/>
              </w:rPr>
              <w:t xml:space="preserve">Allosteric C161 covalent site</w:t>
            </w:r>
          </w:p>
        </w:tc>
        <w:tc>
          <w:tcPr>
            <w:shd w:fill="F5F5F5" w:val="solid"/>
            <w:tcMar>
              <w:top w:type="dxa" w:w="60"/>
              <w:left w:type="dxa" w:w="80"/>
              <w:bottom w:type="dxa" w:w="60"/>
              <w:right w:type="dxa" w:w="80"/>
            </w:tcMar>
          </w:tcPr>
          <w:p>
            <w:pPr>
              <w:spacing w:after="40" w:before="40"/>
              <w:jc w:val="center"/>
            </w:pPr>
            <w:r>
              <w:rPr>
                <w:rFonts w:ascii="Times New Roman" w:cs="Times New Roman" w:eastAsia="Times New Roman" w:hAnsi="Times New Roman"/>
                <w:b w:val="false"/>
                <w:bCs w:val="false"/>
                <w:sz w:val="20"/>
                <w:szCs w:val="20"/>
              </w:rPr>
              <w:t xml:space="preserve">(−7.2, 1.1, 8.4)</w:t>
            </w:r>
          </w:p>
        </w:tc>
        <w:tc>
          <w:tcPr>
            <w:shd w:fill="F5F5F5" w:val="solid"/>
            <w:tcMar>
              <w:top w:type="dxa" w:w="60"/>
              <w:left w:type="dxa" w:w="80"/>
              <w:bottom w:type="dxa" w:w="60"/>
              <w:right w:type="dxa" w:w="80"/>
            </w:tcMar>
          </w:tcPr>
          <w:p>
            <w:pPr>
              <w:spacing w:after="40" w:before="40"/>
              <w:jc w:val="center"/>
            </w:pPr>
            <w:r>
              <w:rPr>
                <w:rFonts w:ascii="Times New Roman" w:cs="Times New Roman" w:eastAsia="Times New Roman" w:hAnsi="Times New Roman"/>
                <w:b w:val="false"/>
                <w:bCs w:val="false"/>
                <w:sz w:val="20"/>
                <w:szCs w:val="20"/>
              </w:rPr>
              <w:t xml:space="preserve">24 × 24 × 24</w:t>
            </w:r>
          </w:p>
        </w:tc>
        <w:tc>
          <w:tcPr>
            <w:shd w:fill="F5F5F5" w:val="solid"/>
            <w:tcMar>
              <w:top w:type="dxa" w:w="60"/>
              <w:left w:type="dxa" w:w="80"/>
              <w:bottom w:type="dxa" w:w="60"/>
              <w:right w:type="dxa" w:w="80"/>
            </w:tcMar>
          </w:tcPr>
          <w:p>
            <w:pPr>
              <w:spacing w:after="40" w:before="40"/>
              <w:jc w:val="center"/>
            </w:pPr>
            <w:r>
              <w:rPr>
                <w:rFonts w:ascii="Times New Roman" w:cs="Times New Roman" w:eastAsia="Times New Roman" w:hAnsi="Times New Roman"/>
                <w:b w:val="false"/>
                <w:bCs w:val="false"/>
                <w:sz w:val="20"/>
                <w:szCs w:val="20"/>
              </w:rPr>
              <w:t xml:space="preserve">16</w:t>
            </w:r>
          </w:p>
        </w:tc>
        <w:tc>
          <w:tcPr>
            <w:shd w:fill="F5F5F5" w:val="solid"/>
            <w:tcMar>
              <w:top w:type="dxa" w:w="60"/>
              <w:left w:type="dxa" w:w="80"/>
              <w:bottom w:type="dxa" w:w="60"/>
              <w:right w:type="dxa" w:w="80"/>
            </w:tcMar>
          </w:tcPr>
          <w:p>
            <w:pPr>
              <w:spacing w:after="40" w:before="40"/>
              <w:jc w:val="center"/>
            </w:pPr>
            <w:r>
              <w:rPr>
                <w:rFonts w:ascii="Times New Roman" w:cs="Times New Roman" w:eastAsia="Times New Roman" w:hAnsi="Times New Roman"/>
                <w:b w:val="false"/>
                <w:bCs w:val="false"/>
                <w:sz w:val="20"/>
                <w:szCs w:val="20"/>
              </w:rPr>
              <w:t xml:space="preserve">JKE-1674</w:t>
            </w:r>
          </w:p>
        </w:tc>
        <w:tc>
          <w:tcPr>
            <w:shd w:fill="F5F5F5" w:val="solid"/>
            <w:tcMar>
              <w:top w:type="dxa" w:w="60"/>
              <w:left w:type="dxa" w:w="80"/>
              <w:bottom w:type="dxa" w:w="60"/>
              <w:right w:type="dxa" w:w="80"/>
            </w:tcMar>
          </w:tcPr>
          <w:p>
            <w:pPr>
              <w:spacing w:after="40" w:before="40"/>
              <w:jc w:val="center"/>
            </w:pPr>
            <w:r>
              <w:rPr>
                <w:rFonts w:ascii="Times New Roman" w:cs="Times New Roman" w:eastAsia="Times New Roman" w:hAnsi="Times New Roman"/>
                <w:b w:val="false"/>
                <w:bCs w:val="false"/>
                <w:sz w:val="20"/>
                <w:szCs w:val="20"/>
              </w:rPr>
              <w:t xml:space="preserve">−8.83</w:t>
            </w:r>
          </w:p>
        </w:tc>
        <w:tc>
          <w:tcPr>
            <w:shd w:fill="F5F5F5" w:val="solid"/>
            <w:tcMar>
              <w:top w:type="dxa" w:w="60"/>
              <w:left w:type="dxa" w:w="80"/>
              <w:bottom w:type="dxa" w:w="60"/>
              <w:right w:type="dxa" w:w="80"/>
            </w:tcMar>
          </w:tcPr>
          <w:p>
            <w:pPr>
              <w:spacing w:after="40" w:before="40"/>
              <w:jc w:val="center"/>
            </w:pPr>
            <w:r>
              <w:rPr>
                <w:rFonts w:ascii="Times New Roman" w:cs="Times New Roman" w:eastAsia="Times New Roman" w:hAnsi="Times New Roman"/>
                <w:b w:val="false"/>
                <w:bCs w:val="false"/>
                <w:sz w:val="20"/>
                <w:szCs w:val="20"/>
              </w:rPr>
              <w:t xml:space="preserve">GPX4 candidate #1</w:t>
            </w:r>
          </w:p>
        </w:tc>
      </w:tr>
      <w:tr>
        <w:tc>
          <w:tcPr>
            <w:tcMar>
              <w:top w:type="dxa" w:w="60"/>
              <w:left w:type="dxa" w:w="80"/>
              <w:bottom w:type="dxa" w:w="60"/>
              <w:right w:type="dxa" w:w="80"/>
            </w:tcMar>
          </w:tcPr>
          <w:p>
            <w:pPr>
              <w:spacing w:after="40" w:before="40"/>
              <w:jc w:val="left"/>
            </w:pPr>
            <w:r>
              <w:rPr>
                <w:rFonts w:ascii="Times New Roman" w:cs="Times New Roman" w:eastAsia="Times New Roman" w:hAnsi="Times New Roman"/>
                <w:b w:val="false"/>
                <w:bCs w:val="false"/>
                <w:sz w:val="20"/>
                <w:szCs w:val="20"/>
              </w:rPr>
              <w:t xml:space="preserve">GPX4 campaign</w:t>
            </w:r>
          </w:p>
        </w:tc>
        <w:tc>
          <w:tcPr>
            <w:tcMar>
              <w:top w:type="dxa" w:w="60"/>
              <w:left w:type="dxa" w:w="80"/>
              <w:bottom w:type="dxa" w:w="60"/>
              <w:right w:type="dxa" w:w="80"/>
            </w:tcMar>
          </w:tcPr>
          <w:p>
            <w:pPr>
              <w:spacing w:after="40" w:before="40"/>
              <w:jc w:val="center"/>
            </w:pPr>
            <w:r>
              <w:rPr>
                <w:rFonts w:ascii="Times New Roman" w:cs="Times New Roman" w:eastAsia="Times New Roman" w:hAnsi="Times New Roman"/>
                <w:b w:val="false"/>
                <w:bCs w:val="false"/>
                <w:sz w:val="20"/>
                <w:szCs w:val="20"/>
              </w:rPr>
              <w:t xml:space="preserve">7KTC</w:t>
            </w:r>
          </w:p>
        </w:tc>
        <w:tc>
          <w:tcPr>
            <w:tcMar>
              <w:top w:type="dxa" w:w="60"/>
              <w:left w:type="dxa" w:w="80"/>
              <w:bottom w:type="dxa" w:w="60"/>
              <w:right w:type="dxa" w:w="80"/>
            </w:tcMar>
          </w:tcPr>
          <w:p>
            <w:pPr>
              <w:spacing w:after="40" w:before="40"/>
              <w:jc w:val="center"/>
            </w:pPr>
            <w:r>
              <w:rPr>
                <w:rFonts w:ascii="Times New Roman" w:cs="Times New Roman" w:eastAsia="Times New Roman" w:hAnsi="Times New Roman"/>
                <w:b w:val="false"/>
                <w:bCs w:val="false"/>
                <w:sz w:val="20"/>
                <w:szCs w:val="20"/>
              </w:rPr>
              <w:t xml:space="preserve">Allosteric C161 site</w:t>
            </w:r>
          </w:p>
        </w:tc>
        <w:tc>
          <w:tcPr>
            <w:tcMar>
              <w:top w:type="dxa" w:w="60"/>
              <w:left w:type="dxa" w:w="80"/>
              <w:bottom w:type="dxa" w:w="60"/>
              <w:right w:type="dxa" w:w="80"/>
            </w:tcMar>
          </w:tcPr>
          <w:p>
            <w:pPr>
              <w:spacing w:after="40" w:before="40"/>
              <w:jc w:val="center"/>
            </w:pPr>
            <w:r>
              <w:rPr>
                <w:rFonts w:ascii="Times New Roman" w:cs="Times New Roman" w:eastAsia="Times New Roman" w:hAnsi="Times New Roman"/>
                <w:b w:val="false"/>
                <w:bCs w:val="false"/>
                <w:sz w:val="20"/>
                <w:szCs w:val="20"/>
              </w:rPr>
              <w:t xml:space="preserve">(−7.2, 1.1, 8.4)</w:t>
            </w:r>
          </w:p>
        </w:tc>
        <w:tc>
          <w:tcPr>
            <w:tcMar>
              <w:top w:type="dxa" w:w="60"/>
              <w:left w:type="dxa" w:w="80"/>
              <w:bottom w:type="dxa" w:w="60"/>
              <w:right w:type="dxa" w:w="80"/>
            </w:tcMar>
          </w:tcPr>
          <w:p>
            <w:pPr>
              <w:spacing w:after="40" w:before="40"/>
              <w:jc w:val="center"/>
            </w:pPr>
            <w:r>
              <w:rPr>
                <w:rFonts w:ascii="Times New Roman" w:cs="Times New Roman" w:eastAsia="Times New Roman" w:hAnsi="Times New Roman"/>
                <w:b w:val="false"/>
                <w:bCs w:val="false"/>
                <w:sz w:val="20"/>
                <w:szCs w:val="20"/>
              </w:rPr>
              <w:t xml:space="preserve">24 × 24 × 24</w:t>
            </w:r>
          </w:p>
        </w:tc>
        <w:tc>
          <w:tcPr>
            <w:tcMar>
              <w:top w:type="dxa" w:w="60"/>
              <w:left w:type="dxa" w:w="80"/>
              <w:bottom w:type="dxa" w:w="60"/>
              <w:right w:type="dxa" w:w="80"/>
            </w:tcMar>
          </w:tcPr>
          <w:p>
            <w:pPr>
              <w:spacing w:after="40" w:before="40"/>
              <w:jc w:val="center"/>
            </w:pPr>
            <w:r>
              <w:rPr>
                <w:rFonts w:ascii="Times New Roman" w:cs="Times New Roman" w:eastAsia="Times New Roman" w:hAnsi="Times New Roman"/>
                <w:b w:val="false"/>
                <w:bCs w:val="false"/>
                <w:sz w:val="20"/>
                <w:szCs w:val="20"/>
              </w:rPr>
              <w:t xml:space="preserve">16</w:t>
            </w:r>
          </w:p>
        </w:tc>
        <w:tc>
          <w:tcPr>
            <w:tcMar>
              <w:top w:type="dxa" w:w="60"/>
              <w:left w:type="dxa" w:w="80"/>
              <w:bottom w:type="dxa" w:w="60"/>
              <w:right w:type="dxa" w:w="80"/>
            </w:tcMar>
          </w:tcPr>
          <w:p>
            <w:pPr>
              <w:spacing w:after="40" w:before="40"/>
              <w:jc w:val="center"/>
            </w:pPr>
            <w:r>
              <w:rPr>
                <w:rFonts w:ascii="Times New Roman" w:cs="Times New Roman" w:eastAsia="Times New Roman" w:hAnsi="Times New Roman"/>
                <w:b w:val="false"/>
                <w:bCs w:val="false"/>
                <w:sz w:val="20"/>
                <w:szCs w:val="20"/>
              </w:rPr>
              <w:t xml:space="preserve">ClAcNH_001</w:t>
            </w:r>
          </w:p>
        </w:tc>
        <w:tc>
          <w:tcPr>
            <w:tcMar>
              <w:top w:type="dxa" w:w="60"/>
              <w:left w:type="dxa" w:w="80"/>
              <w:bottom w:type="dxa" w:w="60"/>
              <w:right w:type="dxa" w:w="80"/>
            </w:tcMar>
          </w:tcPr>
          <w:p>
            <w:pPr>
              <w:spacing w:after="40" w:before="40"/>
              <w:jc w:val="center"/>
            </w:pPr>
            <w:r>
              <w:rPr>
                <w:rFonts w:ascii="Times New Roman" w:cs="Times New Roman" w:eastAsia="Times New Roman" w:hAnsi="Times New Roman"/>
                <w:b w:val="false"/>
                <w:bCs w:val="false"/>
                <w:sz w:val="20"/>
                <w:szCs w:val="20"/>
              </w:rPr>
              <w:t xml:space="preserve">−8.10</w:t>
            </w:r>
          </w:p>
        </w:tc>
        <w:tc>
          <w:tcPr>
            <w:tcMar>
              <w:top w:type="dxa" w:w="60"/>
              <w:left w:type="dxa" w:w="80"/>
              <w:bottom w:type="dxa" w:w="60"/>
              <w:right w:type="dxa" w:w="80"/>
            </w:tcMar>
          </w:tcPr>
          <w:p>
            <w:pPr>
              <w:spacing w:after="40" w:before="40"/>
              <w:jc w:val="center"/>
            </w:pPr>
            <w:r>
              <w:rPr>
                <w:rFonts w:ascii="Times New Roman" w:cs="Times New Roman" w:eastAsia="Times New Roman" w:hAnsi="Times New Roman"/>
                <w:b w:val="false"/>
                <w:bCs w:val="false"/>
                <w:sz w:val="20"/>
                <w:szCs w:val="20"/>
              </w:rPr>
              <w:t xml:space="preserve">GPX4 candidate #2</w:t>
            </w:r>
          </w:p>
        </w:tc>
      </w:tr>
      <w:tr>
        <w:tc>
          <w:tcPr>
            <w:shd w:fill="F5F5F5" w:val="solid"/>
            <w:tcMar>
              <w:top w:type="dxa" w:w="60"/>
              <w:left w:type="dxa" w:w="80"/>
              <w:bottom w:type="dxa" w:w="60"/>
              <w:right w:type="dxa" w:w="80"/>
            </w:tcMar>
          </w:tcPr>
          <w:p>
            <w:pPr>
              <w:spacing w:after="40" w:before="40"/>
              <w:jc w:val="left"/>
            </w:pPr>
            <w:r>
              <w:rPr>
                <w:rFonts w:ascii="Times New Roman" w:cs="Times New Roman" w:eastAsia="Times New Roman" w:hAnsi="Times New Roman"/>
                <w:b w:val="false"/>
                <w:bCs w:val="false"/>
                <w:sz w:val="20"/>
                <w:szCs w:val="20"/>
              </w:rPr>
              <w:t xml:space="preserve">SLC7A11 campaign</w:t>
            </w:r>
          </w:p>
        </w:tc>
        <w:tc>
          <w:tcPr>
            <w:shd w:fill="F5F5F5" w:val="solid"/>
            <w:tcMar>
              <w:top w:type="dxa" w:w="60"/>
              <w:left w:type="dxa" w:w="80"/>
              <w:bottom w:type="dxa" w:w="60"/>
              <w:right w:type="dxa" w:w="80"/>
            </w:tcMar>
          </w:tcPr>
          <w:p>
            <w:pPr>
              <w:spacing w:after="40" w:before="40"/>
              <w:jc w:val="center"/>
            </w:pPr>
            <w:r>
              <w:rPr>
                <w:rFonts w:ascii="Times New Roman" w:cs="Times New Roman" w:eastAsia="Times New Roman" w:hAnsi="Times New Roman"/>
                <w:b w:val="false"/>
                <w:bCs w:val="false"/>
                <w:sz w:val="20"/>
                <w:szCs w:val="20"/>
              </w:rPr>
              <w:t xml:space="preserve">7P9U (SLC7A11–4F2hc)</w:t>
            </w:r>
          </w:p>
        </w:tc>
        <w:tc>
          <w:tcPr>
            <w:shd w:fill="F5F5F5" w:val="solid"/>
            <w:tcMar>
              <w:top w:type="dxa" w:w="60"/>
              <w:left w:type="dxa" w:w="80"/>
              <w:bottom w:type="dxa" w:w="60"/>
              <w:right w:type="dxa" w:w="80"/>
            </w:tcMar>
          </w:tcPr>
          <w:p>
            <w:pPr>
              <w:spacing w:after="40" w:before="40"/>
              <w:jc w:val="center"/>
            </w:pPr>
            <w:r>
              <w:rPr>
                <w:rFonts w:ascii="Times New Roman" w:cs="Times New Roman" w:eastAsia="Times New Roman" w:hAnsi="Times New Roman"/>
                <w:b w:val="false"/>
                <w:bCs w:val="false"/>
                <w:sz w:val="20"/>
                <w:szCs w:val="20"/>
              </w:rPr>
              <w:t xml:space="preserve">SLC7A11 substrate channel</w:t>
            </w:r>
          </w:p>
        </w:tc>
        <w:tc>
          <w:tcPr>
            <w:shd w:fill="F5F5F5" w:val="solid"/>
            <w:tcMar>
              <w:top w:type="dxa" w:w="60"/>
              <w:left w:type="dxa" w:w="80"/>
              <w:bottom w:type="dxa" w:w="60"/>
              <w:right w:type="dxa" w:w="80"/>
            </w:tcMar>
          </w:tcPr>
          <w:p>
            <w:pPr>
              <w:spacing w:after="40" w:before="40"/>
              <w:jc w:val="center"/>
            </w:pPr>
            <w:r>
              <w:rPr>
                <w:rFonts w:ascii="Times New Roman" w:cs="Times New Roman" w:eastAsia="Times New Roman" w:hAnsi="Times New Roman"/>
                <w:b w:val="false"/>
                <w:bCs w:val="false"/>
                <w:sz w:val="20"/>
                <w:szCs w:val="20"/>
              </w:rPr>
              <w:t xml:space="preserve">(12.3, −4.5, 6.7)</w:t>
            </w:r>
          </w:p>
        </w:tc>
        <w:tc>
          <w:tcPr>
            <w:shd w:fill="F5F5F5" w:val="solid"/>
            <w:tcMar>
              <w:top w:type="dxa" w:w="60"/>
              <w:left w:type="dxa" w:w="80"/>
              <w:bottom w:type="dxa" w:w="60"/>
              <w:right w:type="dxa" w:w="80"/>
            </w:tcMar>
          </w:tcPr>
          <w:p>
            <w:pPr>
              <w:spacing w:after="40" w:before="40"/>
              <w:jc w:val="center"/>
            </w:pPr>
            <w:r>
              <w:rPr>
                <w:rFonts w:ascii="Times New Roman" w:cs="Times New Roman" w:eastAsia="Times New Roman" w:hAnsi="Times New Roman"/>
                <w:b w:val="false"/>
                <w:bCs w:val="false"/>
                <w:sz w:val="20"/>
                <w:szCs w:val="20"/>
              </w:rPr>
              <w:t xml:space="preserve">26 × 26 × 26</w:t>
            </w:r>
          </w:p>
        </w:tc>
        <w:tc>
          <w:tcPr>
            <w:shd w:fill="F5F5F5" w:val="solid"/>
            <w:tcMar>
              <w:top w:type="dxa" w:w="60"/>
              <w:left w:type="dxa" w:w="80"/>
              <w:bottom w:type="dxa" w:w="60"/>
              <w:right w:type="dxa" w:w="80"/>
            </w:tcMar>
          </w:tcPr>
          <w:p>
            <w:pPr>
              <w:spacing w:after="40" w:before="40"/>
              <w:jc w:val="center"/>
            </w:pPr>
            <w:r>
              <w:rPr>
                <w:rFonts w:ascii="Times New Roman" w:cs="Times New Roman" w:eastAsia="Times New Roman" w:hAnsi="Times New Roman"/>
                <w:b w:val="false"/>
                <w:bCs w:val="false"/>
                <w:sz w:val="20"/>
                <w:szCs w:val="20"/>
              </w:rPr>
              <w:t xml:space="preserve">16</w:t>
            </w:r>
          </w:p>
        </w:tc>
        <w:tc>
          <w:tcPr>
            <w:shd w:fill="F5F5F5" w:val="solid"/>
            <w:tcMar>
              <w:top w:type="dxa" w:w="60"/>
              <w:left w:type="dxa" w:w="80"/>
              <w:bottom w:type="dxa" w:w="60"/>
              <w:right w:type="dxa" w:w="80"/>
            </w:tcMar>
          </w:tcPr>
          <w:p>
            <w:pPr>
              <w:spacing w:after="40" w:before="40"/>
              <w:jc w:val="center"/>
            </w:pPr>
            <w:r>
              <w:rPr>
                <w:rFonts w:ascii="Times New Roman" w:cs="Times New Roman" w:eastAsia="Times New Roman" w:hAnsi="Times New Roman"/>
                <w:b w:val="false"/>
                <w:bCs w:val="false"/>
                <w:sz w:val="20"/>
                <w:szCs w:val="20"/>
              </w:rPr>
              <w:t xml:space="preserve">PipAryl_005</w:t>
            </w:r>
          </w:p>
        </w:tc>
        <w:tc>
          <w:tcPr>
            <w:shd w:fill="F5F5F5" w:val="solid"/>
            <w:tcMar>
              <w:top w:type="dxa" w:w="60"/>
              <w:left w:type="dxa" w:w="80"/>
              <w:bottom w:type="dxa" w:w="60"/>
              <w:right w:type="dxa" w:w="80"/>
            </w:tcMar>
          </w:tcPr>
          <w:p>
            <w:pPr>
              <w:spacing w:after="40" w:before="40"/>
              <w:jc w:val="center"/>
            </w:pPr>
            <w:r>
              <w:rPr>
                <w:rFonts w:ascii="Times New Roman" w:cs="Times New Roman" w:eastAsia="Times New Roman" w:hAnsi="Times New Roman"/>
                <w:b w:val="false"/>
                <w:bCs w:val="false"/>
                <w:sz w:val="20"/>
                <w:szCs w:val="20"/>
              </w:rPr>
              <w:t xml:space="preserve">−8.47</w:t>
            </w:r>
          </w:p>
        </w:tc>
        <w:tc>
          <w:tcPr>
            <w:shd w:fill="F5F5F5" w:val="solid"/>
            <w:tcMar>
              <w:top w:type="dxa" w:w="60"/>
              <w:left w:type="dxa" w:w="80"/>
              <w:bottom w:type="dxa" w:w="60"/>
              <w:right w:type="dxa" w:w="80"/>
            </w:tcMar>
          </w:tcPr>
          <w:p>
            <w:pPr>
              <w:spacing w:after="40" w:before="40"/>
              <w:jc w:val="center"/>
            </w:pPr>
            <w:r>
              <w:rPr>
                <w:rFonts w:ascii="Times New Roman" w:cs="Times New Roman" w:eastAsia="Times New Roman" w:hAnsi="Times New Roman"/>
                <w:b w:val="false"/>
                <w:bCs w:val="false"/>
                <w:sz w:val="20"/>
                <w:szCs w:val="20"/>
              </w:rPr>
              <w:t xml:space="preserve">SLC7A11 candidate #1</w:t>
            </w:r>
          </w:p>
        </w:tc>
      </w:tr>
    </w:tbl>
    <w:p>
      <w:pPr>
        <w:spacing w:before="200"/>
      </w:pPr>
      <w:r>
        <w:rPr>
          <w:rFonts w:ascii="Times New Roman" w:cs="Times New Roman" w:eastAsia="Times New Roman" w:hAnsi="Times New Roman"/>
          <w:sz w:val="20"/>
          <w:szCs w:val="20"/>
        </w:rPr>
        <w:t xml:space="preserve">All prior-campaign docking used AutoDock Vina 1.2.7. Receptor preparation: Open Babel 3.1 (Gasteiger charges, pH 7.4). Box coordinates are approximate centroids of the known binding site for each receptor. Full SMILES, 3D conformer files and complete score tables are available from the corresponding author on request.</w:t>
      </w:r>
    </w:p>
    <w:sectPr>
      <w:pgSz w:w="15840" w:h="122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2026-10-03T05:54:55.561Z</dcterms:created>
  <dcterms:modified xsi:type="dcterms:W3CDTF">2026-10-03T05:54:55.561Z</dcterms:modified>
</cp:coreProperties>
</file>

<file path=docProps/custom.xml><?xml version="1.0" encoding="utf-8"?>
<Properties xmlns="http://schemas.openxmlformats.org/officeDocument/2006/custom-properties" xmlns:vt="http://schemas.openxmlformats.org/officeDocument/2006/docPropsVTypes"/>
</file>