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513"/>
        <w:tblW w:w="9715" w:type="dxa"/>
        <w:tblLook w:val="04A0" w:firstRow="1" w:lastRow="0" w:firstColumn="1" w:lastColumn="0" w:noHBand="0" w:noVBand="1"/>
      </w:tblPr>
      <w:tblGrid>
        <w:gridCol w:w="1075"/>
        <w:gridCol w:w="900"/>
        <w:gridCol w:w="990"/>
        <w:gridCol w:w="2700"/>
        <w:gridCol w:w="1372"/>
        <w:gridCol w:w="2678"/>
      </w:tblGrid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bookmarkStart w:id="0" w:name="_GoBack"/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Patient ID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Age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Gender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Mechanism of Injury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Tile Classification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Associated Injuries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28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Motor Vehicle Accident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B3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Rib fractures, Lung contusion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42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Fall from height (6m)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C1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Distal radius fracture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3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19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Motorcycle Crash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B3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Urethral injury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4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35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F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Motor Vehicle Accident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B3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None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5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51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Crush injury (Industrial)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C1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Sacral alar fracture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6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24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Motorcycle Crash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B3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Head injury (Concussion)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7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31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F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Pedestrian vs. Auto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B3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Bladder contusion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45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Motor Vehicle Accident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C2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Femoral shaft fracture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9</w:t>
            </w:r>
          </w:p>
        </w:tc>
        <w:tc>
          <w:tcPr>
            <w:tcW w:w="900" w:type="dxa"/>
            <w:vAlign w:val="center"/>
          </w:tcPr>
          <w:p w:rsidR="003F4C61" w:rsidRPr="00EA1B83" w:rsidRDefault="00CB48C7" w:rsidP="00CB48C7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16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Fall from height (4m)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B3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Calcaneal fracture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10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38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Motor Vehicle Accident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B3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None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11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27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F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Motorcycle Crash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B3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Urethral injury</w:t>
            </w:r>
          </w:p>
        </w:tc>
      </w:tr>
      <w:tr w:rsidR="003F4C61" w:rsidTr="003F4C61">
        <w:tc>
          <w:tcPr>
            <w:tcW w:w="1075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12</w:t>
            </w:r>
          </w:p>
        </w:tc>
        <w:tc>
          <w:tcPr>
            <w:tcW w:w="9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52</w:t>
            </w:r>
          </w:p>
        </w:tc>
        <w:tc>
          <w:tcPr>
            <w:tcW w:w="99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</w:t>
            </w:r>
          </w:p>
        </w:tc>
        <w:tc>
          <w:tcPr>
            <w:tcW w:w="2700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Motor Vehicle Accident</w:t>
            </w:r>
          </w:p>
        </w:tc>
        <w:tc>
          <w:tcPr>
            <w:tcW w:w="1372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C1</w:t>
            </w:r>
          </w:p>
        </w:tc>
        <w:tc>
          <w:tcPr>
            <w:tcW w:w="267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Lumbar transverse process fracture</w:t>
            </w:r>
          </w:p>
        </w:tc>
      </w:tr>
    </w:tbl>
    <w:p w:rsidR="003F4C61" w:rsidRPr="00EA1B83" w:rsidRDefault="003F4C61" w:rsidP="003B2F71">
      <w:pPr>
        <w:shd w:val="clear" w:color="auto" w:fill="FFFFFF"/>
        <w:spacing w:before="420" w:after="120" w:line="480" w:lineRule="auto"/>
        <w:jc w:val="center"/>
        <w:outlineLvl w:val="2"/>
        <w:rPr>
          <w:rFonts w:asciiTheme="majorBidi" w:eastAsia="Times New Roman" w:hAnsiTheme="majorBidi" w:cstheme="majorBidi"/>
          <w:b/>
          <w:bCs/>
          <w:color w:val="1F1F1F"/>
          <w:sz w:val="20"/>
          <w:szCs w:val="20"/>
        </w:rPr>
      </w:pPr>
      <w:r w:rsidRPr="00EA1B83">
        <w:rPr>
          <w:rFonts w:asciiTheme="majorBidi" w:eastAsia="Times New Roman" w:hAnsiTheme="majorBidi" w:cstheme="majorBidi"/>
          <w:b/>
          <w:bCs/>
          <w:color w:val="1F1F1F"/>
          <w:sz w:val="20"/>
          <w:szCs w:val="20"/>
        </w:rPr>
        <w:t xml:space="preserve">Table </w:t>
      </w:r>
      <w:r w:rsidR="003B2F71">
        <w:rPr>
          <w:rFonts w:asciiTheme="majorBidi" w:eastAsia="Times New Roman" w:hAnsiTheme="majorBidi" w:cstheme="majorBidi"/>
          <w:b/>
          <w:bCs/>
          <w:color w:val="1F1F1F"/>
          <w:sz w:val="20"/>
          <w:szCs w:val="20"/>
        </w:rPr>
        <w:t>I</w:t>
      </w:r>
      <w:r w:rsidRPr="00EA1B83">
        <w:rPr>
          <w:rFonts w:asciiTheme="majorBidi" w:eastAsia="Times New Roman" w:hAnsiTheme="majorBidi" w:cstheme="majorBidi"/>
          <w:b/>
          <w:bCs/>
          <w:color w:val="1F1F1F"/>
          <w:sz w:val="20"/>
          <w:szCs w:val="20"/>
        </w:rPr>
        <w:t>: Patient Demographics and Injury Characteristics</w:t>
      </w:r>
    </w:p>
    <w:p w:rsidR="000B507C" w:rsidRDefault="000B507C"/>
    <w:p w:rsidR="003F4C61" w:rsidRPr="00EA1B83" w:rsidRDefault="003F4C61" w:rsidP="003B2F71">
      <w:pPr>
        <w:pStyle w:val="Heading3"/>
        <w:shd w:val="clear" w:color="auto" w:fill="FFFFFF"/>
        <w:spacing w:before="420" w:beforeAutospacing="0" w:after="120" w:afterAutospacing="0" w:line="480" w:lineRule="auto"/>
        <w:jc w:val="center"/>
        <w:rPr>
          <w:rFonts w:asciiTheme="majorBidi" w:hAnsiTheme="majorBidi" w:cstheme="majorBidi"/>
          <w:color w:val="1F1F1F"/>
          <w:sz w:val="20"/>
          <w:szCs w:val="20"/>
        </w:rPr>
      </w:pPr>
      <w:r w:rsidRPr="00EA1B83">
        <w:rPr>
          <w:rFonts w:asciiTheme="majorBidi" w:hAnsiTheme="majorBidi" w:cstheme="majorBidi"/>
          <w:color w:val="1F1F1F"/>
          <w:sz w:val="20"/>
          <w:szCs w:val="20"/>
        </w:rPr>
        <w:t xml:space="preserve">Table </w:t>
      </w:r>
      <w:r w:rsidR="003B2F71">
        <w:rPr>
          <w:rFonts w:asciiTheme="majorBidi" w:hAnsiTheme="majorBidi" w:cstheme="majorBidi"/>
          <w:color w:val="1F1F1F"/>
          <w:sz w:val="20"/>
          <w:szCs w:val="20"/>
        </w:rPr>
        <w:t>II</w:t>
      </w:r>
      <w:r w:rsidRPr="00EA1B83">
        <w:rPr>
          <w:rFonts w:asciiTheme="majorBidi" w:hAnsiTheme="majorBidi" w:cstheme="majorBidi"/>
          <w:color w:val="1F1F1F"/>
          <w:sz w:val="20"/>
          <w:szCs w:val="20"/>
        </w:rPr>
        <w:t>: Standardized Follow-up Protocol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F4C61" w:rsidTr="00FA0108">
        <w:tc>
          <w:tcPr>
            <w:tcW w:w="2337" w:type="dxa"/>
            <w:vAlign w:val="center"/>
          </w:tcPr>
          <w:p w:rsidR="003F4C61" w:rsidRPr="00EA1B83" w:rsidRDefault="003F4C61" w:rsidP="00EE637C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Time</w:t>
            </w:r>
            <w:r w:rsidR="00071949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EE637C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F</w:t>
            </w: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rame</w:t>
            </w:r>
          </w:p>
        </w:tc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Clinical Assessment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Radiological Assessment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Weight-Bearing Status</w:t>
            </w:r>
          </w:p>
        </w:tc>
      </w:tr>
      <w:tr w:rsidR="003F4C61" w:rsidTr="00FA0108"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Week 0–2</w:t>
            </w:r>
          </w:p>
        </w:tc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Wound check, Pain management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AP, Inlet, Outlet Pelvis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Non-weight bearing</w:t>
            </w:r>
          </w:p>
        </w:tc>
      </w:tr>
      <w:tr w:rsidR="003F4C61" w:rsidTr="00FA0108"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Week 6</w:t>
            </w:r>
          </w:p>
        </w:tc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323B84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Ex-Fix Removal</w:t>
            </w: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, ROM exercises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AP Pelvis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Toe-touch weight bearing</w:t>
            </w:r>
          </w:p>
        </w:tc>
      </w:tr>
      <w:tr w:rsidR="003F4C61" w:rsidTr="00FA0108"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Month 3</w:t>
            </w:r>
          </w:p>
        </w:tc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proofErr w:type="spellStart"/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Majeed</w:t>
            </w:r>
            <w:proofErr w:type="spellEnd"/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 xml:space="preserve"> Score baseline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AP, Inlet, Outlet Pelvis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Full weight bearing</w:t>
            </w:r>
          </w:p>
        </w:tc>
      </w:tr>
      <w:tr w:rsidR="003F4C61" w:rsidTr="00FA0108"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Month 12</w:t>
            </w:r>
          </w:p>
        </w:tc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 xml:space="preserve">Final </w:t>
            </w:r>
            <w:proofErr w:type="spellStart"/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Majeed</w:t>
            </w:r>
            <w:proofErr w:type="spellEnd"/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 xml:space="preserve"> Score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Final radiographs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Full activity</w:t>
            </w:r>
          </w:p>
        </w:tc>
      </w:tr>
    </w:tbl>
    <w:p w:rsidR="003F4C61" w:rsidRDefault="003F4C61" w:rsidP="003F4C61">
      <w:pPr>
        <w:jc w:val="center"/>
      </w:pPr>
    </w:p>
    <w:p w:rsidR="003F4C61" w:rsidRPr="00EA1B83" w:rsidRDefault="003F4C61" w:rsidP="003B2F71">
      <w:pPr>
        <w:pStyle w:val="Heading3"/>
        <w:shd w:val="clear" w:color="auto" w:fill="FFFFFF"/>
        <w:spacing w:before="420" w:beforeAutospacing="0" w:after="120" w:afterAutospacing="0" w:line="480" w:lineRule="auto"/>
        <w:jc w:val="center"/>
        <w:rPr>
          <w:rFonts w:asciiTheme="majorBidi" w:hAnsiTheme="majorBidi" w:cstheme="majorBidi"/>
          <w:color w:val="1F1F1F"/>
          <w:sz w:val="20"/>
          <w:szCs w:val="20"/>
        </w:rPr>
      </w:pPr>
      <w:r w:rsidRPr="00EA1B83">
        <w:rPr>
          <w:rFonts w:asciiTheme="majorBidi" w:hAnsiTheme="majorBidi" w:cstheme="majorBidi"/>
          <w:color w:val="1F1F1F"/>
          <w:sz w:val="20"/>
          <w:szCs w:val="20"/>
        </w:rPr>
        <w:lastRenderedPageBreak/>
        <w:t xml:space="preserve">Table </w:t>
      </w:r>
      <w:r w:rsidR="003B2F71">
        <w:rPr>
          <w:rFonts w:asciiTheme="majorBidi" w:hAnsiTheme="majorBidi" w:cstheme="majorBidi"/>
          <w:color w:val="1F1F1F"/>
          <w:sz w:val="20"/>
          <w:szCs w:val="20"/>
        </w:rPr>
        <w:t>III</w:t>
      </w:r>
      <w:r w:rsidRPr="00EA1B83">
        <w:rPr>
          <w:rFonts w:asciiTheme="majorBidi" w:hAnsiTheme="majorBidi" w:cstheme="majorBidi"/>
          <w:color w:val="1F1F1F"/>
          <w:sz w:val="20"/>
          <w:szCs w:val="20"/>
        </w:rPr>
        <w:t>: Individual Radiological and Functional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Patient ID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Reduction Quality (</w:t>
            </w:r>
            <w:proofErr w:type="spellStart"/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Matta</w:t>
            </w:r>
            <w:proofErr w:type="spellEnd"/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)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Residual Diastasis (mm)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proofErr w:type="spellStart"/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Majeed</w:t>
            </w:r>
            <w:proofErr w:type="spellEnd"/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 xml:space="preserve"> Score (12 Mo)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Functional Grade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Time to Union (Weeks)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1.5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88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12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2.0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84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Good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14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3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0.0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92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11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4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1.0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89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12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5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Good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6.0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78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Good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16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6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2.5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85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13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7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1.2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90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12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3.0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82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Good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15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9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1.0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87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12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10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0.0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94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11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11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2.0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85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13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12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3.5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83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Good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14</w:t>
            </w:r>
          </w:p>
        </w:tc>
      </w:tr>
      <w:tr w:rsidR="003F4C61" w:rsidTr="00403B23"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Mean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--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1.89</w:t>
            </w:r>
          </w:p>
        </w:tc>
        <w:tc>
          <w:tcPr>
            <w:tcW w:w="155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86.4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Excellent</w:t>
            </w:r>
          </w:p>
        </w:tc>
        <w:tc>
          <w:tcPr>
            <w:tcW w:w="1559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12.9</w:t>
            </w:r>
          </w:p>
        </w:tc>
      </w:tr>
    </w:tbl>
    <w:p w:rsidR="003F4C61" w:rsidRDefault="003F4C61" w:rsidP="003F4C61">
      <w:pPr>
        <w:jc w:val="center"/>
      </w:pPr>
    </w:p>
    <w:p w:rsidR="003F4C61" w:rsidRPr="00EA1B83" w:rsidRDefault="003F4C61" w:rsidP="003B2F71">
      <w:pPr>
        <w:pStyle w:val="Heading3"/>
        <w:shd w:val="clear" w:color="auto" w:fill="FFFFFF"/>
        <w:spacing w:before="420" w:beforeAutospacing="0" w:after="120" w:afterAutospacing="0" w:line="480" w:lineRule="auto"/>
        <w:jc w:val="center"/>
        <w:rPr>
          <w:rFonts w:asciiTheme="majorBidi" w:hAnsiTheme="majorBidi" w:cstheme="majorBidi"/>
          <w:color w:val="1F1F1F"/>
          <w:sz w:val="20"/>
          <w:szCs w:val="20"/>
        </w:rPr>
      </w:pPr>
      <w:r w:rsidRPr="00EA1B83">
        <w:rPr>
          <w:rFonts w:asciiTheme="majorBidi" w:hAnsiTheme="majorBidi" w:cstheme="majorBidi"/>
          <w:color w:val="1F1F1F"/>
          <w:sz w:val="20"/>
          <w:szCs w:val="20"/>
        </w:rPr>
        <w:t xml:space="preserve">Table </w:t>
      </w:r>
      <w:r w:rsidR="003B2F71">
        <w:rPr>
          <w:rFonts w:asciiTheme="majorBidi" w:hAnsiTheme="majorBidi" w:cstheme="majorBidi"/>
          <w:color w:val="1F1F1F"/>
          <w:sz w:val="20"/>
          <w:szCs w:val="20"/>
        </w:rPr>
        <w:t>IV</w:t>
      </w:r>
      <w:r w:rsidRPr="00EA1B83">
        <w:rPr>
          <w:rFonts w:asciiTheme="majorBidi" w:hAnsiTheme="majorBidi" w:cstheme="majorBidi"/>
          <w:color w:val="1F1F1F"/>
          <w:sz w:val="20"/>
          <w:szCs w:val="20"/>
        </w:rPr>
        <w:t>: Complication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F4C61" w:rsidTr="000C5D1B"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Complication Type</w:t>
            </w:r>
          </w:p>
        </w:tc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Number of Cases (n=12)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Percentage (%)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Management</w:t>
            </w:r>
          </w:p>
        </w:tc>
      </w:tr>
      <w:tr w:rsidR="003F4C61" w:rsidTr="000C5D1B"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Superficial Infection</w:t>
            </w:r>
          </w:p>
        </w:tc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8.3%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Oral Antibiotics</w:t>
            </w:r>
          </w:p>
        </w:tc>
      </w:tr>
      <w:tr w:rsidR="003F4C61" w:rsidTr="000C5D1B"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Deep Infection</w:t>
            </w:r>
          </w:p>
        </w:tc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0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0%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N/A</w:t>
            </w:r>
          </w:p>
        </w:tc>
      </w:tr>
      <w:tr w:rsidR="003F4C61" w:rsidTr="000C5D1B"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Transient Nerve Palsy</w:t>
            </w:r>
          </w:p>
        </w:tc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8.3%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Observation</w:t>
            </w:r>
          </w:p>
        </w:tc>
      </w:tr>
      <w:tr w:rsidR="003F4C61" w:rsidTr="000C5D1B"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Hardware Failure</w:t>
            </w:r>
          </w:p>
        </w:tc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0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0%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N/A</w:t>
            </w:r>
          </w:p>
        </w:tc>
      </w:tr>
      <w:tr w:rsidR="003F4C61" w:rsidTr="000C5D1B"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b/>
                <w:bCs/>
                <w:color w:val="1F1F1F"/>
                <w:sz w:val="20"/>
                <w:szCs w:val="20"/>
                <w:bdr w:val="none" w:sz="0" w:space="0" w:color="auto" w:frame="1"/>
              </w:rPr>
              <w:t>Loss of Reduction</w:t>
            </w:r>
          </w:p>
        </w:tc>
        <w:tc>
          <w:tcPr>
            <w:tcW w:w="2337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0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0%</w:t>
            </w:r>
          </w:p>
        </w:tc>
        <w:tc>
          <w:tcPr>
            <w:tcW w:w="2338" w:type="dxa"/>
            <w:vAlign w:val="center"/>
          </w:tcPr>
          <w:p w:rsidR="003F4C61" w:rsidRPr="00EA1B83" w:rsidRDefault="003F4C61" w:rsidP="003F4C61">
            <w:pPr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</w:rPr>
            </w:pPr>
            <w:r w:rsidRPr="00EA1B83">
              <w:rPr>
                <w:rFonts w:asciiTheme="majorBidi" w:eastAsia="Times New Roman" w:hAnsiTheme="majorBidi" w:cstheme="majorBidi"/>
                <w:color w:val="1F1F1F"/>
                <w:sz w:val="20"/>
                <w:szCs w:val="20"/>
                <w:bdr w:val="none" w:sz="0" w:space="0" w:color="auto" w:frame="1"/>
              </w:rPr>
              <w:t>N/A</w:t>
            </w:r>
          </w:p>
        </w:tc>
      </w:tr>
      <w:bookmarkEnd w:id="0"/>
    </w:tbl>
    <w:p w:rsidR="003F4C61" w:rsidRDefault="003F4C61" w:rsidP="003F4C61">
      <w:pPr>
        <w:jc w:val="center"/>
      </w:pPr>
    </w:p>
    <w:sectPr w:rsidR="003F4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FD7"/>
    <w:rsid w:val="00071949"/>
    <w:rsid w:val="000B507C"/>
    <w:rsid w:val="00204FD7"/>
    <w:rsid w:val="00323B84"/>
    <w:rsid w:val="003B2F71"/>
    <w:rsid w:val="003F4C61"/>
    <w:rsid w:val="00CB48C7"/>
    <w:rsid w:val="00D44917"/>
    <w:rsid w:val="00E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042E62-A389-481A-80A8-8B1331AB8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F4C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4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3F4C61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tosiba</dc:creator>
  <cp:keywords/>
  <dc:description/>
  <cp:lastModifiedBy>tosiba</cp:lastModifiedBy>
  <cp:revision>7</cp:revision>
  <dcterms:created xsi:type="dcterms:W3CDTF">2026-03-21T17:55:00Z</dcterms:created>
  <dcterms:modified xsi:type="dcterms:W3CDTF">2026-03-28T11:38:00Z</dcterms:modified>
</cp:coreProperties>
</file>